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E7C5E">
      <w:pPr>
        <w:pStyle w:val="2"/>
        <w:rPr>
          <w:rFonts w:hint="default" w:ascii="宋体" w:hAnsi="宋体" w:eastAsia="宋体" w:cs="宋体"/>
          <w:b/>
          <w:bCs w:val="0"/>
          <w:lang w:val="en-US" w:eastAsia="zh-CN"/>
        </w:rPr>
      </w:pPr>
      <w:bookmarkStart w:id="0" w:name="_GoBack"/>
      <w:bookmarkEnd w:id="0"/>
      <w:r>
        <w:rPr>
          <w:rFonts w:hint="eastAsia" w:ascii="宋体" w:hAnsi="宋体" w:eastAsia="宋体" w:cs="宋体"/>
          <w:b/>
          <w:bCs w:val="0"/>
        </w:rPr>
        <w:t>温州市</w:t>
      </w:r>
      <w:r>
        <w:rPr>
          <w:rFonts w:hint="eastAsia" w:ascii="宋体" w:hAnsi="宋体" w:eastAsia="宋体" w:cs="宋体"/>
          <w:b/>
          <w:bCs w:val="0"/>
          <w:lang w:val="en-US" w:eastAsia="zh-CN"/>
        </w:rPr>
        <w:t>无线电一厂</w:t>
      </w:r>
    </w:p>
    <w:p w14:paraId="76B91B13">
      <w:pPr>
        <w:widowControl w:val="0"/>
        <w:jc w:val="both"/>
        <w:rPr>
          <w:rFonts w:ascii="宋体" w:hAnsi="宋体" w:cs="仿宋"/>
          <w:b/>
          <w:kern w:val="2"/>
          <w:sz w:val="44"/>
          <w:szCs w:val="44"/>
        </w:rPr>
      </w:pPr>
      <w:r>
        <w:rPr>
          <w:rFonts w:hint="eastAsia" w:ascii="宋体" w:hAnsi="宋体" w:eastAsia="宋体" w:cs="宋体"/>
          <w:b/>
          <w:kern w:val="2"/>
          <w:sz w:val="44"/>
          <w:szCs w:val="44"/>
          <w:lang w:val="en-US" w:eastAsia="zh-CN"/>
        </w:rPr>
        <w:t>关于将军桥11号</w:t>
      </w:r>
      <w:r>
        <w:rPr>
          <w:rFonts w:hint="eastAsia" w:ascii="宋体" w:hAnsi="宋体" w:eastAsia="宋体" w:cs="宋体"/>
          <w:b/>
          <w:kern w:val="2"/>
          <w:sz w:val="44"/>
          <w:szCs w:val="44"/>
          <w:lang w:eastAsia="zh-CN"/>
        </w:rPr>
        <w:t>资</w:t>
      </w:r>
      <w:r>
        <w:rPr>
          <w:rFonts w:hint="eastAsia" w:ascii="宋体" w:hAnsi="宋体" w:eastAsia="宋体" w:cs="宋体"/>
          <w:b/>
          <w:kern w:val="2"/>
          <w:sz w:val="44"/>
          <w:szCs w:val="44"/>
        </w:rPr>
        <w:t>产招租公告</w:t>
      </w:r>
    </w:p>
    <w:p w14:paraId="5EF172E0">
      <w:pPr>
        <w:rPr>
          <w:rFonts w:hint="eastAsia"/>
        </w:rPr>
      </w:pPr>
    </w:p>
    <w:p w14:paraId="5227B1BB">
      <w:pPr>
        <w:numPr>
          <w:ilvl w:val="0"/>
          <w:numId w:val="0"/>
        </w:numPr>
        <w:adjustRightInd w:val="0"/>
        <w:snapToGrid w:val="0"/>
        <w:spacing w:line="500" w:lineRule="exact"/>
        <w:ind w:firstLine="320" w:firstLineChars="100"/>
        <w:jc w:val="both"/>
        <w:rPr>
          <w:rFonts w:hint="eastAsia" w:ascii="黑体" w:hAnsi="黑体" w:eastAsia="黑体" w:cs="楷体_GB2312"/>
          <w:bCs/>
          <w:sz w:val="32"/>
          <w:szCs w:val="32"/>
        </w:rPr>
      </w:pPr>
      <w:r>
        <w:rPr>
          <w:rFonts w:hint="eastAsia" w:ascii="黑体" w:hAnsi="黑体" w:eastAsia="黑体" w:cs="楷体_GB2312"/>
          <w:bCs/>
          <w:sz w:val="32"/>
          <w:szCs w:val="32"/>
          <w:lang w:val="en-US" w:eastAsia="zh-CN"/>
        </w:rPr>
        <w:t>一、</w:t>
      </w:r>
      <w:r>
        <w:rPr>
          <w:rFonts w:hint="eastAsia" w:ascii="黑体" w:hAnsi="黑体" w:eastAsia="黑体" w:cs="楷体_GB2312"/>
          <w:bCs/>
          <w:sz w:val="32"/>
          <w:szCs w:val="32"/>
        </w:rPr>
        <w:t>招租项目的基本情况和要求：</w:t>
      </w:r>
    </w:p>
    <w:tbl>
      <w:tblPr>
        <w:tblStyle w:val="13"/>
        <w:tblpPr w:leftFromText="180" w:rightFromText="180" w:vertAnchor="text" w:horzAnchor="page" w:tblpX="1711" w:tblpY="420"/>
        <w:tblOverlap w:val="never"/>
        <w:tblW w:w="5298" w:type="pct"/>
        <w:tblInd w:w="0" w:type="dxa"/>
        <w:tblLayout w:type="fixed"/>
        <w:tblCellMar>
          <w:top w:w="0" w:type="dxa"/>
          <w:left w:w="108" w:type="dxa"/>
          <w:bottom w:w="0" w:type="dxa"/>
          <w:right w:w="108" w:type="dxa"/>
        </w:tblCellMar>
      </w:tblPr>
      <w:tblGrid>
        <w:gridCol w:w="725"/>
        <w:gridCol w:w="3487"/>
        <w:gridCol w:w="1013"/>
        <w:gridCol w:w="1569"/>
        <w:gridCol w:w="1343"/>
        <w:gridCol w:w="894"/>
      </w:tblGrid>
      <w:tr w14:paraId="28C01716">
        <w:tblPrEx>
          <w:tblCellMar>
            <w:top w:w="0" w:type="dxa"/>
            <w:left w:w="108" w:type="dxa"/>
            <w:bottom w:w="0" w:type="dxa"/>
            <w:right w:w="108" w:type="dxa"/>
          </w:tblCellMar>
        </w:tblPrEx>
        <w:trPr>
          <w:trHeight w:val="283" w:hRule="atLeast"/>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21CD6DE2">
            <w:pPr>
              <w:keepNext w:val="0"/>
              <w:keepLines w:val="0"/>
              <w:pageBreakBefore w:val="0"/>
              <w:widowControl/>
              <w:kinsoku/>
              <w:wordWrap/>
              <w:overflowPunct/>
              <w:topLinePunct w:val="0"/>
              <w:autoSpaceDE/>
              <w:autoSpaceDN/>
              <w:bidi w:val="0"/>
              <w:adjustRightInd/>
              <w:snapToGrid/>
              <w:spacing w:line="120" w:lineRule="auto"/>
              <w:ind w:left="0" w:leftChars="0" w:firstLine="0" w:firstLineChars="0"/>
              <w:jc w:val="both"/>
              <w:rPr>
                <w:rFonts w:hint="default" w:ascii="仿宋" w:hAnsi="仿宋" w:eastAsia="仿宋" w:cs="仿宋"/>
                <w:b/>
                <w:bCs/>
                <w:color w:val="auto"/>
                <w:kern w:val="0"/>
                <w:sz w:val="22"/>
                <w:szCs w:val="22"/>
                <w:lang w:val="en-US" w:eastAsia="zh-CN"/>
              </w:rPr>
            </w:pPr>
            <w:r>
              <w:rPr>
                <w:rFonts w:hint="eastAsia" w:ascii="仿宋" w:hAnsi="仿宋" w:eastAsia="仿宋" w:cs="仿宋"/>
                <w:b/>
                <w:bCs/>
                <w:color w:val="auto"/>
                <w:kern w:val="0"/>
                <w:sz w:val="22"/>
                <w:szCs w:val="22"/>
                <w:lang w:val="en-US" w:eastAsia="zh-CN"/>
              </w:rPr>
              <w:t>序号</w:t>
            </w:r>
          </w:p>
        </w:tc>
        <w:tc>
          <w:tcPr>
            <w:tcW w:w="1930" w:type="pct"/>
            <w:tcBorders>
              <w:top w:val="single" w:color="auto" w:sz="4" w:space="0"/>
              <w:left w:val="single" w:color="auto" w:sz="4" w:space="0"/>
              <w:bottom w:val="single" w:color="auto" w:sz="4" w:space="0"/>
              <w:right w:val="single" w:color="auto" w:sz="4" w:space="0"/>
            </w:tcBorders>
            <w:shd w:val="clear" w:color="auto" w:fill="auto"/>
            <w:vAlign w:val="center"/>
          </w:tcPr>
          <w:p w14:paraId="15E78CBE">
            <w:pPr>
              <w:keepNext w:val="0"/>
              <w:keepLines w:val="0"/>
              <w:pageBreakBefore w:val="0"/>
              <w:widowControl/>
              <w:kinsoku/>
              <w:wordWrap/>
              <w:overflowPunct/>
              <w:topLinePunct w:val="0"/>
              <w:autoSpaceDE/>
              <w:autoSpaceDN/>
              <w:bidi w:val="0"/>
              <w:adjustRightInd/>
              <w:snapToGrid/>
              <w:spacing w:line="120" w:lineRule="auto"/>
              <w:ind w:firstLine="110" w:firstLineChars="50"/>
              <w:jc w:val="center"/>
              <w:rPr>
                <w:rFonts w:hint="eastAsia" w:ascii="仿宋" w:hAnsi="仿宋" w:eastAsia="仿宋" w:cs="仿宋"/>
                <w:b/>
                <w:bCs/>
                <w:color w:val="auto"/>
                <w:kern w:val="0"/>
                <w:sz w:val="22"/>
                <w:szCs w:val="22"/>
                <w:lang w:eastAsia="zh-CN"/>
              </w:rPr>
            </w:pPr>
            <w:r>
              <w:rPr>
                <w:rFonts w:hint="eastAsia" w:ascii="仿宋" w:hAnsi="仿宋" w:eastAsia="仿宋" w:cs="仿宋"/>
                <w:b/>
                <w:bCs/>
                <w:color w:val="auto"/>
                <w:kern w:val="0"/>
                <w:sz w:val="22"/>
                <w:szCs w:val="22"/>
              </w:rPr>
              <w:t>资产地址</w:t>
            </w:r>
          </w:p>
        </w:tc>
        <w:tc>
          <w:tcPr>
            <w:tcW w:w="560" w:type="pct"/>
            <w:tcBorders>
              <w:top w:val="single" w:color="auto" w:sz="4" w:space="0"/>
              <w:left w:val="nil"/>
              <w:bottom w:val="single" w:color="auto" w:sz="4" w:space="0"/>
              <w:right w:val="single" w:color="auto" w:sz="4" w:space="0"/>
            </w:tcBorders>
            <w:shd w:val="clear" w:color="auto" w:fill="auto"/>
            <w:vAlign w:val="center"/>
          </w:tcPr>
          <w:p w14:paraId="597954C7">
            <w:pPr>
              <w:keepNext w:val="0"/>
              <w:keepLines w:val="0"/>
              <w:pageBreakBefore w:val="0"/>
              <w:widowControl/>
              <w:kinsoku/>
              <w:wordWrap/>
              <w:overflowPunct/>
              <w:topLinePunct w:val="0"/>
              <w:autoSpaceDE/>
              <w:autoSpaceDN/>
              <w:bidi w:val="0"/>
              <w:adjustRightInd/>
              <w:snapToGrid/>
              <w:spacing w:line="120" w:lineRule="auto"/>
              <w:ind w:firstLine="110" w:firstLineChars="50"/>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面积（㎡）</w:t>
            </w:r>
          </w:p>
        </w:tc>
        <w:tc>
          <w:tcPr>
            <w:tcW w:w="868" w:type="pct"/>
            <w:tcBorders>
              <w:top w:val="single" w:color="auto" w:sz="4" w:space="0"/>
              <w:left w:val="nil"/>
              <w:bottom w:val="single" w:color="auto" w:sz="4" w:space="0"/>
              <w:right w:val="single" w:color="auto" w:sz="4" w:space="0"/>
            </w:tcBorders>
            <w:shd w:val="clear" w:color="auto" w:fill="auto"/>
            <w:vAlign w:val="center"/>
          </w:tcPr>
          <w:p w14:paraId="47160297">
            <w:pPr>
              <w:keepNext w:val="0"/>
              <w:keepLines w:val="0"/>
              <w:pageBreakBefore w:val="0"/>
              <w:widowControl/>
              <w:kinsoku/>
              <w:wordWrap/>
              <w:overflowPunct/>
              <w:topLinePunct w:val="0"/>
              <w:autoSpaceDE/>
              <w:autoSpaceDN/>
              <w:bidi w:val="0"/>
              <w:adjustRightInd/>
              <w:snapToGrid/>
              <w:spacing w:line="120" w:lineRule="auto"/>
              <w:ind w:firstLine="110" w:firstLineChars="50"/>
              <w:jc w:val="center"/>
              <w:rPr>
                <w:rFonts w:hint="eastAsia" w:ascii="仿宋" w:hAnsi="仿宋" w:eastAsia="仿宋" w:cs="仿宋"/>
                <w:b/>
                <w:bCs/>
                <w:color w:val="auto"/>
                <w:kern w:val="0"/>
                <w:sz w:val="22"/>
                <w:szCs w:val="22"/>
                <w:lang w:eastAsia="zh-CN"/>
              </w:rPr>
            </w:pPr>
            <w:r>
              <w:rPr>
                <w:rFonts w:hint="eastAsia" w:ascii="仿宋" w:hAnsi="仿宋" w:eastAsia="仿宋" w:cs="仿宋"/>
                <w:b/>
                <w:bCs/>
                <w:color w:val="auto"/>
                <w:kern w:val="0"/>
                <w:sz w:val="22"/>
                <w:szCs w:val="22"/>
              </w:rPr>
              <w:t>用途</w:t>
            </w:r>
          </w:p>
        </w:tc>
        <w:tc>
          <w:tcPr>
            <w:tcW w:w="743" w:type="pct"/>
            <w:tcBorders>
              <w:top w:val="single" w:color="auto" w:sz="4" w:space="0"/>
              <w:left w:val="nil"/>
              <w:bottom w:val="single" w:color="auto" w:sz="4" w:space="0"/>
              <w:right w:val="single" w:color="auto" w:sz="4" w:space="0"/>
            </w:tcBorders>
            <w:shd w:val="clear" w:color="auto" w:fill="auto"/>
            <w:vAlign w:val="center"/>
          </w:tcPr>
          <w:p w14:paraId="3299F954">
            <w:pPr>
              <w:keepNext w:val="0"/>
              <w:keepLines w:val="0"/>
              <w:pageBreakBefore w:val="0"/>
              <w:widowControl/>
              <w:suppressLineNumbers w:val="0"/>
              <w:kinsoku/>
              <w:wordWrap/>
              <w:overflowPunct/>
              <w:topLinePunct w:val="0"/>
              <w:autoSpaceDE/>
              <w:autoSpaceDN/>
              <w:bidi w:val="0"/>
              <w:adjustRightInd/>
              <w:snapToGrid/>
              <w:spacing w:line="240" w:lineRule="exact"/>
              <w:ind w:firstLine="442" w:firstLineChars="200"/>
              <w:jc w:val="both"/>
              <w:textAlignment w:val="center"/>
              <w:rPr>
                <w:rFonts w:hint="eastAsia" w:ascii="仿宋" w:hAnsi="仿宋" w:eastAsia="仿宋" w:cs="仿宋"/>
                <w:b/>
                <w:bCs/>
                <w:color w:val="auto"/>
                <w:kern w:val="0"/>
                <w:sz w:val="22"/>
                <w:szCs w:val="22"/>
                <w:lang w:val="en-US" w:eastAsia="zh-CN"/>
              </w:rPr>
            </w:pPr>
            <w:r>
              <w:rPr>
                <w:rFonts w:hint="eastAsia" w:ascii="仿宋" w:hAnsi="仿宋" w:eastAsia="仿宋" w:cs="仿宋"/>
                <w:b/>
                <w:bCs/>
                <w:color w:val="auto"/>
                <w:kern w:val="0"/>
                <w:sz w:val="22"/>
                <w:szCs w:val="22"/>
                <w:lang w:val="en-US" w:eastAsia="zh-CN"/>
              </w:rPr>
              <w:t>租金</w:t>
            </w:r>
          </w:p>
          <w:p w14:paraId="6F2F7F0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b/>
                <w:bCs/>
                <w:color w:val="auto"/>
                <w:kern w:val="0"/>
                <w:sz w:val="22"/>
                <w:szCs w:val="22"/>
                <w:lang w:val="en-US" w:eastAsia="zh-CN"/>
              </w:rPr>
              <w:t>（万元/年）</w:t>
            </w:r>
          </w:p>
        </w:tc>
        <w:tc>
          <w:tcPr>
            <w:tcW w:w="494" w:type="pct"/>
            <w:tcBorders>
              <w:top w:val="single" w:color="auto" w:sz="4" w:space="0"/>
              <w:left w:val="nil"/>
              <w:bottom w:val="single" w:color="auto" w:sz="4" w:space="0"/>
              <w:right w:val="single" w:color="auto" w:sz="4" w:space="0"/>
            </w:tcBorders>
            <w:shd w:val="clear" w:color="auto" w:fill="auto"/>
            <w:vAlign w:val="center"/>
          </w:tcPr>
          <w:p w14:paraId="359A90D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仿宋" w:hAnsi="仿宋" w:eastAsia="仿宋" w:cs="仿宋"/>
                <w:b/>
                <w:bCs/>
                <w:color w:val="auto"/>
                <w:kern w:val="0"/>
                <w:sz w:val="22"/>
                <w:szCs w:val="22"/>
                <w:lang w:val="en-US" w:eastAsia="zh-CN"/>
              </w:rPr>
            </w:pPr>
            <w:r>
              <w:rPr>
                <w:rFonts w:hint="eastAsia" w:ascii="仿宋" w:hAnsi="仿宋" w:eastAsia="仿宋" w:cs="仿宋"/>
                <w:b/>
                <w:bCs/>
                <w:color w:val="auto"/>
                <w:kern w:val="0"/>
                <w:sz w:val="22"/>
                <w:szCs w:val="22"/>
                <w:lang w:val="en-US" w:eastAsia="zh-CN"/>
              </w:rPr>
              <w:t>租期</w:t>
            </w:r>
          </w:p>
        </w:tc>
      </w:tr>
      <w:tr w14:paraId="70A0862E">
        <w:tblPrEx>
          <w:tblCellMar>
            <w:top w:w="0" w:type="dxa"/>
            <w:left w:w="108" w:type="dxa"/>
            <w:bottom w:w="0" w:type="dxa"/>
            <w:right w:w="108" w:type="dxa"/>
          </w:tblCellMar>
        </w:tblPrEx>
        <w:trPr>
          <w:trHeight w:val="477" w:hRule="atLeast"/>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5D9804C3">
            <w:pPr>
              <w:keepNext w:val="0"/>
              <w:keepLines w:val="0"/>
              <w:pageBreakBefore w:val="0"/>
              <w:widowControl/>
              <w:suppressLineNumbers w:val="0"/>
              <w:kinsoku/>
              <w:wordWrap/>
              <w:overflowPunct/>
              <w:topLinePunct w:val="0"/>
              <w:autoSpaceDE/>
              <w:autoSpaceDN/>
              <w:bidi w:val="0"/>
              <w:adjustRightInd/>
              <w:snapToGrid/>
              <w:spacing w:line="120" w:lineRule="auto"/>
              <w:ind w:firstLine="120" w:firstLineChars="5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930" w:type="pct"/>
            <w:tcBorders>
              <w:top w:val="single" w:color="auto" w:sz="4" w:space="0"/>
              <w:left w:val="single" w:color="auto" w:sz="4" w:space="0"/>
              <w:bottom w:val="single" w:color="auto" w:sz="4" w:space="0"/>
              <w:right w:val="single" w:color="auto" w:sz="4" w:space="0"/>
            </w:tcBorders>
            <w:shd w:val="clear" w:color="auto" w:fill="auto"/>
            <w:vAlign w:val="center"/>
          </w:tcPr>
          <w:p w14:paraId="557EE34D">
            <w:pPr>
              <w:keepNext w:val="0"/>
              <w:keepLines w:val="0"/>
              <w:pageBreakBefore w:val="0"/>
              <w:widowControl/>
              <w:suppressLineNumbers w:val="0"/>
              <w:kinsoku/>
              <w:wordWrap/>
              <w:overflowPunct/>
              <w:topLinePunct w:val="0"/>
              <w:autoSpaceDE/>
              <w:autoSpaceDN/>
              <w:bidi w:val="0"/>
              <w:adjustRightInd/>
              <w:snapToGrid/>
              <w:spacing w:line="120" w:lineRule="auto"/>
              <w:ind w:firstLine="120" w:firstLineChars="5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将军桥11号整机大楼一楼两间</w:t>
            </w:r>
          </w:p>
        </w:tc>
        <w:tc>
          <w:tcPr>
            <w:tcW w:w="560" w:type="pct"/>
            <w:tcBorders>
              <w:top w:val="single" w:color="auto" w:sz="4" w:space="0"/>
              <w:left w:val="nil"/>
              <w:bottom w:val="single" w:color="auto" w:sz="4" w:space="0"/>
              <w:right w:val="single" w:color="auto" w:sz="4" w:space="0"/>
            </w:tcBorders>
            <w:shd w:val="clear" w:color="auto" w:fill="auto"/>
            <w:vAlign w:val="center"/>
          </w:tcPr>
          <w:p w14:paraId="7439A9E6">
            <w:pPr>
              <w:keepNext w:val="0"/>
              <w:keepLines w:val="0"/>
              <w:pageBreakBefore w:val="0"/>
              <w:widowControl/>
              <w:suppressLineNumbers w:val="0"/>
              <w:kinsoku/>
              <w:wordWrap/>
              <w:overflowPunct/>
              <w:topLinePunct w:val="0"/>
              <w:autoSpaceDE/>
              <w:autoSpaceDN/>
              <w:bidi w:val="0"/>
              <w:adjustRightInd/>
              <w:snapToGrid/>
              <w:spacing w:line="120" w:lineRule="auto"/>
              <w:ind w:firstLine="105" w:firstLineChars="5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184</w:t>
            </w:r>
          </w:p>
        </w:tc>
        <w:tc>
          <w:tcPr>
            <w:tcW w:w="868" w:type="pct"/>
            <w:tcBorders>
              <w:top w:val="single" w:color="auto" w:sz="4" w:space="0"/>
              <w:left w:val="nil"/>
              <w:bottom w:val="single" w:color="auto" w:sz="4" w:space="0"/>
              <w:right w:val="single" w:color="auto" w:sz="4" w:space="0"/>
            </w:tcBorders>
            <w:shd w:val="clear" w:color="auto" w:fill="auto"/>
            <w:vAlign w:val="center"/>
          </w:tcPr>
          <w:p w14:paraId="362AFF85">
            <w:pPr>
              <w:keepNext w:val="0"/>
              <w:keepLines w:val="0"/>
              <w:pageBreakBefore w:val="0"/>
              <w:widowControl/>
              <w:suppressLineNumbers w:val="0"/>
              <w:kinsoku/>
              <w:wordWrap/>
              <w:overflowPunct/>
              <w:topLinePunct w:val="0"/>
              <w:autoSpaceDE/>
              <w:autoSpaceDN/>
              <w:bidi w:val="0"/>
              <w:adjustRightInd/>
              <w:snapToGrid/>
              <w:spacing w:line="120" w:lineRule="auto"/>
              <w:ind w:firstLine="105" w:firstLineChars="5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仓库</w:t>
            </w:r>
          </w:p>
        </w:tc>
        <w:tc>
          <w:tcPr>
            <w:tcW w:w="743" w:type="pct"/>
            <w:tcBorders>
              <w:top w:val="single" w:color="auto" w:sz="4" w:space="0"/>
              <w:left w:val="nil"/>
              <w:bottom w:val="single" w:color="auto" w:sz="4" w:space="0"/>
              <w:right w:val="single" w:color="auto" w:sz="4" w:space="0"/>
            </w:tcBorders>
            <w:shd w:val="clear" w:color="auto" w:fill="auto"/>
            <w:vAlign w:val="center"/>
          </w:tcPr>
          <w:p w14:paraId="1DCCE273">
            <w:pPr>
              <w:keepNext w:val="0"/>
              <w:keepLines w:val="0"/>
              <w:pageBreakBefore w:val="0"/>
              <w:widowControl/>
              <w:suppressLineNumbers w:val="0"/>
              <w:kinsoku/>
              <w:wordWrap/>
              <w:overflowPunct/>
              <w:topLinePunct w:val="0"/>
              <w:autoSpaceDE/>
              <w:autoSpaceDN/>
              <w:bidi w:val="0"/>
              <w:adjustRightInd/>
              <w:snapToGrid/>
              <w:spacing w:line="120" w:lineRule="auto"/>
              <w:ind w:firstLine="105" w:firstLineChars="5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8.3904</w:t>
            </w:r>
          </w:p>
        </w:tc>
        <w:tc>
          <w:tcPr>
            <w:tcW w:w="494" w:type="pct"/>
            <w:tcBorders>
              <w:top w:val="single" w:color="auto" w:sz="4" w:space="0"/>
              <w:left w:val="nil"/>
              <w:bottom w:val="single" w:color="auto" w:sz="4" w:space="0"/>
              <w:right w:val="single" w:color="auto" w:sz="4" w:space="0"/>
            </w:tcBorders>
            <w:shd w:val="clear" w:color="auto" w:fill="auto"/>
            <w:vAlign w:val="center"/>
          </w:tcPr>
          <w:p w14:paraId="60A5E628">
            <w:pPr>
              <w:keepNext w:val="0"/>
              <w:keepLines w:val="0"/>
              <w:pageBreakBefore w:val="0"/>
              <w:widowControl/>
              <w:suppressLineNumbers w:val="0"/>
              <w:kinsoku/>
              <w:wordWrap/>
              <w:overflowPunct/>
              <w:topLinePunct w:val="0"/>
              <w:autoSpaceDE/>
              <w:autoSpaceDN/>
              <w:bidi w:val="0"/>
              <w:adjustRightInd/>
              <w:snapToGrid/>
              <w:spacing w:line="120" w:lineRule="auto"/>
              <w:ind w:firstLine="105" w:firstLineChars="5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1年</w:t>
            </w:r>
          </w:p>
        </w:tc>
      </w:tr>
    </w:tbl>
    <w:p w14:paraId="522C22AF">
      <w:pPr>
        <w:numPr>
          <w:ilvl w:val="0"/>
          <w:numId w:val="0"/>
        </w:numPr>
        <w:adjustRightInd w:val="0"/>
        <w:snapToGrid w:val="0"/>
        <w:spacing w:line="500" w:lineRule="exact"/>
        <w:jc w:val="both"/>
        <w:rPr>
          <w:rFonts w:hint="eastAsia" w:ascii="黑体" w:hAnsi="黑体" w:eastAsia="黑体" w:cs="楷体_GB2312"/>
          <w:bCs/>
          <w:sz w:val="32"/>
          <w:szCs w:val="32"/>
        </w:rPr>
      </w:pPr>
    </w:p>
    <w:p w14:paraId="0878A5AF">
      <w:pPr>
        <w:adjustRightInd w:val="0"/>
        <w:snapToGrid w:val="0"/>
        <w:spacing w:line="500" w:lineRule="exact"/>
        <w:ind w:firstLine="640" w:firstLineChars="200"/>
        <w:jc w:val="both"/>
        <w:rPr>
          <w:rFonts w:ascii="黑体" w:hAnsi="黑体" w:eastAsia="黑体" w:cs="楷体_GB2312"/>
          <w:bCs/>
          <w:sz w:val="32"/>
          <w:szCs w:val="32"/>
          <w:lang w:bidi="ar"/>
        </w:rPr>
      </w:pPr>
      <w:r>
        <w:rPr>
          <w:rFonts w:hint="eastAsia" w:ascii="黑体" w:hAnsi="黑体" w:eastAsia="黑体" w:cs="楷体_GB2312"/>
          <w:bCs/>
          <w:sz w:val="32"/>
          <w:szCs w:val="32"/>
          <w:lang w:bidi="ar"/>
        </w:rPr>
        <w:t>二、报名方式：</w:t>
      </w:r>
    </w:p>
    <w:p w14:paraId="3BE05F66">
      <w:pPr>
        <w:adjustRightInd w:val="0"/>
        <w:snapToGrid w:val="0"/>
        <w:spacing w:line="500" w:lineRule="exact"/>
        <w:ind w:firstLine="640" w:firstLineChars="200"/>
        <w:jc w:val="both"/>
        <w:rPr>
          <w:rFonts w:ascii="仿宋" w:hAnsi="仿宋" w:eastAsia="仿宋" w:cs="仿宋_GB2312"/>
          <w:sz w:val="32"/>
          <w:szCs w:val="32"/>
          <w:lang w:bidi="ar"/>
        </w:rPr>
      </w:pPr>
      <w:r>
        <w:rPr>
          <w:rFonts w:hint="eastAsia" w:ascii="仿宋" w:hAnsi="仿宋" w:eastAsia="仿宋" w:cs="仿宋_GB2312"/>
          <w:sz w:val="32"/>
          <w:szCs w:val="32"/>
          <w:lang w:bidi="ar"/>
        </w:rPr>
        <w:t>1、竞租人应当在规定时间内携带有效证件（营业执照、身份证或社会团体登记证书）参与报名并缴纳保证金。</w:t>
      </w:r>
    </w:p>
    <w:p w14:paraId="566452AF">
      <w:pPr>
        <w:adjustRightInd w:val="0"/>
        <w:snapToGrid w:val="0"/>
        <w:spacing w:line="240" w:lineRule="auto"/>
        <w:ind w:firstLine="640" w:firstLineChars="200"/>
        <w:jc w:val="both"/>
        <w:rPr>
          <w:rFonts w:ascii="仿宋" w:hAnsi="仿宋" w:eastAsia="仿宋" w:cs="仿宋_GB2312"/>
          <w:sz w:val="32"/>
          <w:szCs w:val="32"/>
          <w:lang w:bidi="ar"/>
        </w:rPr>
      </w:pPr>
      <w:r>
        <w:rPr>
          <w:rFonts w:hint="eastAsia" w:ascii="仿宋" w:hAnsi="仿宋" w:eastAsia="仿宋" w:cs="仿宋_GB2312"/>
          <w:sz w:val="32"/>
          <w:szCs w:val="32"/>
          <w:lang w:bidi="ar"/>
        </w:rPr>
        <w:t>2、本公告期为</w:t>
      </w:r>
      <w:r>
        <w:rPr>
          <w:rFonts w:hint="eastAsia" w:ascii="仿宋" w:hAnsi="仿宋" w:eastAsia="仿宋" w:cs="仿宋_GB2312"/>
          <w:sz w:val="32"/>
          <w:szCs w:val="32"/>
          <w:u w:val="single"/>
          <w:lang w:bidi="ar"/>
        </w:rPr>
        <w:t xml:space="preserve"> </w:t>
      </w:r>
      <w:r>
        <w:rPr>
          <w:rFonts w:hint="eastAsia" w:ascii="仿宋" w:hAnsi="仿宋" w:eastAsia="仿宋" w:cs="仿宋_GB2312"/>
          <w:sz w:val="32"/>
          <w:szCs w:val="32"/>
          <w:u w:val="single"/>
          <w:lang w:val="en-US" w:eastAsia="zh-CN" w:bidi="ar"/>
        </w:rPr>
        <w:t>五</w:t>
      </w:r>
      <w:r>
        <w:rPr>
          <w:rFonts w:hint="eastAsia" w:ascii="仿宋" w:hAnsi="仿宋" w:eastAsia="仿宋" w:cs="仿宋_GB2312"/>
          <w:sz w:val="32"/>
          <w:szCs w:val="32"/>
          <w:u w:val="single"/>
          <w:lang w:bidi="ar"/>
        </w:rPr>
        <w:t xml:space="preserve"> </w:t>
      </w:r>
      <w:r>
        <w:rPr>
          <w:rFonts w:hint="eastAsia" w:ascii="仿宋" w:hAnsi="仿宋" w:eastAsia="仿宋" w:cs="仿宋_GB2312"/>
          <w:sz w:val="32"/>
          <w:szCs w:val="32"/>
          <w:lang w:bidi="ar"/>
        </w:rPr>
        <w:t>个工作日，报价文件递交起止时间为202</w:t>
      </w:r>
      <w:r>
        <w:rPr>
          <w:rFonts w:hint="eastAsia" w:ascii="仿宋" w:hAnsi="仿宋" w:eastAsia="仿宋" w:cs="仿宋_GB2312"/>
          <w:sz w:val="32"/>
          <w:szCs w:val="32"/>
          <w:lang w:val="en-US" w:eastAsia="zh-CN" w:bidi="ar"/>
        </w:rPr>
        <w:t>4</w:t>
      </w:r>
      <w:r>
        <w:rPr>
          <w:rFonts w:hint="eastAsia" w:ascii="仿宋" w:hAnsi="仿宋" w:eastAsia="仿宋" w:cs="仿宋_GB2312"/>
          <w:sz w:val="32"/>
          <w:szCs w:val="32"/>
          <w:lang w:bidi="ar"/>
        </w:rPr>
        <w:t>年</w:t>
      </w:r>
      <w:r>
        <w:rPr>
          <w:rFonts w:hint="eastAsia" w:ascii="仿宋" w:hAnsi="仿宋" w:eastAsia="仿宋" w:cs="仿宋_GB2312"/>
          <w:sz w:val="32"/>
          <w:szCs w:val="32"/>
          <w:lang w:val="en-US" w:eastAsia="zh-CN" w:bidi="ar"/>
        </w:rPr>
        <w:t>12</w:t>
      </w:r>
      <w:r>
        <w:rPr>
          <w:rFonts w:hint="eastAsia" w:ascii="仿宋" w:hAnsi="仿宋" w:eastAsia="仿宋" w:cs="仿宋_GB2312"/>
          <w:sz w:val="32"/>
          <w:szCs w:val="32"/>
          <w:lang w:bidi="ar"/>
        </w:rPr>
        <w:t>月</w:t>
      </w:r>
      <w:r>
        <w:rPr>
          <w:rFonts w:hint="eastAsia" w:ascii="仿宋" w:hAnsi="仿宋" w:eastAsia="仿宋" w:cs="仿宋_GB2312"/>
          <w:sz w:val="32"/>
          <w:szCs w:val="32"/>
          <w:lang w:val="en-US" w:eastAsia="zh-CN" w:bidi="ar"/>
        </w:rPr>
        <w:t>5</w:t>
      </w:r>
      <w:r>
        <w:rPr>
          <w:rFonts w:hint="eastAsia" w:ascii="仿宋" w:hAnsi="仿宋" w:eastAsia="仿宋" w:cs="仿宋_GB2312"/>
          <w:sz w:val="32"/>
          <w:szCs w:val="32"/>
          <w:lang w:bidi="ar"/>
        </w:rPr>
        <w:t>日上午9:00时-202</w:t>
      </w:r>
      <w:r>
        <w:rPr>
          <w:rFonts w:hint="eastAsia" w:ascii="仿宋" w:hAnsi="仿宋" w:eastAsia="仿宋" w:cs="仿宋_GB2312"/>
          <w:sz w:val="32"/>
          <w:szCs w:val="32"/>
          <w:lang w:val="en-US" w:eastAsia="zh-CN" w:bidi="ar"/>
        </w:rPr>
        <w:t>4</w:t>
      </w:r>
      <w:r>
        <w:rPr>
          <w:rFonts w:hint="eastAsia" w:ascii="仿宋" w:hAnsi="仿宋" w:eastAsia="仿宋" w:cs="仿宋_GB2312"/>
          <w:sz w:val="32"/>
          <w:szCs w:val="32"/>
          <w:lang w:bidi="ar"/>
        </w:rPr>
        <w:t>年</w:t>
      </w:r>
      <w:r>
        <w:rPr>
          <w:rFonts w:hint="eastAsia" w:ascii="仿宋" w:hAnsi="仿宋" w:eastAsia="仿宋" w:cs="仿宋_GB2312"/>
          <w:sz w:val="32"/>
          <w:szCs w:val="32"/>
          <w:lang w:val="en-US" w:eastAsia="zh-CN" w:bidi="ar"/>
        </w:rPr>
        <w:t>12</w:t>
      </w:r>
      <w:r>
        <w:rPr>
          <w:rFonts w:hint="eastAsia" w:ascii="仿宋" w:hAnsi="仿宋" w:eastAsia="仿宋" w:cs="仿宋_GB2312"/>
          <w:sz w:val="32"/>
          <w:szCs w:val="32"/>
          <w:lang w:bidi="ar"/>
        </w:rPr>
        <w:t>月</w:t>
      </w:r>
      <w:r>
        <w:rPr>
          <w:rFonts w:hint="eastAsia" w:ascii="仿宋" w:hAnsi="仿宋" w:eastAsia="仿宋" w:cs="仿宋_GB2312"/>
          <w:sz w:val="32"/>
          <w:szCs w:val="32"/>
          <w:lang w:val="en-US" w:eastAsia="zh-CN" w:bidi="ar"/>
        </w:rPr>
        <w:t>11日</w:t>
      </w:r>
      <w:r>
        <w:rPr>
          <w:rFonts w:hint="eastAsia" w:ascii="仿宋" w:hAnsi="仿宋" w:eastAsia="仿宋" w:cs="仿宋_GB2312"/>
          <w:sz w:val="32"/>
          <w:szCs w:val="32"/>
          <w:lang w:bidi="ar"/>
        </w:rPr>
        <w:t>下午17:00时。</w:t>
      </w:r>
    </w:p>
    <w:p w14:paraId="7456B7EB">
      <w:pPr>
        <w:adjustRightInd w:val="0"/>
        <w:snapToGrid w:val="0"/>
        <w:spacing w:line="500" w:lineRule="exact"/>
        <w:jc w:val="both"/>
        <w:rPr>
          <w:rFonts w:hint="eastAsia" w:ascii="仿宋" w:hAnsi="仿宋" w:eastAsia="仿宋" w:cs="仿宋_GB2312"/>
          <w:sz w:val="32"/>
          <w:szCs w:val="32"/>
          <w:lang w:bidi="ar"/>
        </w:rPr>
      </w:pPr>
      <w:r>
        <w:rPr>
          <w:rFonts w:hint="eastAsia" w:ascii="仿宋" w:hAnsi="仿宋" w:eastAsia="仿宋" w:cs="仿宋_GB2312"/>
          <w:sz w:val="32"/>
          <w:szCs w:val="32"/>
          <w:lang w:bidi="ar"/>
        </w:rPr>
        <w:t>3、报价文件递交地点：</w:t>
      </w:r>
      <w:r>
        <w:rPr>
          <w:rFonts w:hint="eastAsia" w:ascii="仿宋" w:hAnsi="仿宋" w:eastAsia="仿宋" w:cs="仿宋_GB2312"/>
          <w:sz w:val="32"/>
          <w:szCs w:val="32"/>
          <w:lang w:val="en-US" w:eastAsia="zh-CN"/>
        </w:rPr>
        <w:t>将军桥11号</w:t>
      </w:r>
      <w:r>
        <w:rPr>
          <w:rFonts w:hint="eastAsia" w:ascii="仿宋" w:hAnsi="仿宋" w:eastAsia="仿宋" w:cs="仿宋_GB2312"/>
          <w:sz w:val="32"/>
          <w:szCs w:val="32"/>
          <w:lang w:bidi="ar"/>
        </w:rPr>
        <w:t>。</w:t>
      </w:r>
    </w:p>
    <w:p w14:paraId="22678266">
      <w:pPr>
        <w:adjustRightInd w:val="0"/>
        <w:snapToGrid w:val="0"/>
        <w:spacing w:line="500" w:lineRule="exact"/>
        <w:jc w:val="both"/>
        <w:rPr>
          <w:rFonts w:ascii="仿宋" w:hAnsi="仿宋" w:eastAsia="仿宋" w:cs="仿宋_GB2312"/>
          <w:sz w:val="32"/>
          <w:szCs w:val="32"/>
          <w:lang w:bidi="ar"/>
        </w:rPr>
      </w:pPr>
      <w:r>
        <w:rPr>
          <w:rFonts w:hint="eastAsia" w:ascii="仿宋" w:hAnsi="仿宋" w:eastAsia="仿宋" w:cs="仿宋_GB2312"/>
          <w:sz w:val="32"/>
          <w:szCs w:val="32"/>
          <w:lang w:bidi="ar"/>
        </w:rPr>
        <w:t>4、报价文件开启时间：202</w:t>
      </w:r>
      <w:r>
        <w:rPr>
          <w:rFonts w:hint="eastAsia" w:ascii="仿宋" w:hAnsi="仿宋" w:eastAsia="仿宋" w:cs="仿宋_GB2312"/>
          <w:sz w:val="32"/>
          <w:szCs w:val="32"/>
          <w:lang w:val="en-US" w:eastAsia="zh-CN" w:bidi="ar"/>
        </w:rPr>
        <w:t>4</w:t>
      </w:r>
      <w:r>
        <w:rPr>
          <w:rFonts w:hint="eastAsia" w:ascii="仿宋" w:hAnsi="仿宋" w:eastAsia="仿宋" w:cs="仿宋_GB2312"/>
          <w:sz w:val="32"/>
          <w:szCs w:val="32"/>
          <w:lang w:bidi="ar"/>
        </w:rPr>
        <w:t>年</w:t>
      </w:r>
      <w:r>
        <w:rPr>
          <w:rFonts w:hint="eastAsia" w:ascii="仿宋" w:hAnsi="仿宋" w:eastAsia="仿宋" w:cs="仿宋_GB2312"/>
          <w:sz w:val="32"/>
          <w:szCs w:val="32"/>
          <w:lang w:val="en-US" w:eastAsia="zh-CN" w:bidi="ar"/>
        </w:rPr>
        <w:t>12</w:t>
      </w:r>
      <w:r>
        <w:rPr>
          <w:rFonts w:hint="eastAsia" w:ascii="仿宋" w:hAnsi="仿宋" w:eastAsia="仿宋" w:cs="仿宋_GB2312"/>
          <w:sz w:val="32"/>
          <w:szCs w:val="32"/>
          <w:lang w:bidi="ar"/>
        </w:rPr>
        <w:t>月</w:t>
      </w:r>
      <w:r>
        <w:rPr>
          <w:rFonts w:hint="eastAsia" w:ascii="仿宋" w:hAnsi="仿宋" w:eastAsia="仿宋" w:cs="仿宋_GB2312"/>
          <w:sz w:val="32"/>
          <w:szCs w:val="32"/>
          <w:lang w:val="en-US" w:eastAsia="zh-CN" w:bidi="ar"/>
        </w:rPr>
        <w:t>12</w:t>
      </w:r>
      <w:r>
        <w:rPr>
          <w:rFonts w:hint="eastAsia" w:ascii="仿宋" w:hAnsi="仿宋" w:eastAsia="仿宋" w:cs="仿宋_GB2312"/>
          <w:sz w:val="32"/>
          <w:szCs w:val="32"/>
          <w:lang w:bidi="ar"/>
        </w:rPr>
        <w:t>日</w:t>
      </w:r>
      <w:r>
        <w:rPr>
          <w:rFonts w:hint="eastAsia" w:ascii="仿宋" w:hAnsi="仿宋" w:eastAsia="仿宋" w:cs="仿宋_GB2312"/>
          <w:sz w:val="32"/>
          <w:szCs w:val="32"/>
          <w:lang w:val="en-US" w:eastAsia="zh-CN" w:bidi="ar"/>
        </w:rPr>
        <w:t>上午9</w:t>
      </w:r>
      <w:r>
        <w:rPr>
          <w:rFonts w:hint="eastAsia" w:ascii="仿宋" w:hAnsi="仿宋" w:eastAsia="仿宋" w:cs="仿宋_GB2312"/>
          <w:sz w:val="32"/>
          <w:szCs w:val="32"/>
          <w:lang w:bidi="ar"/>
        </w:rPr>
        <w:t>：00时。</w:t>
      </w:r>
    </w:p>
    <w:p w14:paraId="16C8A54D">
      <w:pPr>
        <w:adjustRightInd w:val="0"/>
        <w:snapToGrid w:val="0"/>
        <w:spacing w:line="50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bidi="ar"/>
        </w:rPr>
        <w:t>5、报价文件开启地点：</w:t>
      </w:r>
      <w:r>
        <w:rPr>
          <w:rFonts w:hint="eastAsia" w:ascii="仿宋" w:hAnsi="仿宋" w:eastAsia="仿宋" w:cs="仿宋_GB2312"/>
          <w:sz w:val="32"/>
          <w:szCs w:val="32"/>
          <w:lang w:val="en-US" w:eastAsia="zh-CN"/>
        </w:rPr>
        <w:t>将军桥11号</w:t>
      </w:r>
      <w:r>
        <w:rPr>
          <w:rFonts w:hint="eastAsia" w:ascii="仿宋" w:hAnsi="仿宋" w:eastAsia="仿宋" w:cs="仿宋_GB2312"/>
          <w:sz w:val="32"/>
          <w:szCs w:val="32"/>
          <w:lang w:bidi="ar"/>
        </w:rPr>
        <w:t>。</w:t>
      </w:r>
    </w:p>
    <w:p w14:paraId="4DC6D948">
      <w:pPr>
        <w:adjustRightInd w:val="0"/>
        <w:snapToGrid w:val="0"/>
        <w:spacing w:line="500" w:lineRule="exact"/>
        <w:ind w:firstLine="640" w:firstLineChars="200"/>
        <w:jc w:val="both"/>
        <w:rPr>
          <w:rFonts w:ascii="黑体" w:hAnsi="黑体" w:eastAsia="黑体" w:cs="楷体_GB2312"/>
          <w:bCs/>
          <w:sz w:val="32"/>
          <w:szCs w:val="32"/>
          <w:lang w:bidi="ar"/>
        </w:rPr>
      </w:pPr>
      <w:r>
        <w:rPr>
          <w:rFonts w:hint="eastAsia" w:ascii="黑体" w:hAnsi="黑体" w:eastAsia="黑体" w:cs="楷体_GB2312"/>
          <w:bCs/>
          <w:sz w:val="32"/>
          <w:szCs w:val="32"/>
          <w:lang w:bidi="ar"/>
        </w:rPr>
        <w:t>三、其他说明：</w:t>
      </w:r>
    </w:p>
    <w:p w14:paraId="6526D0D3">
      <w:pPr>
        <w:adjustRightInd w:val="0"/>
        <w:snapToGrid w:val="0"/>
        <w:spacing w:line="500" w:lineRule="exact"/>
        <w:ind w:firstLine="640" w:firstLineChars="200"/>
        <w:jc w:val="both"/>
        <w:rPr>
          <w:rFonts w:ascii="仿宋" w:hAnsi="仿宋" w:eastAsia="仿宋" w:cs="仿宋_GB2312"/>
          <w:sz w:val="32"/>
          <w:szCs w:val="32"/>
          <w:lang w:bidi="ar"/>
        </w:rPr>
      </w:pPr>
      <w:r>
        <w:rPr>
          <w:rFonts w:hint="eastAsia" w:ascii="仿宋" w:hAnsi="仿宋" w:eastAsia="仿宋" w:cs="仿宋_GB2312"/>
          <w:sz w:val="32"/>
          <w:szCs w:val="32"/>
          <w:lang w:bidi="ar"/>
        </w:rPr>
        <w:t>1、竞租人须为符合国家法律法规经营企业或个人。（竞租人未在 “中国执行信息公开网”和“信用中国”网站被列入失信被执行人、重大税收违法案件当事人等负面名单）。</w:t>
      </w:r>
    </w:p>
    <w:p w14:paraId="5D9DF51D">
      <w:pPr>
        <w:adjustRightInd w:val="0"/>
        <w:snapToGrid w:val="0"/>
        <w:spacing w:line="500" w:lineRule="exact"/>
        <w:ind w:firstLine="640" w:firstLineChars="200"/>
        <w:jc w:val="both"/>
        <w:rPr>
          <w:rFonts w:ascii="仿宋" w:hAnsi="仿宋" w:eastAsia="仿宋" w:cs="仿宋_GB2312"/>
          <w:sz w:val="32"/>
          <w:szCs w:val="32"/>
          <w:lang w:bidi="ar"/>
        </w:rPr>
      </w:pPr>
      <w:r>
        <w:rPr>
          <w:rFonts w:hint="eastAsia" w:ascii="仿宋" w:hAnsi="仿宋" w:eastAsia="仿宋" w:cs="仿宋_GB2312"/>
          <w:sz w:val="32"/>
          <w:szCs w:val="32"/>
          <w:lang w:val="en-US" w:eastAsia="zh-CN" w:bidi="ar"/>
        </w:rPr>
        <w:t>2</w:t>
      </w:r>
      <w:r>
        <w:rPr>
          <w:rFonts w:hint="eastAsia" w:ascii="仿宋" w:hAnsi="仿宋" w:eastAsia="仿宋" w:cs="仿宋_GB2312"/>
          <w:sz w:val="32"/>
          <w:szCs w:val="32"/>
          <w:lang w:bidi="ar"/>
        </w:rPr>
        <w:t>、租赁房产土地不得作为只对少数人开放、实行会员制的高档经营场所（私人会所）。</w:t>
      </w:r>
    </w:p>
    <w:p w14:paraId="1BD42686">
      <w:pPr>
        <w:adjustRightInd w:val="0"/>
        <w:snapToGrid w:val="0"/>
        <w:spacing w:line="500" w:lineRule="exact"/>
        <w:ind w:firstLine="640" w:firstLineChars="200"/>
        <w:jc w:val="both"/>
        <w:rPr>
          <w:rFonts w:ascii="仿宋" w:hAnsi="仿宋" w:eastAsia="仿宋" w:cs="仿宋_GB2312"/>
          <w:sz w:val="32"/>
          <w:szCs w:val="32"/>
          <w:lang w:bidi="ar"/>
        </w:rPr>
      </w:pPr>
      <w:r>
        <w:rPr>
          <w:rFonts w:hint="eastAsia" w:ascii="仿宋" w:hAnsi="仿宋" w:eastAsia="仿宋" w:cs="仿宋_GB2312"/>
          <w:sz w:val="32"/>
          <w:szCs w:val="32"/>
          <w:lang w:val="en-US" w:eastAsia="zh-CN" w:bidi="ar"/>
        </w:rPr>
        <w:t>3</w:t>
      </w:r>
      <w:r>
        <w:rPr>
          <w:rFonts w:hint="eastAsia" w:ascii="仿宋" w:hAnsi="仿宋" w:eastAsia="仿宋" w:cs="仿宋_GB2312"/>
          <w:sz w:val="32"/>
          <w:szCs w:val="32"/>
          <w:lang w:bidi="ar"/>
        </w:rPr>
        <w:t>、如有未尽事宜在《招租须知》及《</w:t>
      </w:r>
      <w:r>
        <w:rPr>
          <w:rFonts w:hint="eastAsia" w:ascii="仿宋" w:hAnsi="仿宋" w:eastAsia="仿宋" w:cs="仿宋_GB2312"/>
          <w:sz w:val="32"/>
          <w:szCs w:val="32"/>
          <w:lang w:val="en-US" w:eastAsia="zh-CN" w:bidi="ar"/>
        </w:rPr>
        <w:t>房产</w:t>
      </w:r>
      <w:r>
        <w:rPr>
          <w:rFonts w:hint="eastAsia" w:ascii="仿宋" w:hAnsi="仿宋" w:eastAsia="仿宋" w:cs="仿宋_GB2312"/>
          <w:sz w:val="32"/>
          <w:szCs w:val="32"/>
          <w:lang w:bidi="ar"/>
        </w:rPr>
        <w:t>租赁合同》中明确。</w:t>
      </w:r>
    </w:p>
    <w:p w14:paraId="7CEE504E">
      <w:pPr>
        <w:adjustRightInd w:val="0"/>
        <w:snapToGrid w:val="0"/>
        <w:spacing w:line="500" w:lineRule="exact"/>
        <w:ind w:firstLine="640" w:firstLineChars="200"/>
        <w:jc w:val="both"/>
        <w:rPr>
          <w:rFonts w:ascii="黑体" w:hAnsi="黑体" w:eastAsia="黑体" w:cs="楷体_GB2312"/>
          <w:bCs/>
          <w:sz w:val="32"/>
          <w:szCs w:val="32"/>
          <w:lang w:bidi="ar"/>
        </w:rPr>
      </w:pPr>
      <w:r>
        <w:rPr>
          <w:rFonts w:hint="eastAsia" w:ascii="黑体" w:hAnsi="黑体" w:eastAsia="黑体" w:cs="楷体_GB2312"/>
          <w:bCs/>
          <w:sz w:val="32"/>
          <w:szCs w:val="32"/>
          <w:lang w:bidi="ar"/>
        </w:rPr>
        <w:t>四、联系方式：</w:t>
      </w:r>
    </w:p>
    <w:p w14:paraId="512F3754">
      <w:pPr>
        <w:adjustRightInd w:val="0"/>
        <w:snapToGrid w:val="0"/>
        <w:spacing w:line="500" w:lineRule="exact"/>
        <w:ind w:left="1024" w:leftChars="320" w:firstLine="0" w:firstLineChars="0"/>
        <w:jc w:val="both"/>
        <w:rPr>
          <w:rFonts w:hint="eastAsia" w:ascii="仿宋" w:hAnsi="仿宋" w:eastAsia="仿宋" w:cs="仿宋_GB2312"/>
          <w:sz w:val="32"/>
          <w:szCs w:val="32"/>
        </w:rPr>
      </w:pPr>
      <w:r>
        <w:rPr>
          <w:rFonts w:hint="eastAsia" w:ascii="仿宋" w:hAnsi="仿宋" w:eastAsia="仿宋" w:cs="仿宋_GB2312"/>
          <w:sz w:val="32"/>
          <w:szCs w:val="32"/>
        </w:rPr>
        <w:t>地点：</w:t>
      </w:r>
      <w:r>
        <w:rPr>
          <w:rFonts w:hint="eastAsia" w:ascii="仿宋" w:hAnsi="仿宋" w:eastAsia="仿宋" w:cs="仿宋_GB2312"/>
          <w:sz w:val="32"/>
          <w:szCs w:val="32"/>
          <w:lang w:val="en-US" w:eastAsia="zh-CN"/>
        </w:rPr>
        <w:t>将军桥11号</w:t>
      </w:r>
      <w:r>
        <w:rPr>
          <w:rFonts w:hint="eastAsia" w:ascii="仿宋" w:hAnsi="仿宋" w:eastAsia="仿宋" w:cs="仿宋_GB2312"/>
          <w:sz w:val="32"/>
          <w:szCs w:val="32"/>
        </w:rPr>
        <w:t>。</w:t>
      </w:r>
    </w:p>
    <w:p w14:paraId="12152E3C">
      <w:pPr>
        <w:adjustRightInd w:val="0"/>
        <w:snapToGrid w:val="0"/>
        <w:spacing w:line="500" w:lineRule="exact"/>
        <w:ind w:left="1024" w:leftChars="320" w:firstLine="0" w:firstLineChars="0"/>
        <w:jc w:val="both"/>
        <w:rPr>
          <w:rFonts w:hint="default" w:ascii="仿宋" w:hAnsi="仿宋" w:eastAsia="仿宋" w:cs="仿宋_GB2312"/>
          <w:sz w:val="32"/>
          <w:szCs w:val="32"/>
          <w:lang w:val="en-US" w:eastAsia="zh-CN"/>
        </w:rPr>
      </w:pPr>
      <w:r>
        <w:rPr>
          <w:rFonts w:hint="eastAsia" w:ascii="仿宋" w:hAnsi="仿宋" w:eastAsia="仿宋" w:cs="仿宋_GB2312"/>
          <w:sz w:val="32"/>
          <w:szCs w:val="32"/>
        </w:rPr>
        <w:t>联系人：</w:t>
      </w:r>
      <w:r>
        <w:rPr>
          <w:rFonts w:hint="eastAsia" w:ascii="仿宋" w:hAnsi="仿宋" w:eastAsia="仿宋" w:cs="仿宋_GB2312"/>
          <w:sz w:val="32"/>
          <w:szCs w:val="32"/>
          <w:lang w:val="en-US" w:eastAsia="zh-CN" w:bidi="ar"/>
        </w:rPr>
        <w:t>陈厂长</w:t>
      </w:r>
      <w:r>
        <w:rPr>
          <w:rFonts w:ascii="Calibri" w:hAnsi="Calibri" w:eastAsia="仿宋" w:cs="Calibri"/>
          <w:sz w:val="32"/>
          <w:szCs w:val="32"/>
          <w:lang w:bidi="ar"/>
        </w:rPr>
        <w:t xml:space="preserve"> </w:t>
      </w:r>
      <w:r>
        <w:rPr>
          <w:rFonts w:hint="eastAsia" w:ascii="仿宋" w:hAnsi="仿宋" w:eastAsia="仿宋" w:cs="仿宋_GB2312"/>
          <w:sz w:val="32"/>
          <w:szCs w:val="32"/>
          <w:lang w:bidi="ar"/>
        </w:rPr>
        <w:t>联系电话：</w:t>
      </w:r>
      <w:r>
        <w:rPr>
          <w:rFonts w:hint="eastAsia" w:ascii="仿宋" w:hAnsi="仿宋" w:eastAsia="仿宋" w:cs="仿宋_GB2312"/>
          <w:sz w:val="32"/>
          <w:szCs w:val="32"/>
          <w:lang w:val="en-US" w:eastAsia="zh-CN" w:bidi="ar"/>
        </w:rPr>
        <w:t>17706670729</w:t>
      </w:r>
    </w:p>
    <w:p w14:paraId="5DD4387B">
      <w:pPr>
        <w:adjustRightInd w:val="0"/>
        <w:snapToGrid w:val="0"/>
        <w:spacing w:line="500" w:lineRule="exact"/>
        <w:ind w:firstLine="1600" w:firstLineChars="500"/>
        <w:jc w:val="both"/>
        <w:rPr>
          <w:rFonts w:ascii="仿宋" w:hAnsi="仿宋" w:eastAsia="仿宋" w:cs="仿宋_GB2312"/>
          <w:sz w:val="32"/>
          <w:szCs w:val="32"/>
          <w:lang w:bidi="ar"/>
        </w:rPr>
      </w:pPr>
      <w:r>
        <w:rPr>
          <w:rFonts w:hint="eastAsia" w:ascii="仿宋" w:hAnsi="仿宋" w:eastAsia="仿宋" w:cs="仿宋_GB2312"/>
          <w:sz w:val="32"/>
          <w:szCs w:val="32"/>
          <w:lang w:bidi="ar"/>
        </w:rPr>
        <w:t>附件：《招租须知》</w:t>
      </w:r>
    </w:p>
    <w:p w14:paraId="75F1CD5F">
      <w:pPr>
        <w:adjustRightInd w:val="0"/>
        <w:snapToGrid w:val="0"/>
        <w:spacing w:line="500" w:lineRule="exact"/>
        <w:jc w:val="both"/>
        <w:rPr>
          <w:rFonts w:ascii="Calibri" w:hAnsi="Calibri" w:eastAsia="仿宋" w:cs="Calibri"/>
          <w:sz w:val="32"/>
          <w:szCs w:val="32"/>
        </w:rPr>
      </w:pPr>
    </w:p>
    <w:p w14:paraId="4A9C5E01">
      <w:pPr>
        <w:adjustRightInd w:val="0"/>
        <w:snapToGrid w:val="0"/>
        <w:spacing w:line="500" w:lineRule="exact"/>
        <w:ind w:firstLine="640" w:firstLineChars="200"/>
        <w:jc w:val="both"/>
        <w:rPr>
          <w:rFonts w:ascii="Calibri" w:hAnsi="Calibri" w:eastAsia="仿宋" w:cs="Calibri"/>
          <w:sz w:val="32"/>
          <w:szCs w:val="32"/>
        </w:rPr>
      </w:pPr>
    </w:p>
    <w:p w14:paraId="0289DF82">
      <w:pPr>
        <w:adjustRightInd w:val="0"/>
        <w:snapToGrid w:val="0"/>
        <w:spacing w:line="500" w:lineRule="exact"/>
        <w:ind w:firstLine="640" w:firstLineChars="200"/>
        <w:jc w:val="both"/>
        <w:rPr>
          <w:rFonts w:ascii="Calibri" w:hAnsi="Calibri" w:eastAsia="仿宋" w:cs="Calibri"/>
          <w:sz w:val="32"/>
          <w:szCs w:val="32"/>
        </w:rPr>
      </w:pPr>
    </w:p>
    <w:p w14:paraId="22CEA0BA">
      <w:pPr>
        <w:adjustRightInd w:val="0"/>
        <w:snapToGrid w:val="0"/>
        <w:spacing w:line="500" w:lineRule="exact"/>
        <w:ind w:firstLine="640" w:firstLineChars="200"/>
        <w:jc w:val="right"/>
        <w:rPr>
          <w:rFonts w:ascii="仿宋" w:hAnsi="仿宋" w:eastAsia="仿宋" w:cs="仿宋_GB2312"/>
          <w:sz w:val="32"/>
          <w:szCs w:val="32"/>
        </w:rPr>
      </w:pPr>
      <w:r>
        <w:rPr>
          <w:rFonts w:hint="eastAsia" w:ascii="仿宋" w:hAnsi="仿宋" w:eastAsia="仿宋" w:cs="仿宋_GB2312"/>
          <w:sz w:val="32"/>
          <w:szCs w:val="32"/>
        </w:rPr>
        <w:t xml:space="preserve">                     温州市</w:t>
      </w:r>
      <w:r>
        <w:rPr>
          <w:rFonts w:hint="eastAsia" w:ascii="仿宋" w:hAnsi="仿宋" w:eastAsia="仿宋" w:cs="仿宋_GB2312"/>
          <w:sz w:val="32"/>
          <w:szCs w:val="32"/>
          <w:lang w:val="en-US" w:eastAsia="zh-CN"/>
        </w:rPr>
        <w:t>无线电一厂</w:t>
      </w:r>
    </w:p>
    <w:p w14:paraId="6735CEBF">
      <w:pPr>
        <w:adjustRightInd w:val="0"/>
        <w:snapToGrid w:val="0"/>
        <w:spacing w:line="500" w:lineRule="exact"/>
        <w:ind w:firstLine="640" w:firstLineChars="200"/>
        <w:jc w:val="both"/>
        <w:rPr>
          <w:rFonts w:hint="eastAsia"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2024年</w:t>
      </w:r>
      <w:r>
        <w:rPr>
          <w:rFonts w:hint="eastAsia" w:ascii="仿宋" w:hAnsi="仿宋" w:eastAsia="仿宋" w:cs="仿宋_GB2312"/>
          <w:sz w:val="32"/>
          <w:szCs w:val="32"/>
          <w:lang w:val="en-US" w:eastAsia="zh-CN"/>
        </w:rPr>
        <w:t>12</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 xml:space="preserve">日 </w:t>
      </w:r>
    </w:p>
    <w:p w14:paraId="1AC22879">
      <w:pPr>
        <w:rPr>
          <w:rFonts w:hint="default" w:ascii="仿宋" w:hAnsi="仿宋" w:eastAsia="仿宋" w:cs="仿宋"/>
          <w:lang w:val="en-US" w:eastAsia="zh-CN"/>
        </w:rPr>
      </w:pPr>
    </w:p>
    <w:p w14:paraId="72280238">
      <w:pPr>
        <w:rPr>
          <w:rFonts w:hint="default" w:ascii="仿宋" w:hAnsi="仿宋" w:eastAsia="仿宋" w:cs="仿宋"/>
          <w:lang w:val="en-US" w:eastAsia="zh-CN"/>
        </w:rPr>
      </w:pPr>
    </w:p>
    <w:p w14:paraId="49F51942">
      <w:pPr>
        <w:rPr>
          <w:rFonts w:hint="default" w:ascii="仿宋" w:hAnsi="仿宋" w:eastAsia="仿宋" w:cs="仿宋"/>
          <w:lang w:val="en-US" w:eastAsia="zh-CN"/>
        </w:rPr>
      </w:pPr>
    </w:p>
    <w:p w14:paraId="4CABB3D8">
      <w:pPr>
        <w:rPr>
          <w:rFonts w:hint="default" w:ascii="仿宋" w:hAnsi="仿宋" w:eastAsia="仿宋" w:cs="仿宋"/>
          <w:lang w:val="en-US" w:eastAsia="zh-CN"/>
        </w:rPr>
      </w:pPr>
    </w:p>
    <w:p w14:paraId="7F76FE99">
      <w:pPr>
        <w:rPr>
          <w:rFonts w:hint="default" w:ascii="仿宋" w:hAnsi="仿宋" w:eastAsia="仿宋" w:cs="仿宋"/>
          <w:lang w:val="en-US" w:eastAsia="zh-CN"/>
        </w:rPr>
      </w:pPr>
    </w:p>
    <w:p w14:paraId="44F54502">
      <w:pPr>
        <w:rPr>
          <w:rFonts w:hint="default" w:ascii="仿宋" w:hAnsi="仿宋" w:eastAsia="仿宋" w:cs="仿宋"/>
          <w:lang w:val="en-US" w:eastAsia="zh-CN"/>
        </w:rPr>
      </w:pPr>
    </w:p>
    <w:p w14:paraId="0F4405E9">
      <w:pPr>
        <w:rPr>
          <w:rFonts w:hint="default" w:ascii="仿宋" w:hAnsi="仿宋" w:eastAsia="仿宋" w:cs="仿宋"/>
          <w:lang w:val="en-US" w:eastAsia="zh-CN"/>
        </w:rPr>
      </w:pPr>
    </w:p>
    <w:p w14:paraId="4FF7136A">
      <w:pPr>
        <w:rPr>
          <w:rFonts w:hint="default" w:ascii="仿宋" w:hAnsi="仿宋" w:eastAsia="仿宋" w:cs="仿宋"/>
          <w:lang w:val="en-US" w:eastAsia="zh-CN"/>
        </w:rPr>
      </w:pPr>
    </w:p>
    <w:p w14:paraId="284519FB">
      <w:pPr>
        <w:rPr>
          <w:rFonts w:hint="default" w:ascii="仿宋" w:hAnsi="仿宋" w:eastAsia="仿宋" w:cs="仿宋"/>
          <w:lang w:val="en-US" w:eastAsia="zh-CN"/>
        </w:rPr>
      </w:pPr>
    </w:p>
    <w:p w14:paraId="303DD09D">
      <w:pPr>
        <w:rPr>
          <w:rFonts w:hint="default" w:ascii="仿宋" w:hAnsi="仿宋" w:eastAsia="仿宋" w:cs="仿宋"/>
          <w:lang w:val="en-US" w:eastAsia="zh-CN"/>
        </w:rPr>
      </w:pPr>
    </w:p>
    <w:p w14:paraId="4A8695BC">
      <w:pPr>
        <w:rPr>
          <w:rFonts w:hint="default" w:ascii="仿宋" w:hAnsi="仿宋" w:eastAsia="仿宋" w:cs="仿宋"/>
          <w:lang w:val="en-US" w:eastAsia="zh-CN"/>
        </w:rPr>
      </w:pPr>
    </w:p>
    <w:p w14:paraId="10903485">
      <w:pPr>
        <w:rPr>
          <w:rFonts w:hint="default" w:ascii="仿宋" w:hAnsi="仿宋" w:eastAsia="仿宋" w:cs="仿宋"/>
          <w:lang w:val="en-US" w:eastAsia="zh-CN"/>
        </w:rPr>
      </w:pPr>
    </w:p>
    <w:p w14:paraId="31FA1E80">
      <w:pPr>
        <w:rPr>
          <w:rFonts w:hint="default" w:ascii="仿宋" w:hAnsi="仿宋" w:eastAsia="仿宋" w:cs="仿宋"/>
          <w:lang w:val="en-US" w:eastAsia="zh-CN"/>
        </w:rPr>
      </w:pPr>
    </w:p>
    <w:p w14:paraId="106C5751">
      <w:pPr>
        <w:rPr>
          <w:rFonts w:hint="default" w:ascii="仿宋" w:hAnsi="仿宋" w:eastAsia="仿宋" w:cs="仿宋"/>
          <w:lang w:val="en-US" w:eastAsia="zh-CN"/>
        </w:rPr>
      </w:pPr>
    </w:p>
    <w:p w14:paraId="0756C603">
      <w:pPr>
        <w:rPr>
          <w:rFonts w:hint="default" w:ascii="仿宋" w:hAnsi="仿宋" w:eastAsia="仿宋" w:cs="仿宋"/>
          <w:lang w:val="en-US" w:eastAsia="zh-CN"/>
        </w:rPr>
      </w:pPr>
    </w:p>
    <w:p w14:paraId="66F0C530">
      <w:pPr>
        <w:rPr>
          <w:rFonts w:hint="default" w:ascii="仿宋" w:hAnsi="仿宋" w:eastAsia="仿宋" w:cs="仿宋"/>
          <w:lang w:val="en-US" w:eastAsia="zh-CN"/>
        </w:rPr>
      </w:pPr>
    </w:p>
    <w:p w14:paraId="605EB7BE">
      <w:pPr>
        <w:rPr>
          <w:rFonts w:hint="default" w:ascii="仿宋" w:hAnsi="仿宋" w:eastAsia="仿宋" w:cs="仿宋"/>
          <w:lang w:val="en-US" w:eastAsia="zh-CN"/>
        </w:rPr>
      </w:pPr>
    </w:p>
    <w:p w14:paraId="056B7D37">
      <w:pPr>
        <w:rPr>
          <w:rFonts w:hint="default" w:ascii="仿宋" w:hAnsi="仿宋" w:eastAsia="仿宋" w:cs="仿宋"/>
          <w:lang w:val="en-US" w:eastAsia="zh-CN"/>
        </w:rPr>
      </w:pPr>
    </w:p>
    <w:p w14:paraId="614F44D0">
      <w:pPr>
        <w:rPr>
          <w:rFonts w:hint="default" w:ascii="仿宋" w:hAnsi="仿宋" w:eastAsia="仿宋" w:cs="仿宋"/>
          <w:lang w:val="en-US" w:eastAsia="zh-CN"/>
        </w:rPr>
      </w:pPr>
    </w:p>
    <w:p w14:paraId="34F0C1B5">
      <w:pPr>
        <w:spacing w:line="56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14:paraId="4138AF50">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招租须知</w:t>
      </w:r>
    </w:p>
    <w:p w14:paraId="62109EBF">
      <w:pPr>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一、招租对象要求</w:t>
      </w:r>
    </w:p>
    <w:p w14:paraId="0D1B285C">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w:t>
      </w:r>
      <w:r>
        <w:rPr>
          <w:rFonts w:hint="eastAsia" w:ascii="仿宋_GB2312" w:hAnsi="仿宋" w:eastAsia="仿宋_GB2312" w:cs="仿宋"/>
          <w:sz w:val="32"/>
          <w:szCs w:val="32"/>
          <w:lang w:eastAsia="zh-Hans"/>
        </w:rPr>
        <w:t>法人或非法人组织，或具备完全民事行为能力的自然人</w:t>
      </w:r>
      <w:r>
        <w:rPr>
          <w:rFonts w:hint="eastAsia" w:ascii="仿宋_GB2312" w:hAnsi="仿宋" w:eastAsia="仿宋_GB2312" w:cs="仿宋"/>
          <w:sz w:val="32"/>
          <w:szCs w:val="32"/>
        </w:rPr>
        <w:t>；</w:t>
      </w:r>
    </w:p>
    <w:p w14:paraId="582450FD">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（二）具有良好的商业信誉</w:t>
      </w:r>
      <w:r>
        <w:rPr>
          <w:rFonts w:hint="eastAsia" w:ascii="仿宋_GB2312" w:hAnsi="仿宋" w:eastAsia="仿宋_GB2312" w:cs="仿宋"/>
          <w:sz w:val="32"/>
          <w:szCs w:val="32"/>
          <w:lang w:eastAsia="zh-Hans"/>
        </w:rPr>
        <w:t>、</w:t>
      </w:r>
      <w:r>
        <w:rPr>
          <w:rFonts w:hint="eastAsia" w:ascii="仿宋_GB2312" w:hAnsi="仿宋" w:eastAsia="仿宋_GB2312" w:cs="仿宋"/>
          <w:sz w:val="32"/>
          <w:szCs w:val="32"/>
        </w:rPr>
        <w:t>财务状况和支付能力；</w:t>
      </w:r>
    </w:p>
    <w:p w14:paraId="3461B79F">
      <w:pPr>
        <w:spacing w:line="560" w:lineRule="exact"/>
        <w:ind w:firstLine="640" w:firstLineChars="200"/>
        <w:rPr>
          <w:rFonts w:ascii="仿宋_GB2312" w:hAnsi="仿宋" w:eastAsia="仿宋_GB2312" w:cs="仿宋"/>
          <w:sz w:val="32"/>
          <w:szCs w:val="32"/>
          <w:highlight w:val="red"/>
        </w:rPr>
      </w:pPr>
      <w:r>
        <w:rPr>
          <w:rFonts w:hint="eastAsia" w:ascii="仿宋_GB2312" w:hAnsi="仿宋" w:eastAsia="仿宋_GB2312" w:cs="仿宋"/>
          <w:sz w:val="32"/>
          <w:szCs w:val="32"/>
        </w:rPr>
        <w:t>（三）</w:t>
      </w:r>
      <w:r>
        <w:rPr>
          <w:rFonts w:hint="eastAsia" w:ascii="仿宋_GB2312" w:hAnsi="仿宋" w:eastAsia="仿宋_GB2312" w:cs="仿宋"/>
          <w:sz w:val="32"/>
          <w:szCs w:val="32"/>
          <w:lang w:eastAsia="zh-Hans"/>
        </w:rPr>
        <w:t>承租人</w:t>
      </w:r>
      <w:r>
        <w:rPr>
          <w:rFonts w:hint="eastAsia" w:ascii="仿宋_GB2312" w:hAnsi="仿宋" w:eastAsia="仿宋_GB2312" w:cs="仿宋"/>
          <w:sz w:val="32"/>
          <w:szCs w:val="32"/>
        </w:rPr>
        <w:t>为法人</w:t>
      </w:r>
      <w:r>
        <w:rPr>
          <w:rFonts w:hint="eastAsia" w:ascii="仿宋_GB2312" w:hAnsi="仿宋" w:eastAsia="仿宋_GB2312" w:cs="仿宋"/>
          <w:sz w:val="32"/>
          <w:szCs w:val="32"/>
          <w:lang w:eastAsia="zh-Hans"/>
        </w:rPr>
        <w:t>或非法人组织</w:t>
      </w:r>
      <w:r>
        <w:rPr>
          <w:rFonts w:hint="eastAsia" w:ascii="仿宋_GB2312" w:hAnsi="仿宋" w:eastAsia="仿宋_GB2312" w:cs="仿宋"/>
          <w:sz w:val="32"/>
          <w:szCs w:val="32"/>
        </w:rPr>
        <w:t>的，</w:t>
      </w:r>
      <w:r>
        <w:rPr>
          <w:rFonts w:hint="eastAsia" w:ascii="仿宋_GB2312" w:hAnsi="仿宋" w:eastAsia="仿宋_GB2312" w:cs="仿宋"/>
          <w:sz w:val="32"/>
          <w:szCs w:val="32"/>
          <w:lang w:eastAsia="zh-Hans"/>
        </w:rPr>
        <w:t>其实际控制人应</w:t>
      </w:r>
      <w:r>
        <w:rPr>
          <w:rFonts w:hint="eastAsia" w:ascii="仿宋_GB2312" w:hAnsi="仿宋" w:eastAsia="仿宋_GB2312" w:cs="仿宋"/>
          <w:sz w:val="32"/>
          <w:szCs w:val="32"/>
        </w:rPr>
        <w:t>为合同履约承担连带担保责任；</w:t>
      </w:r>
    </w:p>
    <w:p w14:paraId="52B67570">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eastAsia="zh-Hans"/>
        </w:rPr>
        <w:t>承租人</w:t>
      </w:r>
      <w:r>
        <w:rPr>
          <w:rFonts w:hint="eastAsia" w:ascii="仿宋_GB2312" w:hAnsi="仿宋" w:eastAsia="仿宋_GB2312" w:cs="仿宋"/>
          <w:sz w:val="32"/>
          <w:szCs w:val="32"/>
        </w:rPr>
        <w:t>为企业法人的，</w:t>
      </w:r>
      <w:r>
        <w:rPr>
          <w:rFonts w:hint="eastAsia" w:ascii="仿宋_GB2312" w:hAnsi="仿宋" w:eastAsia="仿宋_GB2312" w:cs="仿宋"/>
          <w:sz w:val="32"/>
          <w:szCs w:val="32"/>
          <w:lang w:eastAsia="zh-Hans"/>
        </w:rPr>
        <w:t>其</w:t>
      </w:r>
      <w:r>
        <w:rPr>
          <w:rFonts w:hint="eastAsia" w:ascii="仿宋_GB2312" w:hAnsi="仿宋" w:eastAsia="仿宋_GB2312" w:cs="仿宋"/>
          <w:sz w:val="32"/>
          <w:szCs w:val="32"/>
        </w:rPr>
        <w:t>最大股东</w:t>
      </w:r>
      <w:r>
        <w:rPr>
          <w:rFonts w:hint="eastAsia" w:ascii="仿宋_GB2312" w:hAnsi="仿宋" w:eastAsia="仿宋_GB2312" w:cs="仿宋"/>
          <w:sz w:val="32"/>
          <w:szCs w:val="32"/>
          <w:lang w:eastAsia="zh-Hans"/>
        </w:rPr>
        <w:t>应</w:t>
      </w:r>
      <w:r>
        <w:rPr>
          <w:rFonts w:hint="eastAsia" w:ascii="仿宋_GB2312" w:hAnsi="仿宋" w:eastAsia="仿宋_GB2312" w:cs="仿宋"/>
          <w:sz w:val="32"/>
          <w:szCs w:val="32"/>
        </w:rPr>
        <w:t>为合同履约承担连带担保责任；如最大股东为企业的，须再追加一名所占股份最多的自然人作为连带保证人，自然人应当具有完全民事行为能力；</w:t>
      </w:r>
    </w:p>
    <w:p w14:paraId="0D26C68E">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意向承租人及连带保证人，均须提供由征信机构出具的征信报告。征信报告中若出现两年内逾期超过3次或单次逾期超过两个月等不良征信记录的，则视为不合格意向承租人。如意向承租人不合格的，则不得参加本次租赁竞拍活动，如连带保证人不合格的，则不能承担连带保证责任，按照自然人股东所占比列顺延下去；</w:t>
      </w:r>
    </w:p>
    <w:p w14:paraId="0B310B04">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（五）已列入市工业与能源集团租赁失信人名单或被法院列入失信人的</w:t>
      </w:r>
      <w:r>
        <w:rPr>
          <w:rFonts w:hint="eastAsia" w:ascii="仿宋_GB2312" w:hAnsi="仿宋" w:eastAsia="仿宋_GB2312" w:cs="仿宋"/>
          <w:sz w:val="32"/>
          <w:szCs w:val="32"/>
          <w:lang w:eastAsia="zh-Hans"/>
        </w:rPr>
        <w:t>法人</w:t>
      </w:r>
      <w:r>
        <w:rPr>
          <w:rFonts w:hint="eastAsia" w:ascii="仿宋_GB2312" w:hAnsi="仿宋" w:eastAsia="仿宋_GB2312" w:cs="仿宋"/>
          <w:sz w:val="32"/>
          <w:szCs w:val="32"/>
        </w:rPr>
        <w:t>不得参加本次招租活动；</w:t>
      </w:r>
    </w:p>
    <w:p w14:paraId="02395814">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（六）租赁房</w:t>
      </w:r>
      <w:r>
        <w:rPr>
          <w:rFonts w:hint="eastAsia" w:ascii="仿宋_GB2312" w:hAnsi="仿宋_GB2312" w:eastAsia="仿宋_GB2312" w:cs="仿宋_GB2312"/>
          <w:sz w:val="32"/>
          <w:szCs w:val="32"/>
        </w:rPr>
        <w:t>产不得作为只对少数人开放的实行会员制的高档经营场所（私人会所）；</w:t>
      </w:r>
    </w:p>
    <w:p w14:paraId="51EE4A68">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_GB2312"/>
          <w:sz w:val="32"/>
          <w:szCs w:val="32"/>
        </w:rPr>
        <w:t>（七）</w:t>
      </w:r>
      <w:r>
        <w:rPr>
          <w:rFonts w:hint="eastAsia" w:ascii="仿宋_GB2312" w:hAnsi="仿宋" w:eastAsia="仿宋_GB2312" w:cs="仿宋"/>
          <w:sz w:val="32"/>
          <w:szCs w:val="32"/>
        </w:rPr>
        <w:t>符合国家法律法规规定的其他条件；</w:t>
      </w:r>
    </w:p>
    <w:p w14:paraId="44A4578D">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
          <w:sz w:val="32"/>
          <w:szCs w:val="32"/>
        </w:rPr>
        <w:t>（八）整体出租，不接受联合体报名。</w:t>
      </w:r>
    </w:p>
    <w:p w14:paraId="45BEF281">
      <w:pPr>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二、招租须知</w:t>
      </w:r>
    </w:p>
    <w:p w14:paraId="0084AD8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出租方收取租金后应开具有效发票给承租人，因承租方经营活动所产生的一切费用，包括但不限于税费、以及水电气费、通讯费、卫生费、治安费、物业管理费等均由承租人直接交纳并全额承担；合同终止或解除后，承租方需及时腾空，因腾空产生的相关费用及未缴纳的物业管理费、水电费以及租赁房产（含附属配套设备、设施）的日常维护修缮费等一切费用，须承租方自行负责并及时结清，出租方不承担相应的责任；</w:t>
      </w:r>
    </w:p>
    <w:p w14:paraId="4B76F35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出租标的物按现状、现功能进行出租。建筑面积为人工测量，存在一定误差，建筑面积以现场看样为准，如租赁面积有误差，不影响成交租金，本合同租金与竞价有关，与租赁面积无关。地上房屋结构、质量以现状为准，意向承租方报名参加竞价之前，须查询和实地踏勘了解出租标的物的现状情况、权证情况、房屋建筑工程项目相关审批文件资料以及周边环境等，意向承租</w:t>
      </w:r>
      <w:r>
        <w:rPr>
          <w:rFonts w:hint="eastAsia" w:ascii="仿宋_GB2312" w:hAnsi="仿宋_GB2312" w:eastAsia="仿宋_GB2312" w:cs="仿宋_GB2312"/>
          <w:sz w:val="32"/>
          <w:szCs w:val="32"/>
          <w:lang w:eastAsia="zh-Hans"/>
        </w:rPr>
        <w:t>方对租赁房屋的</w:t>
      </w:r>
      <w:r>
        <w:rPr>
          <w:rFonts w:hint="eastAsia" w:ascii="仿宋_GB2312" w:hAnsi="仿宋_GB2312" w:eastAsia="仿宋_GB2312" w:cs="仿宋_GB2312"/>
          <w:sz w:val="32"/>
          <w:szCs w:val="32"/>
        </w:rPr>
        <w:t>结构、设备的完好程度须做现场了解，</w:t>
      </w:r>
      <w:r>
        <w:rPr>
          <w:rFonts w:hint="eastAsia" w:ascii="仿宋_GB2312" w:hAnsi="仿宋_GB2312" w:eastAsia="仿宋_GB2312" w:cs="仿宋_GB2312"/>
          <w:sz w:val="32"/>
          <w:szCs w:val="32"/>
          <w:lang w:eastAsia="zh-Hans"/>
        </w:rPr>
        <w:t>对租赁房屋各项情况、存在问题</w:t>
      </w:r>
      <w:r>
        <w:rPr>
          <w:rFonts w:hint="eastAsia" w:ascii="仿宋_GB2312" w:hAnsi="仿宋_GB2312" w:eastAsia="仿宋_GB2312" w:cs="仿宋_GB2312"/>
          <w:sz w:val="32"/>
          <w:szCs w:val="32"/>
        </w:rPr>
        <w:t>须</w:t>
      </w:r>
      <w:r>
        <w:rPr>
          <w:rFonts w:hint="eastAsia" w:ascii="仿宋_GB2312" w:hAnsi="仿宋_GB2312" w:eastAsia="仿宋_GB2312" w:cs="仿宋_GB2312"/>
          <w:sz w:val="32"/>
          <w:szCs w:val="32"/>
          <w:lang w:eastAsia="zh-Hans"/>
        </w:rPr>
        <w:t>充分查验，知晓房屋存在老旧、部分破漏</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Hans"/>
        </w:rPr>
        <w:t>情况，</w:t>
      </w:r>
      <w:r>
        <w:rPr>
          <w:rFonts w:hint="eastAsia" w:ascii="仿宋_GB2312" w:hAnsi="仿宋_GB2312" w:eastAsia="仿宋_GB2312" w:cs="仿宋_GB2312"/>
          <w:sz w:val="32"/>
          <w:szCs w:val="32"/>
        </w:rPr>
        <w:t>如须修缮由承租方自行负责。意向承租户对标的物存在或可能存在的瑕疵（包括但不限于部分违章、相关经营的业态、施工审批及证照办理等问题)引发的使用风险作充分了解和预见，温州市工业资产营运管理有限公司不承担相关义务及责任，承租方也已充分了解该建筑的面积、位置、现状、以及配套设施等任何其他足以影响承租价的情况，任何忽视或误解拟承租建筑物状况的情况而导致的索赔申请均不被出租方接受；</w:t>
      </w:r>
    </w:p>
    <w:p w14:paraId="7576148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招租标的物交付,以移交时的租赁房产现场现状为准，就标的物存在或可能存在的瑕疵（包括但不限于漏水、墙地面开裂、门窗损坏、设备设施损坏缺失及部分违章等）和使用风险，须承租方自行修缮、弥补，承担；出租方不参与处理承租人与小区业主、业委会、物业等关系，由承租方自行解决处理，并履行小区物业及业委会的管理公约，以及由承租方缴纳物业费；相关风险承租人参与竞价时请做充分考虑，并保证不会以此为由向出租人提出任何主张；</w:t>
      </w:r>
    </w:p>
    <w:p w14:paraId="1FEBF05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（四）承租方须按照规划设计用途，合法经营，不得将标的物用于存放易燃、易爆物品。租赁</w:t>
      </w:r>
      <w:r>
        <w:rPr>
          <w:rFonts w:hint="eastAsia" w:ascii="仿宋_GB2312" w:hAnsi="仿宋_GB2312" w:eastAsia="仿宋_GB2312" w:cs="仿宋_GB2312"/>
          <w:sz w:val="32"/>
          <w:szCs w:val="32"/>
          <w:lang w:eastAsia="zh-Hans"/>
        </w:rPr>
        <w:t>房屋</w:t>
      </w:r>
      <w:r>
        <w:rPr>
          <w:rFonts w:hint="eastAsia" w:ascii="仿宋_GB2312" w:hAnsi="仿宋_GB2312" w:eastAsia="仿宋_GB2312" w:cs="仿宋_GB2312"/>
          <w:sz w:val="32"/>
          <w:szCs w:val="32"/>
        </w:rPr>
        <w:t>不得作为只对少数人开放、实行会员制的高档经营场所（私人会所）；</w:t>
      </w:r>
    </w:p>
    <w:p w14:paraId="710FBD9A">
      <w:pPr>
        <w:spacing w:line="560" w:lineRule="exact"/>
        <w:ind w:firstLine="640" w:firstLineChars="200"/>
        <w:rPr>
          <w:rFonts w:ascii="仿宋_GB2312" w:hAnsi="仿宋" w:eastAsia="仿宋_GB2312" w:cs="仿宋"/>
          <w:sz w:val="32"/>
          <w:szCs w:val="32"/>
        </w:rPr>
      </w:pPr>
      <w:r>
        <w:rPr>
          <w:rFonts w:hint="eastAsia" w:ascii="仿宋_GB2312" w:hAnsi="仿宋_GB2312" w:eastAsia="仿宋_GB2312" w:cs="仿宋_GB2312"/>
          <w:sz w:val="32"/>
          <w:szCs w:val="32"/>
        </w:rPr>
        <w:t>（五）租赁期间，租赁房产不得整体转租，否则承担违约责任。</w:t>
      </w:r>
      <w:r>
        <w:rPr>
          <w:rFonts w:hint="eastAsia" w:ascii="仿宋_GB2312" w:hAnsi="仿宋" w:eastAsia="仿宋_GB2312" w:cs="仿宋"/>
          <w:sz w:val="32"/>
          <w:szCs w:val="32"/>
        </w:rPr>
        <w:t>对外转租的，转租行为应经出租人同意。转租后不得再次转租，否则视同违约。转租合同应在签订后一个月内向出租人备案，转租期限不得超过承租人与出租人签订的租赁合同期限，转租每期收取租金的相应时间不得超过承租人向出租人支付租金的期限，承租人对次承租人的行为向出租人承担连带责任;</w:t>
      </w:r>
    </w:p>
    <w:p w14:paraId="75DA1DE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租赁期限届满，如原承租方仍有意向参与下一轮公开招租的，需提前30日向出租方提交书面申请，并按照规定程序及时参加，否则视为放弃优先租赁权；</w:t>
      </w:r>
    </w:p>
    <w:p w14:paraId="101E728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ascii="仿宋_GB2312" w:hAnsi="仿宋" w:eastAsia="仿宋_GB2312" w:cs="仿宋"/>
          <w:sz w:val="32"/>
          <w:szCs w:val="32"/>
        </w:rPr>
        <w:t>租赁期间</w:t>
      </w:r>
      <w:r>
        <w:rPr>
          <w:rFonts w:hint="eastAsia" w:ascii="仿宋_GB2312" w:hAnsi="仿宋" w:eastAsia="仿宋_GB2312" w:cs="仿宋"/>
          <w:sz w:val="32"/>
          <w:szCs w:val="32"/>
        </w:rPr>
        <w:t>如遇</w:t>
      </w:r>
      <w:r>
        <w:rPr>
          <w:rFonts w:hint="eastAsia" w:ascii="仿宋_GB2312" w:hAnsi="Calibri" w:eastAsia="仿宋_GB2312"/>
          <w:sz w:val="32"/>
          <w:szCs w:val="22"/>
        </w:rPr>
        <w:t>不可抗力和政府</w:t>
      </w:r>
      <w:r>
        <w:rPr>
          <w:rFonts w:ascii="仿宋_GB2312" w:hAnsi="仿宋" w:eastAsia="仿宋_GB2312" w:cs="仿宋"/>
          <w:sz w:val="32"/>
          <w:szCs w:val="32"/>
        </w:rPr>
        <w:t>行政行为</w:t>
      </w:r>
      <w:r>
        <w:rPr>
          <w:rFonts w:hint="eastAsia" w:ascii="仿宋_GB2312" w:hAnsi="仿宋" w:eastAsia="仿宋_GB2312" w:cs="仿宋"/>
          <w:sz w:val="32"/>
          <w:szCs w:val="32"/>
        </w:rPr>
        <w:t>、</w:t>
      </w:r>
      <w:r>
        <w:rPr>
          <w:rFonts w:ascii="仿宋_GB2312" w:hAnsi="仿宋" w:eastAsia="仿宋_GB2312" w:cs="仿宋"/>
          <w:sz w:val="32"/>
          <w:szCs w:val="32"/>
        </w:rPr>
        <w:t>城市建设工程启动</w:t>
      </w:r>
      <w:r>
        <w:rPr>
          <w:rFonts w:hint="eastAsia" w:ascii="仿宋_GB2312" w:hAnsi="仿宋" w:eastAsia="仿宋_GB2312" w:cs="仿宋"/>
          <w:sz w:val="32"/>
          <w:szCs w:val="32"/>
        </w:rPr>
        <w:t>、</w:t>
      </w:r>
      <w:r>
        <w:rPr>
          <w:rFonts w:hint="eastAsia" w:ascii="仿宋_GB2312" w:hAnsi="Calibri" w:eastAsia="仿宋_GB2312"/>
          <w:sz w:val="32"/>
          <w:szCs w:val="22"/>
        </w:rPr>
        <w:t>征收、拆迁、整改、政策变化、</w:t>
      </w:r>
      <w:r>
        <w:rPr>
          <w:rFonts w:ascii="仿宋_GB2312" w:hAnsi="仿宋" w:eastAsia="仿宋_GB2312" w:cs="仿宋"/>
          <w:sz w:val="32"/>
          <w:szCs w:val="32"/>
        </w:rPr>
        <w:t>公共利益</w:t>
      </w:r>
      <w:r>
        <w:rPr>
          <w:rFonts w:hint="eastAsia" w:ascii="仿宋_GB2312" w:hAnsi="仿宋" w:eastAsia="仿宋_GB2312" w:cs="仿宋"/>
          <w:sz w:val="32"/>
          <w:szCs w:val="32"/>
        </w:rPr>
        <w:t>、</w:t>
      </w:r>
      <w:r>
        <w:rPr>
          <w:rFonts w:hint="eastAsia" w:ascii="仿宋_GB2312" w:hAnsi="Calibri" w:eastAsia="仿宋_GB2312"/>
          <w:sz w:val="32"/>
          <w:szCs w:val="22"/>
        </w:rPr>
        <w:t>制度调整等因素导致租赁合约无法继续履行的</w:t>
      </w:r>
      <w:r>
        <w:rPr>
          <w:rFonts w:ascii="仿宋_GB2312" w:hAnsi="仿宋" w:eastAsia="仿宋_GB2312" w:cs="仿宋"/>
          <w:sz w:val="32"/>
          <w:szCs w:val="32"/>
        </w:rPr>
        <w:t>，出租方有权无条件解除租赁协议</w:t>
      </w:r>
      <w:r>
        <w:rPr>
          <w:rFonts w:hint="eastAsia" w:ascii="仿宋_GB2312" w:hAnsi="仿宋" w:eastAsia="仿宋_GB2312" w:cs="仿宋"/>
          <w:sz w:val="32"/>
          <w:szCs w:val="32"/>
        </w:rPr>
        <w:t>，且</w:t>
      </w:r>
      <w:r>
        <w:rPr>
          <w:rFonts w:hint="eastAsia" w:ascii="仿宋_GB2312" w:hAnsi="Calibri" w:eastAsia="仿宋_GB2312"/>
          <w:sz w:val="32"/>
          <w:szCs w:val="22"/>
        </w:rPr>
        <w:t>不承担违约责任，同时承租方自愿放弃一切补偿</w:t>
      </w:r>
      <w:r>
        <w:rPr>
          <w:rFonts w:hint="eastAsia" w:ascii="仿宋_GB2312" w:hAnsi="仿宋" w:eastAsia="仿宋_GB2312" w:cs="仿宋"/>
          <w:sz w:val="32"/>
          <w:szCs w:val="32"/>
        </w:rPr>
        <w:t>，但出租方须提前30天告知承租方，</w:t>
      </w:r>
      <w:r>
        <w:rPr>
          <w:rFonts w:hint="eastAsia" w:ascii="仿宋_GB2312" w:hAnsi="仿宋_GB2312" w:eastAsia="仿宋_GB2312" w:cs="仿宋_GB2312"/>
          <w:sz w:val="32"/>
          <w:szCs w:val="32"/>
        </w:rPr>
        <w:t>承租方应无条件配合腾空，除能移动的家具、装备、物件、物料等物品外，承租方添置的固定设备设施及装饰物无偿归出租方所有，出租方不对承租方的装修装饰做任何补偿和赔偿；</w:t>
      </w:r>
    </w:p>
    <w:p w14:paraId="28358574">
      <w:pPr>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（七）租赁期间，承租方自行办理工商、消防等经营事务涉及的相关审批手续，出租方对承租方能否获得相关部门的审批不作任何承诺或保证，一切手续由承租方自行办理，产生的相关费用由承租方自行承担；</w:t>
      </w:r>
    </w:p>
    <w:p w14:paraId="6B72851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（八）此次竞租仅为出租标的物租赁权，不包括出租标的物可移动装饰、家具、装备、物件、物料、设备等物品；</w:t>
      </w:r>
    </w:p>
    <w:p w14:paraId="152320A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（九）该出租标的物租金起算日期，按《房产租赁合同》约定为准。逾期未签订租赁合同的，出租方有权收回标的及没收履约保证金；</w:t>
      </w:r>
    </w:p>
    <w:p w14:paraId="7DE2A5E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合同终止或解除后，除能移动的家具、装备、物件、物料等物品外，承租方添置的固定设备设施及装饰物无偿归出租方所有，承租方不得擅自拆除、转移。承租方添置的可移动的物品应在合同终止或解除后的20个工作日内搬离，并将承租房腾空确保其处于可租状态交还出出租方。逾期未搬离的，视为承租方对经营用房内的所有物品放弃所有权，出租方有权清场，清场所产生的费用由承租方承担，且出租方无须承担因此给承租方造成的任何损失，承租方不得再以此为由向出租方索要任何赔偿费用;</w:t>
      </w:r>
    </w:p>
    <w:p w14:paraId="349E7B9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出租标的物竞租成交后，所有因经营需要相关资质及其他所涉及的审批均由承租人自行办理，出租方在有能力的前提下提供协助。承租人不得以出租标的物的原因致使审批相关手续受阻或以审批无法通过所造成损失为由，向出租方提出额外要求或索赔；</w:t>
      </w:r>
    </w:p>
    <w:p w14:paraId="1218652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（十二）承租方须对出租标的物装修方案向出租方备案并通过后方可实施；</w:t>
      </w:r>
    </w:p>
    <w:p w14:paraId="2110470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整体出租不接受联合体报名，意向承租方不得有任何与拟实际使用本租赁物不符的意图或行为，包括但不限于：拟与其他意向承租方串通、拟整体转租（含委托、变相转租等）或转让合同权利义务给其他意向承租方（含其关联人、关联单位）的任何意图或行为。</w:t>
      </w:r>
    </w:p>
    <w:p w14:paraId="09FF1BEA">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三、公示相关要求</w:t>
      </w:r>
    </w:p>
    <w:p w14:paraId="0046992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（一）根据《温州市工业资产营运管理有限公司国有房产土地租赁管理办法》（温工营〔2022〕48号）文件精神，对招租方案进行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个工作日的公示（自发布公示的次日起计算），</w:t>
      </w:r>
      <w:r>
        <w:rPr>
          <w:rFonts w:hint="eastAsia" w:ascii="仿宋_GB2312" w:hAnsi="仿宋" w:eastAsia="仿宋_GB2312" w:cs="仿宋"/>
          <w:sz w:val="32"/>
          <w:szCs w:val="32"/>
        </w:rPr>
        <w:t>意向承租人需在公告期内以书面形式向产权交易机构办</w:t>
      </w:r>
      <w:r>
        <w:rPr>
          <w:rFonts w:hint="eastAsia" w:ascii="仿宋_GB2312" w:hAnsi="仿宋_GB2312" w:eastAsia="仿宋_GB2312" w:cs="仿宋_GB2312"/>
          <w:sz w:val="32"/>
          <w:szCs w:val="32"/>
        </w:rPr>
        <w:t>理报名相关手续，</w:t>
      </w:r>
      <w:r>
        <w:rPr>
          <w:rFonts w:hint="eastAsia" w:ascii="仿宋_GB2312" w:hAnsi="仿宋" w:eastAsia="仿宋_GB2312" w:cs="仿宋"/>
          <w:sz w:val="32"/>
          <w:szCs w:val="32"/>
        </w:rPr>
        <w:t>并缴纳相应保证金</w:t>
      </w:r>
      <w:r>
        <w:rPr>
          <w:rFonts w:hint="eastAsia" w:ascii="仿宋_GB2312" w:hAnsi="仿宋_GB2312" w:eastAsia="仿宋_GB2312" w:cs="仿宋_GB2312"/>
          <w:sz w:val="32"/>
          <w:szCs w:val="32"/>
        </w:rPr>
        <w:t>。</w:t>
      </w:r>
    </w:p>
    <w:p w14:paraId="61C8671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（二）若公告期内，未征集到合格承租方、则延长信息发布：不变更公告条件，按照5个工作日为一个周期延长2个周期，直至征集到意向承租方即时成交。</w:t>
      </w:r>
    </w:p>
    <w:p w14:paraId="387AB97B">
      <w:pPr>
        <w:spacing w:line="560" w:lineRule="exact"/>
        <w:ind w:firstLine="640" w:firstLineChars="200"/>
        <w:rPr>
          <w:rFonts w:ascii="仿宋_GB2312" w:hAnsi="仿宋" w:eastAsia="仿宋_GB2312" w:cs="仿宋"/>
          <w:sz w:val="32"/>
          <w:szCs w:val="32"/>
        </w:rPr>
      </w:pPr>
      <w:r>
        <w:rPr>
          <w:rFonts w:hint="eastAsia" w:ascii="仿宋_GB2312" w:hAnsi="仿宋_GB2312" w:eastAsia="仿宋_GB2312" w:cs="仿宋_GB2312"/>
          <w:sz w:val="32"/>
          <w:szCs w:val="32"/>
        </w:rPr>
        <w:t>（三）竞得人须在招租成功后的7个工作日内签订《房产租赁合同》，缴清首期租金及履约保证金，并办理房屋移交手续，租期从签订《房产租赁合同》后的次日开始计算。竞得人未在前述约定的7个工作日内签订《房产租赁合同》的，竞得人前期缴纳的保证金不予退还。</w:t>
      </w:r>
    </w:p>
    <w:p w14:paraId="5E37BA66">
      <w:pPr>
        <w:spacing w:line="560" w:lineRule="exact"/>
        <w:ind w:firstLine="640" w:firstLineChars="200"/>
        <w:rPr>
          <w:rFonts w:hint="eastAsia" w:ascii="黑体" w:hAnsi="黑体" w:eastAsia="黑体" w:cs="仿宋_GB2312"/>
          <w:bCs/>
          <w:sz w:val="32"/>
          <w:szCs w:val="32"/>
        </w:rPr>
      </w:pPr>
      <w:r>
        <w:rPr>
          <w:rFonts w:hint="eastAsia" w:ascii="仿宋_GB2312" w:hAnsi="仿宋" w:eastAsia="仿宋_GB2312" w:cs="仿宋"/>
          <w:sz w:val="32"/>
          <w:szCs w:val="32"/>
        </w:rPr>
        <w:t>（四）招租工作完成</w:t>
      </w:r>
      <w:r>
        <w:rPr>
          <w:rFonts w:hint="eastAsia" w:ascii="仿宋_GB2312" w:hAnsi="仿宋" w:eastAsia="仿宋_GB2312" w:cs="仿宋"/>
          <w:sz w:val="32"/>
          <w:szCs w:val="32"/>
          <w:lang w:eastAsia="zh-Hans"/>
        </w:rPr>
        <w:t>后对招</w:t>
      </w:r>
      <w:r>
        <w:rPr>
          <w:rFonts w:hint="eastAsia" w:ascii="仿宋_GB2312" w:hAnsi="仿宋" w:eastAsia="仿宋_GB2312" w:cs="仿宋"/>
          <w:sz w:val="32"/>
          <w:szCs w:val="32"/>
        </w:rPr>
        <w:t>租结果进行</w:t>
      </w:r>
      <w:r>
        <w:rPr>
          <w:rFonts w:ascii="仿宋_GB2312" w:hAnsi="仿宋" w:eastAsia="仿宋_GB2312" w:cs="仿宋"/>
          <w:sz w:val="32"/>
          <w:szCs w:val="32"/>
          <w:lang w:eastAsia="zh-Hans"/>
        </w:rPr>
        <w:t>5</w:t>
      </w:r>
      <w:r>
        <w:rPr>
          <w:rFonts w:hint="eastAsia" w:ascii="仿宋_GB2312" w:hAnsi="仿宋" w:eastAsia="仿宋_GB2312" w:cs="仿宋"/>
          <w:sz w:val="32"/>
          <w:szCs w:val="32"/>
          <w:lang w:eastAsia="zh-Hans"/>
        </w:rPr>
        <w:t>个工作日的</w:t>
      </w:r>
      <w:r>
        <w:rPr>
          <w:rFonts w:hint="eastAsia" w:ascii="仿宋_GB2312" w:hAnsi="仿宋" w:eastAsia="仿宋_GB2312" w:cs="仿宋"/>
          <w:sz w:val="32"/>
          <w:szCs w:val="32"/>
        </w:rPr>
        <w:t>公示，从正式公示之日起计算</w:t>
      </w:r>
      <w:r>
        <w:rPr>
          <w:rFonts w:hint="eastAsia" w:ascii="仿宋_GB2312" w:hAnsi="仿宋" w:eastAsia="仿宋_GB2312" w:cs="仿宋"/>
          <w:sz w:val="32"/>
          <w:szCs w:val="32"/>
          <w:lang w:eastAsia="zh-Hans"/>
        </w:rPr>
        <w:t>公示期</w:t>
      </w:r>
      <w:r>
        <w:rPr>
          <w:rFonts w:hint="eastAsia" w:ascii="仿宋_GB2312" w:hAnsi="仿宋" w:eastAsia="仿宋_GB2312" w:cs="仿宋"/>
          <w:sz w:val="32"/>
          <w:szCs w:val="32"/>
        </w:rPr>
        <w:t>。</w:t>
      </w:r>
    </w:p>
    <w:p w14:paraId="722C4FF1">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仿宋_GB2312"/>
          <w:bCs/>
          <w:sz w:val="32"/>
          <w:szCs w:val="32"/>
        </w:rPr>
        <w:t>四、</w:t>
      </w:r>
      <w:r>
        <w:rPr>
          <w:rFonts w:hint="eastAsia" w:ascii="仿宋_GB2312" w:hAnsi="仿宋_GB2312" w:eastAsia="仿宋_GB2312" w:cs="仿宋_GB2312"/>
          <w:bCs/>
          <w:sz w:val="32"/>
          <w:szCs w:val="32"/>
        </w:rPr>
        <w:t>其他未尽事宜在《房产租赁合同》中明确。</w:t>
      </w:r>
    </w:p>
    <w:p w14:paraId="2B687A9D">
      <w:pPr>
        <w:spacing w:line="560" w:lineRule="exact"/>
        <w:ind w:firstLine="640" w:firstLineChars="200"/>
        <w:rPr>
          <w:rFonts w:ascii="仿宋_GB2312" w:hAnsi="仿宋_GB2312" w:eastAsia="仿宋_GB2312" w:cs="仿宋_GB2312"/>
          <w:sz w:val="32"/>
          <w:szCs w:val="32"/>
        </w:rPr>
      </w:pPr>
    </w:p>
    <w:p w14:paraId="4067BC5B">
      <w:pPr>
        <w:spacing w:line="560" w:lineRule="exact"/>
        <w:ind w:firstLine="640" w:firstLineChars="200"/>
        <w:rPr>
          <w:rFonts w:ascii="仿宋_GB2312" w:hAnsi="仿宋_GB2312" w:eastAsia="仿宋_GB2312" w:cs="仿宋_GB2312"/>
          <w:sz w:val="32"/>
          <w:szCs w:val="32"/>
        </w:rPr>
      </w:pPr>
    </w:p>
    <w:p w14:paraId="01CD94A5">
      <w:pPr>
        <w:wordWrap/>
        <w:adjustRightInd w:val="0"/>
        <w:snapToGrid w:val="0"/>
        <w:spacing w:line="500" w:lineRule="exact"/>
        <w:ind w:firstLine="640" w:firstLineChars="200"/>
        <w:jc w:val="right"/>
        <w:rPr>
          <w:rFonts w:hint="eastAsia" w:ascii="仿宋" w:hAnsi="仿宋" w:eastAsia="仿宋" w:cs="仿宋_GB2312"/>
          <w:sz w:val="32"/>
          <w:szCs w:val="32"/>
        </w:rPr>
      </w:pPr>
    </w:p>
    <w:p w14:paraId="7A1D4679">
      <w:pPr>
        <w:ind w:left="0" w:leftChars="0" w:firstLine="0" w:firstLineChars="0"/>
        <w:rPr>
          <w:rFonts w:hint="default" w:ascii="仿宋" w:hAnsi="仿宋" w:eastAsia="仿宋" w:cs="仿宋"/>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3C37A2"/>
    <w:multiLevelType w:val="multilevel"/>
    <w:tmpl w:val="423C37A2"/>
    <w:lvl w:ilvl="0" w:tentative="0">
      <w:start w:val="1"/>
      <w:numFmt w:val="chineseCountingThousand"/>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E734867"/>
    <w:multiLevelType w:val="multilevel"/>
    <w:tmpl w:val="7E734867"/>
    <w:lvl w:ilvl="0" w:tentative="0">
      <w:start w:val="1"/>
      <w:numFmt w:val="decimal"/>
      <w:pStyle w:val="5"/>
      <w:suff w:val="space"/>
      <w:lvlText w:val="%1、"/>
      <w:lvlJc w:val="left"/>
      <w:pPr>
        <w:ind w:left="0" w:firstLine="638"/>
      </w:pPr>
    </w:lvl>
    <w:lvl w:ilvl="1" w:tentative="0">
      <w:start w:val="1"/>
      <w:numFmt w:val="lowerLetter"/>
      <w:lvlText w:val="%2)"/>
      <w:lvlJc w:val="left"/>
      <w:pPr>
        <w:ind w:left="1975" w:hanging="420"/>
      </w:pPr>
    </w:lvl>
    <w:lvl w:ilvl="2" w:tentative="0">
      <w:start w:val="1"/>
      <w:numFmt w:val="lowerRoman"/>
      <w:lvlText w:val="%3."/>
      <w:lvlJc w:val="right"/>
      <w:pPr>
        <w:ind w:left="2395" w:hanging="420"/>
      </w:pPr>
    </w:lvl>
    <w:lvl w:ilvl="3" w:tentative="0">
      <w:start w:val="1"/>
      <w:numFmt w:val="decimal"/>
      <w:lvlText w:val="%4."/>
      <w:lvlJc w:val="left"/>
      <w:pPr>
        <w:ind w:left="2815" w:hanging="420"/>
      </w:pPr>
    </w:lvl>
    <w:lvl w:ilvl="4" w:tentative="0">
      <w:start w:val="1"/>
      <w:numFmt w:val="lowerLetter"/>
      <w:lvlText w:val="%5)"/>
      <w:lvlJc w:val="left"/>
      <w:pPr>
        <w:ind w:left="3235" w:hanging="420"/>
      </w:pPr>
    </w:lvl>
    <w:lvl w:ilvl="5" w:tentative="0">
      <w:start w:val="1"/>
      <w:numFmt w:val="lowerRoman"/>
      <w:lvlText w:val="%6."/>
      <w:lvlJc w:val="right"/>
      <w:pPr>
        <w:ind w:left="3655" w:hanging="420"/>
      </w:pPr>
    </w:lvl>
    <w:lvl w:ilvl="6" w:tentative="0">
      <w:start w:val="1"/>
      <w:numFmt w:val="decimal"/>
      <w:lvlText w:val="%7."/>
      <w:lvlJc w:val="left"/>
      <w:pPr>
        <w:ind w:left="4075" w:hanging="420"/>
      </w:pPr>
    </w:lvl>
    <w:lvl w:ilvl="7" w:tentative="0">
      <w:start w:val="1"/>
      <w:numFmt w:val="lowerLetter"/>
      <w:lvlText w:val="%8)"/>
      <w:lvlJc w:val="left"/>
      <w:pPr>
        <w:ind w:left="4495" w:hanging="420"/>
      </w:pPr>
    </w:lvl>
    <w:lvl w:ilvl="8" w:tentative="0">
      <w:start w:val="1"/>
      <w:numFmt w:val="lowerRoman"/>
      <w:lvlText w:val="%9."/>
      <w:lvlJc w:val="right"/>
      <w:pPr>
        <w:ind w:left="49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lZDFiYWJmMzA0MDJjOGNkYTI4OTQ3YzM3MWM2NzcifQ=="/>
  </w:docVars>
  <w:rsids>
    <w:rsidRoot w:val="002A6B6C"/>
    <w:rsid w:val="000277FC"/>
    <w:rsid w:val="00096CE7"/>
    <w:rsid w:val="000F0B10"/>
    <w:rsid w:val="001233AE"/>
    <w:rsid w:val="00197128"/>
    <w:rsid w:val="00282CC2"/>
    <w:rsid w:val="002A6B6C"/>
    <w:rsid w:val="002B7529"/>
    <w:rsid w:val="003925DF"/>
    <w:rsid w:val="00393196"/>
    <w:rsid w:val="003A680E"/>
    <w:rsid w:val="004D0A0C"/>
    <w:rsid w:val="00593958"/>
    <w:rsid w:val="00596CAB"/>
    <w:rsid w:val="006460BB"/>
    <w:rsid w:val="008511DB"/>
    <w:rsid w:val="00874A99"/>
    <w:rsid w:val="008A4ED1"/>
    <w:rsid w:val="008C2464"/>
    <w:rsid w:val="008E5B6B"/>
    <w:rsid w:val="009117EC"/>
    <w:rsid w:val="00975DFC"/>
    <w:rsid w:val="00A46B68"/>
    <w:rsid w:val="00A6032F"/>
    <w:rsid w:val="00A908DB"/>
    <w:rsid w:val="00BB4184"/>
    <w:rsid w:val="00C1468E"/>
    <w:rsid w:val="00C72BF2"/>
    <w:rsid w:val="00CB258D"/>
    <w:rsid w:val="00E22436"/>
    <w:rsid w:val="00E54308"/>
    <w:rsid w:val="00E64D07"/>
    <w:rsid w:val="00E74121"/>
    <w:rsid w:val="00EF73B1"/>
    <w:rsid w:val="00F06181"/>
    <w:rsid w:val="07642463"/>
    <w:rsid w:val="0B1E4A22"/>
    <w:rsid w:val="1B9732CB"/>
    <w:rsid w:val="1BFF5541"/>
    <w:rsid w:val="29E042E1"/>
    <w:rsid w:val="2D1A0F8F"/>
    <w:rsid w:val="31BC4160"/>
    <w:rsid w:val="35DD4DEC"/>
    <w:rsid w:val="38386D31"/>
    <w:rsid w:val="3AE547BA"/>
    <w:rsid w:val="3D1B4B6F"/>
    <w:rsid w:val="3DC15EDC"/>
    <w:rsid w:val="3F345DBE"/>
    <w:rsid w:val="40A36307"/>
    <w:rsid w:val="450A4BB7"/>
    <w:rsid w:val="4B4D2F01"/>
    <w:rsid w:val="4CCB245F"/>
    <w:rsid w:val="4D603DFF"/>
    <w:rsid w:val="52735BE6"/>
    <w:rsid w:val="5BF62D2C"/>
    <w:rsid w:val="61B55306"/>
    <w:rsid w:val="6C774A8C"/>
    <w:rsid w:val="74006E36"/>
    <w:rsid w:val="743946D0"/>
    <w:rsid w:val="7BE64727"/>
    <w:rsid w:val="7E433FCD"/>
    <w:rsid w:val="BADF2B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uiPriority="9" w:name="heading 4"/>
    <w:lsdException w:uiPriority="9"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link w:val="16"/>
    <w:qFormat/>
    <w:uiPriority w:val="0"/>
    <w:pPr>
      <w:keepNext/>
      <w:keepLines/>
      <w:spacing w:line="600" w:lineRule="exact"/>
      <w:ind w:firstLine="0" w:firstLineChars="0"/>
      <w:jc w:val="center"/>
      <w:outlineLvl w:val="0"/>
    </w:pPr>
    <w:rPr>
      <w:rFonts w:ascii="Times New Roman" w:hAnsi="Times New Roman" w:eastAsia="方正小标宋简体"/>
      <w:bCs/>
      <w:kern w:val="44"/>
      <w:sz w:val="44"/>
      <w:szCs w:val="44"/>
    </w:rPr>
  </w:style>
  <w:style w:type="paragraph" w:styleId="3">
    <w:name w:val="heading 2"/>
    <w:basedOn w:val="4"/>
    <w:next w:val="5"/>
    <w:link w:val="17"/>
    <w:semiHidden/>
    <w:unhideWhenUsed/>
    <w:qFormat/>
    <w:uiPriority w:val="0"/>
    <w:pPr>
      <w:numPr>
        <w:ilvl w:val="0"/>
        <w:numId w:val="1"/>
      </w:numPr>
      <w:tabs>
        <w:tab w:val="left" w:pos="1281"/>
        <w:tab w:val="left" w:pos="1919"/>
      </w:tabs>
      <w:snapToGrid w:val="0"/>
      <w:outlineLvl w:val="1"/>
    </w:pPr>
    <w:rPr>
      <w:rFonts w:ascii="黑体" w:hAnsi="黑体" w:eastAsia="黑体" w:cs="黑体"/>
      <w:w w:val="95"/>
    </w:rPr>
  </w:style>
  <w:style w:type="paragraph" w:styleId="5">
    <w:name w:val="heading 3"/>
    <w:basedOn w:val="1"/>
    <w:next w:val="1"/>
    <w:link w:val="19"/>
    <w:semiHidden/>
    <w:unhideWhenUsed/>
    <w:qFormat/>
    <w:uiPriority w:val="0"/>
    <w:pPr>
      <w:numPr>
        <w:ilvl w:val="0"/>
        <w:numId w:val="2"/>
      </w:numPr>
      <w:snapToGrid w:val="0"/>
      <w:ind w:firstLine="0" w:firstLineChars="0"/>
      <w:textAlignment w:val="baseline"/>
      <w:outlineLvl w:val="2"/>
    </w:pPr>
  </w:style>
  <w:style w:type="paragraph" w:styleId="6">
    <w:name w:val="heading 6"/>
    <w:basedOn w:val="1"/>
    <w:next w:val="1"/>
    <w:link w:val="20"/>
    <w:semiHidden/>
    <w:unhideWhenUsed/>
    <w:qFormat/>
    <w:uiPriority w:val="0"/>
    <w:pPr>
      <w:keepNext/>
      <w:keepLines/>
      <w:spacing w:before="240" w:after="64" w:line="320" w:lineRule="atLeast"/>
      <w:outlineLvl w:val="5"/>
    </w:pPr>
    <w:rPr>
      <w:rFonts w:asciiTheme="majorHAnsi" w:hAnsiTheme="majorHAnsi" w:eastAsiaTheme="majorEastAsia" w:cstheme="majorBidi"/>
      <w:b/>
      <w:bCs/>
      <w:sz w:val="24"/>
      <w:szCs w:val="24"/>
    </w:rPr>
  </w:style>
  <w:style w:type="paragraph" w:styleId="7">
    <w:name w:val="heading 7"/>
    <w:basedOn w:val="1"/>
    <w:next w:val="1"/>
    <w:link w:val="21"/>
    <w:semiHidden/>
    <w:unhideWhenUsed/>
    <w:qFormat/>
    <w:uiPriority w:val="0"/>
    <w:pPr>
      <w:keepNext/>
      <w:keepLines/>
      <w:spacing w:before="240" w:after="64" w:line="320" w:lineRule="atLeast"/>
      <w:outlineLvl w:val="6"/>
    </w:pPr>
    <w:rPr>
      <w:b/>
      <w:bCs/>
      <w:sz w:val="24"/>
      <w:szCs w:val="24"/>
    </w:rPr>
  </w:style>
  <w:style w:type="paragraph" w:styleId="8">
    <w:name w:val="heading 8"/>
    <w:basedOn w:val="1"/>
    <w:next w:val="1"/>
    <w:link w:val="22"/>
    <w:semiHidden/>
    <w:unhideWhenUsed/>
    <w:qFormat/>
    <w:uiPriority w:val="0"/>
    <w:pPr>
      <w:keepNext/>
      <w:keepLines/>
      <w:spacing w:before="240" w:after="64" w:line="320" w:lineRule="atLeast"/>
      <w:outlineLvl w:val="7"/>
    </w:pPr>
    <w:rPr>
      <w:rFonts w:asciiTheme="majorHAnsi" w:hAnsiTheme="majorHAnsi" w:eastAsiaTheme="majorEastAsia" w:cstheme="majorBidi"/>
      <w:sz w:val="24"/>
      <w:szCs w:val="24"/>
    </w:rPr>
  </w:style>
  <w:style w:type="paragraph" w:styleId="9">
    <w:name w:val="heading 9"/>
    <w:basedOn w:val="1"/>
    <w:next w:val="1"/>
    <w:link w:val="23"/>
    <w:semiHidden/>
    <w:unhideWhenUsed/>
    <w:qFormat/>
    <w:uiPriority w:val="0"/>
    <w:pPr>
      <w:keepNext/>
      <w:keepLines/>
      <w:spacing w:before="240" w:after="64" w:line="320" w:lineRule="atLeast"/>
      <w:outlineLvl w:val="8"/>
    </w:pPr>
    <w:rPr>
      <w:rFonts w:asciiTheme="majorHAnsi" w:hAnsiTheme="majorHAnsi" w:eastAsiaTheme="majorEastAsia" w:cstheme="majorBidi"/>
      <w:sz w:val="21"/>
      <w:szCs w:val="21"/>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8"/>
    <w:semiHidden/>
    <w:unhideWhenUsed/>
    <w:qFormat/>
    <w:uiPriority w:val="1"/>
    <w:pPr>
      <w:spacing w:before="31"/>
      <w:ind w:left="106"/>
      <w:jc w:val="left"/>
    </w:pPr>
    <w:rPr>
      <w:rFonts w:ascii="仿宋" w:hAnsi="仿宋" w:eastAsia="仿宋"/>
      <w:kern w:val="0"/>
    </w:rPr>
  </w:style>
  <w:style w:type="paragraph" w:styleId="10">
    <w:name w:val="caption"/>
    <w:basedOn w:val="1"/>
    <w:next w:val="1"/>
    <w:semiHidden/>
    <w:unhideWhenUsed/>
    <w:qFormat/>
    <w:uiPriority w:val="0"/>
    <w:rPr>
      <w:rFonts w:eastAsia="黑体" w:asciiTheme="majorHAnsi" w:hAnsiTheme="majorHAnsi" w:cstheme="majorBidi"/>
      <w:sz w:val="20"/>
      <w:szCs w:val="20"/>
    </w:rPr>
  </w:style>
  <w:style w:type="paragraph" w:styleId="11">
    <w:name w:val="footer"/>
    <w:basedOn w:val="1"/>
    <w:unhideWhenUsed/>
    <w:qFormat/>
    <w:uiPriority w:val="99"/>
    <w:pPr>
      <w:widowControl w:val="0"/>
      <w:tabs>
        <w:tab w:val="center" w:pos="4153"/>
        <w:tab w:val="right" w:pos="8306"/>
      </w:tabs>
      <w:snapToGrid w:val="0"/>
    </w:pPr>
    <w:rPr>
      <w:rFonts w:ascii="Calibri" w:hAnsi="Calibri"/>
      <w:kern w:val="2"/>
      <w:sz w:val="18"/>
      <w:szCs w:val="18"/>
    </w:rPr>
  </w:style>
  <w:style w:type="paragraph" w:styleId="12">
    <w:name w:val="Body Text First Indent"/>
    <w:basedOn w:val="4"/>
    <w:qFormat/>
    <w:uiPriority w:val="0"/>
    <w:pPr>
      <w:ind w:firstLine="420" w:firstLineChars="100"/>
    </w:p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1 字符"/>
    <w:link w:val="2"/>
    <w:qFormat/>
    <w:uiPriority w:val="0"/>
    <w:rPr>
      <w:rFonts w:eastAsia="方正小标宋简体" w:cs="仿宋_GB2312"/>
      <w:bCs/>
      <w:kern w:val="44"/>
      <w:sz w:val="44"/>
      <w:szCs w:val="44"/>
    </w:rPr>
  </w:style>
  <w:style w:type="character" w:customStyle="1" w:styleId="17">
    <w:name w:val="标题 2 字符"/>
    <w:link w:val="3"/>
    <w:semiHidden/>
    <w:qFormat/>
    <w:uiPriority w:val="0"/>
    <w:rPr>
      <w:rFonts w:ascii="黑体" w:hAnsi="黑体" w:eastAsia="黑体" w:cs="黑体"/>
      <w:w w:val="95"/>
      <w:sz w:val="32"/>
      <w:szCs w:val="32"/>
    </w:rPr>
  </w:style>
  <w:style w:type="character" w:customStyle="1" w:styleId="18">
    <w:name w:val="正文文本 字符"/>
    <w:link w:val="4"/>
    <w:semiHidden/>
    <w:qFormat/>
    <w:uiPriority w:val="1"/>
    <w:rPr>
      <w:rFonts w:ascii="仿宋" w:hAnsi="仿宋" w:eastAsia="仿宋" w:cs="仿宋_GB2312"/>
      <w:sz w:val="32"/>
      <w:szCs w:val="32"/>
    </w:rPr>
  </w:style>
  <w:style w:type="character" w:customStyle="1" w:styleId="19">
    <w:name w:val="标题 3 字符"/>
    <w:link w:val="5"/>
    <w:semiHidden/>
    <w:qFormat/>
    <w:uiPriority w:val="0"/>
    <w:rPr>
      <w:rFonts w:ascii="仿宋_GB2312" w:hAnsi="仿宋_GB2312" w:eastAsia="仿宋_GB2312" w:cs="仿宋_GB2312"/>
      <w:kern w:val="2"/>
      <w:sz w:val="32"/>
      <w:szCs w:val="32"/>
    </w:rPr>
  </w:style>
  <w:style w:type="character" w:customStyle="1" w:styleId="20">
    <w:name w:val="标题 6 字符"/>
    <w:basedOn w:val="15"/>
    <w:link w:val="6"/>
    <w:semiHidden/>
    <w:qFormat/>
    <w:uiPriority w:val="0"/>
    <w:rPr>
      <w:rFonts w:asciiTheme="majorHAnsi" w:hAnsiTheme="majorHAnsi" w:eastAsiaTheme="majorEastAsia" w:cstheme="majorBidi"/>
      <w:b/>
      <w:bCs/>
      <w:kern w:val="2"/>
      <w:sz w:val="24"/>
      <w:szCs w:val="24"/>
    </w:rPr>
  </w:style>
  <w:style w:type="character" w:customStyle="1" w:styleId="21">
    <w:name w:val="标题 7 字符"/>
    <w:basedOn w:val="15"/>
    <w:link w:val="7"/>
    <w:semiHidden/>
    <w:qFormat/>
    <w:uiPriority w:val="0"/>
    <w:rPr>
      <w:rFonts w:ascii="仿宋_GB2312" w:hAnsi="仿宋_GB2312" w:eastAsia="仿宋_GB2312" w:cs="仿宋_GB2312"/>
      <w:b/>
      <w:bCs/>
      <w:kern w:val="2"/>
      <w:sz w:val="24"/>
      <w:szCs w:val="24"/>
    </w:rPr>
  </w:style>
  <w:style w:type="character" w:customStyle="1" w:styleId="22">
    <w:name w:val="标题 8 字符"/>
    <w:basedOn w:val="15"/>
    <w:link w:val="8"/>
    <w:semiHidden/>
    <w:qFormat/>
    <w:uiPriority w:val="0"/>
    <w:rPr>
      <w:rFonts w:asciiTheme="majorHAnsi" w:hAnsiTheme="majorHAnsi" w:eastAsiaTheme="majorEastAsia" w:cstheme="majorBidi"/>
      <w:kern w:val="2"/>
      <w:sz w:val="24"/>
      <w:szCs w:val="24"/>
    </w:rPr>
  </w:style>
  <w:style w:type="character" w:customStyle="1" w:styleId="23">
    <w:name w:val="标题 9 字符"/>
    <w:basedOn w:val="15"/>
    <w:link w:val="9"/>
    <w:semiHidden/>
    <w:qFormat/>
    <w:uiPriority w:val="0"/>
    <w:rPr>
      <w:rFonts w:asciiTheme="majorHAnsi" w:hAnsiTheme="majorHAnsi" w:eastAsiaTheme="majorEastAsia" w:cstheme="majorBidi"/>
      <w:kern w:val="2"/>
      <w:sz w:val="21"/>
      <w:szCs w:val="21"/>
    </w:rPr>
  </w:style>
  <w:style w:type="paragraph" w:styleId="24">
    <w:name w:val="No Spacing"/>
    <w:qFormat/>
    <w:uiPriority w:val="99"/>
    <w:pPr>
      <w:widowControl w:val="0"/>
      <w:ind w:firstLine="640" w:firstLineChars="200"/>
      <w:jc w:val="both"/>
    </w:pPr>
    <w:rPr>
      <w:rFonts w:ascii="仿宋_GB2312" w:hAnsi="仿宋_GB2312" w:eastAsia="仿宋_GB2312" w:cs="仿宋_GB2312"/>
      <w:kern w:val="2"/>
      <w:sz w:val="32"/>
      <w:szCs w:val="32"/>
      <w:lang w:val="en-US" w:eastAsia="zh-CN" w:bidi="ar-SA"/>
    </w:rPr>
  </w:style>
  <w:style w:type="paragraph" w:styleId="25">
    <w:name w:val="List Paragraph"/>
    <w:basedOn w:val="1"/>
    <w:qFormat/>
    <w:uiPriority w:val="99"/>
    <w:pPr>
      <w:ind w:firstLine="420"/>
    </w:pPr>
  </w:style>
  <w:style w:type="paragraph" w:styleId="26">
    <w:name w:val="Quote"/>
    <w:basedOn w:val="1"/>
    <w:next w:val="1"/>
    <w:link w:val="27"/>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5"/>
    <w:link w:val="26"/>
    <w:qFormat/>
    <w:uiPriority w:val="99"/>
    <w:rPr>
      <w:rFonts w:ascii="仿宋_GB2312" w:hAnsi="仿宋_GB2312" w:eastAsia="仿宋_GB2312" w:cs="仿宋_GB2312"/>
      <w:i/>
      <w:iCs/>
      <w:color w:val="404040" w:themeColor="text1" w:themeTint="BF"/>
      <w:kern w:val="2"/>
      <w:sz w:val="32"/>
      <w:szCs w:val="32"/>
      <w14:textFill>
        <w14:solidFill>
          <w14:schemeClr w14:val="tx1">
            <w14:lumMod w14:val="75000"/>
            <w14:lumOff w14:val="25000"/>
          </w14:schemeClr>
        </w14:solidFill>
      </w14:textFill>
    </w:rPr>
  </w:style>
  <w:style w:type="paragraph" w:styleId="28">
    <w:name w:val="Intense Quote"/>
    <w:basedOn w:val="1"/>
    <w:next w:val="1"/>
    <w:link w:val="29"/>
    <w:qFormat/>
    <w:uiPriority w:val="99"/>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29">
    <w:name w:val="明显引用 字符"/>
    <w:basedOn w:val="15"/>
    <w:link w:val="28"/>
    <w:qFormat/>
    <w:uiPriority w:val="99"/>
    <w:rPr>
      <w:rFonts w:ascii="仿宋_GB2312" w:hAnsi="仿宋_GB2312" w:eastAsia="仿宋_GB2312" w:cs="仿宋_GB2312"/>
      <w:i/>
      <w:iCs/>
      <w:color w:val="4472C4" w:themeColor="accent1"/>
      <w:kern w:val="2"/>
      <w:sz w:val="32"/>
      <w:szCs w:val="32"/>
      <w14:textFill>
        <w14:solidFill>
          <w14:schemeClr w14:val="accent1"/>
        </w14:solidFill>
      </w14:textFill>
    </w:rPr>
  </w:style>
  <w:style w:type="character" w:customStyle="1" w:styleId="30">
    <w:name w:val="不明显强调1"/>
    <w:basedOn w:val="15"/>
    <w:qFormat/>
    <w:uiPriority w:val="19"/>
    <w:rPr>
      <w:i/>
      <w:iCs/>
      <w:color w:val="404040" w:themeColor="text1" w:themeTint="BF"/>
      <w14:textFill>
        <w14:solidFill>
          <w14:schemeClr w14:val="tx1">
            <w14:lumMod w14:val="75000"/>
            <w14:lumOff w14:val="25000"/>
          </w14:schemeClr>
        </w14:solidFill>
      </w14:textFill>
    </w:rPr>
  </w:style>
  <w:style w:type="character" w:customStyle="1" w:styleId="31">
    <w:name w:val="明显强调1"/>
    <w:basedOn w:val="15"/>
    <w:qFormat/>
    <w:uiPriority w:val="21"/>
    <w:rPr>
      <w:i/>
      <w:iCs/>
      <w:color w:val="4472C4" w:themeColor="accent1"/>
      <w14:textFill>
        <w14:solidFill>
          <w14:schemeClr w14:val="accent1"/>
        </w14:solidFill>
      </w14:textFill>
    </w:rPr>
  </w:style>
  <w:style w:type="character" w:customStyle="1" w:styleId="32">
    <w:name w:val="不明显参考1"/>
    <w:basedOn w:val="1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3">
    <w:name w:val="明显参考1"/>
    <w:basedOn w:val="15"/>
    <w:qFormat/>
    <w:uiPriority w:val="32"/>
    <w:rPr>
      <w:b/>
      <w:bCs/>
      <w:smallCaps/>
      <w:color w:val="4472C4" w:themeColor="accent1"/>
      <w:spacing w:val="5"/>
      <w14:textFill>
        <w14:solidFill>
          <w14:schemeClr w14:val="accent1"/>
        </w14:solidFill>
      </w14:textFill>
    </w:rPr>
  </w:style>
  <w:style w:type="character" w:customStyle="1" w:styleId="34">
    <w:name w:val="书籍标题1"/>
    <w:basedOn w:val="15"/>
    <w:qFormat/>
    <w:uiPriority w:val="33"/>
    <w:rPr>
      <w:b/>
      <w:bCs/>
      <w:i/>
      <w:iCs/>
      <w:spacing w:val="5"/>
    </w:rPr>
  </w:style>
  <w:style w:type="paragraph" w:customStyle="1" w:styleId="35">
    <w:name w:val="TOC 标题1"/>
    <w:basedOn w:val="2"/>
    <w:next w:val="1"/>
    <w:semiHidden/>
    <w:unhideWhenUsed/>
    <w:qFormat/>
    <w:uiPriority w:val="39"/>
    <w:pPr>
      <w:spacing w:before="340" w:after="330" w:line="578" w:lineRule="atLeast"/>
      <w:ind w:firstLine="640" w:firstLineChars="200"/>
      <w:jc w:val="both"/>
      <w:outlineLvl w:val="9"/>
    </w:pPr>
    <w:rPr>
      <w:rFonts w:ascii="仿宋_GB2312" w:hAnsi="仿宋_GB2312" w:eastAsia="仿宋_GB2312"/>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3274</Words>
  <Characters>3329</Characters>
  <Lines>2</Lines>
  <Paragraphs>1</Paragraphs>
  <TotalTime>23</TotalTime>
  <ScaleCrop>false</ScaleCrop>
  <LinksUpToDate>false</LinksUpToDate>
  <CharactersWithSpaces>3389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2024-09-20T23:02:00Z</dcterms:created>
  <dc:creator>高 任远</dc:creator>
  <cp:lastModifiedBy>WPS_1675385502</cp:lastModifiedBy>
  <dcterms:modified xsi:type="dcterms:W3CDTF">2024-12-04T01:36:20Z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3C1E27066A674ADA9F8D489A3095E293_13</vt:lpwstr>
  </property>
</Properties>
</file>