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560" w:lineRule="exact"/>
        <w:rPr>
          <w:rFonts w:hint="eastAsia" w:ascii="华文中宋" w:hAnsi="华文中宋" w:eastAsia="华文中宋" w:cs="华文中宋"/>
          <w:b w:val="0"/>
          <w:bCs w:val="0"/>
          <w:kern w:val="2"/>
          <w:sz w:val="32"/>
          <w:szCs w:val="32"/>
          <w:lang w:val="zh-TW" w:bidi="zh-TW"/>
        </w:rPr>
      </w:pPr>
      <w:r>
        <w:rPr>
          <w:rFonts w:hint="eastAsia" w:ascii="黑体" w:hAnsi="黑体" w:eastAsia="黑体" w:cs="黑体"/>
          <w:b w:val="0"/>
          <w:bCs w:val="0"/>
          <w:kern w:val="2"/>
          <w:sz w:val="28"/>
          <w:szCs w:val="28"/>
          <w:lang w:bidi="zh-CN"/>
        </w:rPr>
        <w:t>附件1</w:t>
      </w:r>
      <w:r>
        <w:rPr>
          <w:rFonts w:hint="eastAsia" w:ascii="黑体" w:hAnsi="黑体" w:eastAsia="黑体" w:cs="黑体"/>
          <w:b w:val="0"/>
          <w:bCs w:val="0"/>
          <w:kern w:val="2"/>
          <w:sz w:val="28"/>
          <w:szCs w:val="28"/>
          <w:lang w:val="en-US" w:bidi="zh-CN"/>
        </w:rPr>
        <w:t>1</w:t>
      </w:r>
      <w:r>
        <w:rPr>
          <w:rFonts w:hint="eastAsia" w:ascii="黑体" w:hAnsi="黑体" w:eastAsia="黑体" w:cs="黑体"/>
          <w:b w:val="0"/>
          <w:bCs w:val="0"/>
          <w:kern w:val="2"/>
          <w:sz w:val="28"/>
          <w:szCs w:val="28"/>
          <w:lang w:bidi="zh-CN"/>
        </w:rPr>
        <w:t xml:space="preserve">   </w:t>
      </w:r>
      <w:r>
        <w:rPr>
          <w:rFonts w:hint="eastAsia"/>
          <w:sz w:val="32"/>
          <w:szCs w:val="32"/>
        </w:rPr>
        <w:t xml:space="preserve"> </w:t>
      </w:r>
      <w:r>
        <w:rPr>
          <w:rFonts w:hint="eastAsia" w:ascii="华文中宋" w:hAnsi="华文中宋" w:eastAsia="华文中宋" w:cs="华文中宋"/>
          <w:b w:val="0"/>
          <w:bCs w:val="0"/>
          <w:kern w:val="2"/>
          <w:sz w:val="32"/>
          <w:szCs w:val="32"/>
          <w:lang w:val="zh-TW" w:bidi="zh-TW"/>
        </w:rPr>
        <w:t xml:space="preserve"> </w:t>
      </w:r>
    </w:p>
    <w:p>
      <w:pPr>
        <w:pStyle w:val="5"/>
        <w:spacing w:before="0" w:after="0" w:line="500" w:lineRule="exact"/>
        <w:jc w:val="center"/>
        <w:rPr>
          <w:rFonts w:hint="eastAsia" w:ascii="黑体" w:hAnsi="黑体" w:eastAsia="黑体" w:cs="黑体"/>
          <w:b w:val="0"/>
          <w:bCs w:val="0"/>
          <w:sz w:val="28"/>
          <w:szCs w:val="28"/>
        </w:rPr>
      </w:pPr>
      <w:r>
        <w:rPr>
          <w:rFonts w:hint="eastAsia" w:ascii="华文中宋" w:hAnsi="华文中宋" w:eastAsia="华文中宋" w:cs="华文中宋"/>
          <w:b w:val="0"/>
          <w:bCs w:val="0"/>
          <w:kern w:val="2"/>
          <w:sz w:val="32"/>
          <w:szCs w:val="32"/>
          <w:lang w:val="zh-TW" w:bidi="zh-TW"/>
        </w:rPr>
        <w:t>龙港市高端机械设备智造园</w:t>
      </w:r>
      <w:r>
        <w:rPr>
          <w:rFonts w:hint="eastAsia" w:ascii="华文中宋" w:hAnsi="华文中宋" w:eastAsia="华文中宋" w:cs="华文中宋"/>
          <w:b w:val="0"/>
          <w:bCs w:val="0"/>
          <w:kern w:val="2"/>
          <w:sz w:val="32"/>
          <w:szCs w:val="32"/>
          <w:lang w:bidi="zh-TW"/>
        </w:rPr>
        <w:t>出让价格、租金价格及优惠政策</w:t>
      </w:r>
    </w:p>
    <w:p>
      <w:pPr>
        <w:pStyle w:val="5"/>
        <w:spacing w:before="0" w:after="0" w:line="50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一、出让价格</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第三方专业机构核准后的园区厂房每平方米综合成本，确定园区厂房的每平方米转让平均控制价（按照楼层、位置不同实行差异化定价），园区厂房每平方米转让平均控制价初步估算不超过4200元/㎡（最终以核准后的平均控制价为准）。具体如下：</w:t>
      </w:r>
    </w:p>
    <w:tbl>
      <w:tblPr>
        <w:tblStyle w:val="6"/>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30"/>
        <w:gridCol w:w="1665"/>
        <w:gridCol w:w="181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94" w:type="dxa"/>
            <w:noWrap w:val="0"/>
            <w:vAlign w:val="center"/>
          </w:tcPr>
          <w:p>
            <w:pPr>
              <w:spacing w:line="440" w:lineRule="exact"/>
              <w:jc w:val="center"/>
              <w:rPr>
                <w:sz w:val="24"/>
                <w:szCs w:val="24"/>
                <w:lang w:bidi="zh-TW"/>
              </w:rPr>
            </w:pPr>
            <w:r>
              <w:rPr>
                <w:rFonts w:hint="eastAsia"/>
                <w:sz w:val="24"/>
                <w:szCs w:val="24"/>
                <w:lang w:bidi="zh-TW"/>
              </w:rPr>
              <w:t>业态</w:t>
            </w:r>
          </w:p>
        </w:tc>
        <w:tc>
          <w:tcPr>
            <w:tcW w:w="1530" w:type="dxa"/>
            <w:noWrap w:val="0"/>
            <w:vAlign w:val="center"/>
          </w:tcPr>
          <w:p>
            <w:pPr>
              <w:spacing w:line="440" w:lineRule="exact"/>
              <w:jc w:val="center"/>
              <w:rPr>
                <w:sz w:val="24"/>
                <w:szCs w:val="24"/>
                <w:lang w:bidi="zh-TW"/>
              </w:rPr>
            </w:pPr>
            <w:r>
              <w:rPr>
                <w:rFonts w:hint="eastAsia"/>
                <w:sz w:val="24"/>
                <w:szCs w:val="24"/>
                <w:lang w:bidi="zh-TW"/>
              </w:rPr>
              <w:t>所在楼层</w:t>
            </w:r>
          </w:p>
        </w:tc>
        <w:tc>
          <w:tcPr>
            <w:tcW w:w="1665" w:type="dxa"/>
            <w:noWrap w:val="0"/>
            <w:vAlign w:val="center"/>
          </w:tcPr>
          <w:p>
            <w:pPr>
              <w:spacing w:line="440" w:lineRule="exact"/>
              <w:jc w:val="center"/>
              <w:rPr>
                <w:sz w:val="24"/>
                <w:szCs w:val="24"/>
                <w:lang w:bidi="zh-TW"/>
              </w:rPr>
            </w:pPr>
            <w:r>
              <w:rPr>
                <w:rFonts w:hint="eastAsia"/>
                <w:sz w:val="24"/>
                <w:szCs w:val="24"/>
                <w:lang w:bidi="zh-TW"/>
              </w:rPr>
              <w:t>控制单价</w:t>
            </w:r>
          </w:p>
          <w:p>
            <w:pPr>
              <w:spacing w:line="440" w:lineRule="exact"/>
              <w:jc w:val="center"/>
              <w:rPr>
                <w:sz w:val="24"/>
                <w:szCs w:val="24"/>
                <w:lang w:bidi="zh-TW"/>
              </w:rPr>
            </w:pPr>
            <w:r>
              <w:rPr>
                <w:rFonts w:hint="eastAsia"/>
                <w:sz w:val="24"/>
                <w:szCs w:val="24"/>
                <w:lang w:bidi="zh-TW"/>
              </w:rPr>
              <w:t>（元/㎡）</w:t>
            </w:r>
          </w:p>
        </w:tc>
        <w:tc>
          <w:tcPr>
            <w:tcW w:w="1815" w:type="dxa"/>
            <w:noWrap w:val="0"/>
            <w:vAlign w:val="center"/>
          </w:tcPr>
          <w:p>
            <w:pPr>
              <w:spacing w:line="440" w:lineRule="exact"/>
              <w:jc w:val="center"/>
              <w:rPr>
                <w:sz w:val="24"/>
                <w:szCs w:val="24"/>
              </w:rPr>
            </w:pPr>
            <w:r>
              <w:rPr>
                <w:rFonts w:hint="eastAsia"/>
                <w:sz w:val="24"/>
                <w:szCs w:val="24"/>
              </w:rPr>
              <w:t>层高</w:t>
            </w:r>
          </w:p>
          <w:p>
            <w:pPr>
              <w:pStyle w:val="3"/>
              <w:spacing w:line="440" w:lineRule="exact"/>
              <w:ind w:left="0" w:firstLine="0" w:firstLineChars="0"/>
              <w:jc w:val="center"/>
            </w:pPr>
            <w:r>
              <w:rPr>
                <w:rFonts w:hint="eastAsia" w:ascii="宋体" w:hAnsi="宋体" w:eastAsia="宋体"/>
                <w:sz w:val="24"/>
                <w:szCs w:val="24"/>
              </w:rPr>
              <w:t>（米）</w:t>
            </w:r>
          </w:p>
        </w:tc>
        <w:tc>
          <w:tcPr>
            <w:tcW w:w="2640" w:type="dxa"/>
            <w:noWrap w:val="0"/>
            <w:vAlign w:val="center"/>
          </w:tcPr>
          <w:p>
            <w:pPr>
              <w:spacing w:line="440" w:lineRule="exact"/>
              <w:jc w:val="center"/>
              <w:rPr>
                <w:sz w:val="24"/>
                <w:szCs w:val="24"/>
              </w:rPr>
            </w:pPr>
            <w:r>
              <w:rPr>
                <w:rFonts w:hint="eastAsia"/>
                <w:sz w:val="24"/>
                <w:szCs w:val="24"/>
              </w:rPr>
              <w:t>荷载</w:t>
            </w:r>
          </w:p>
          <w:p>
            <w:pPr>
              <w:spacing w:line="440" w:lineRule="exact"/>
              <w:jc w:val="center"/>
            </w:pPr>
            <w:r>
              <w:rPr>
                <w:rFonts w:hint="eastAsia"/>
                <w:sz w:val="24"/>
                <w:szCs w:val="24"/>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restart"/>
            <w:noWrap w:val="0"/>
            <w:vAlign w:val="center"/>
          </w:tcPr>
          <w:p>
            <w:pPr>
              <w:spacing w:line="440" w:lineRule="exact"/>
              <w:jc w:val="center"/>
              <w:rPr>
                <w:sz w:val="24"/>
                <w:szCs w:val="24"/>
                <w:lang w:bidi="zh-TW"/>
              </w:rPr>
            </w:pPr>
            <w:r>
              <w:rPr>
                <w:rFonts w:hint="eastAsia"/>
                <w:sz w:val="24"/>
                <w:szCs w:val="24"/>
                <w:lang w:bidi="zh-TW"/>
              </w:rPr>
              <w:t>厂房北区</w:t>
            </w:r>
          </w:p>
          <w:p>
            <w:pPr>
              <w:spacing w:line="440" w:lineRule="exact"/>
              <w:jc w:val="center"/>
              <w:rPr>
                <w:sz w:val="24"/>
                <w:szCs w:val="24"/>
                <w:lang w:bidi="zh-TW"/>
              </w:rPr>
            </w:pPr>
            <w:r>
              <w:rPr>
                <w:rFonts w:hint="eastAsia"/>
                <w:sz w:val="24"/>
                <w:szCs w:val="24"/>
                <w:lang w:bidi="zh-TW"/>
              </w:rPr>
              <w:t>（4层）</w:t>
            </w:r>
          </w:p>
        </w:tc>
        <w:tc>
          <w:tcPr>
            <w:tcW w:w="1530" w:type="dxa"/>
            <w:noWrap w:val="0"/>
            <w:vAlign w:val="center"/>
          </w:tcPr>
          <w:p>
            <w:pPr>
              <w:spacing w:line="440" w:lineRule="exact"/>
              <w:jc w:val="center"/>
              <w:rPr>
                <w:sz w:val="24"/>
                <w:szCs w:val="24"/>
                <w:lang w:bidi="zh-TW"/>
              </w:rPr>
            </w:pPr>
            <w:r>
              <w:rPr>
                <w:rFonts w:hint="eastAsia"/>
                <w:sz w:val="24"/>
                <w:szCs w:val="24"/>
                <w:lang w:bidi="zh-TW"/>
              </w:rPr>
              <w:t>1</w:t>
            </w:r>
          </w:p>
        </w:tc>
        <w:tc>
          <w:tcPr>
            <w:tcW w:w="1665" w:type="dxa"/>
            <w:noWrap w:val="0"/>
            <w:vAlign w:val="center"/>
          </w:tcPr>
          <w:p>
            <w:pPr>
              <w:spacing w:line="440" w:lineRule="exact"/>
              <w:jc w:val="center"/>
              <w:rPr>
                <w:sz w:val="24"/>
                <w:szCs w:val="24"/>
                <w:lang w:bidi="zh-TW"/>
              </w:rPr>
            </w:pPr>
            <w:r>
              <w:rPr>
                <w:rFonts w:hint="eastAsia"/>
                <w:sz w:val="24"/>
                <w:szCs w:val="24"/>
                <w:lang w:bidi="zh-TW"/>
              </w:rPr>
              <w:t>6500</w:t>
            </w:r>
          </w:p>
        </w:tc>
        <w:tc>
          <w:tcPr>
            <w:tcW w:w="1815" w:type="dxa"/>
            <w:noWrap w:val="0"/>
            <w:vAlign w:val="center"/>
          </w:tcPr>
          <w:p>
            <w:pPr>
              <w:spacing w:line="440" w:lineRule="exact"/>
              <w:jc w:val="center"/>
              <w:rPr>
                <w:sz w:val="24"/>
                <w:szCs w:val="24"/>
                <w:lang w:bidi="zh-TW"/>
              </w:rPr>
            </w:pPr>
            <w:r>
              <w:rPr>
                <w:rFonts w:hint="eastAsia"/>
                <w:sz w:val="24"/>
                <w:szCs w:val="24"/>
                <w:lang w:bidi="zh-TW"/>
              </w:rPr>
              <w:t>7.9</w:t>
            </w:r>
          </w:p>
        </w:tc>
        <w:tc>
          <w:tcPr>
            <w:tcW w:w="2640" w:type="dxa"/>
            <w:noWrap w:val="0"/>
            <w:vAlign w:val="center"/>
          </w:tcPr>
          <w:p>
            <w:pPr>
              <w:spacing w:line="440" w:lineRule="exact"/>
              <w:jc w:val="center"/>
              <w:rPr>
                <w:sz w:val="24"/>
                <w:szCs w:val="24"/>
                <w:lang w:bidi="zh-TW"/>
              </w:rPr>
            </w:pPr>
            <w:r>
              <w:rPr>
                <w:rFonts w:hint="eastAsia"/>
                <w:sz w:val="24"/>
                <w:szCs w:val="24"/>
                <w:lang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noWrap w:val="0"/>
            <w:vAlign w:val="center"/>
          </w:tcPr>
          <w:p>
            <w:pPr>
              <w:spacing w:line="440" w:lineRule="exact"/>
              <w:jc w:val="center"/>
              <w:rPr>
                <w:sz w:val="24"/>
                <w:szCs w:val="24"/>
                <w:lang w:bidi="zh-TW"/>
              </w:rPr>
            </w:pPr>
          </w:p>
        </w:tc>
        <w:tc>
          <w:tcPr>
            <w:tcW w:w="1530" w:type="dxa"/>
            <w:noWrap w:val="0"/>
            <w:vAlign w:val="center"/>
          </w:tcPr>
          <w:p>
            <w:pPr>
              <w:spacing w:line="440" w:lineRule="exact"/>
              <w:jc w:val="center"/>
              <w:rPr>
                <w:sz w:val="24"/>
                <w:szCs w:val="24"/>
                <w:lang w:bidi="zh-TW"/>
              </w:rPr>
            </w:pPr>
            <w:r>
              <w:rPr>
                <w:rFonts w:hint="eastAsia"/>
                <w:sz w:val="24"/>
                <w:szCs w:val="24"/>
                <w:lang w:bidi="zh-TW"/>
              </w:rPr>
              <w:t>2</w:t>
            </w:r>
          </w:p>
        </w:tc>
        <w:tc>
          <w:tcPr>
            <w:tcW w:w="1665" w:type="dxa"/>
            <w:noWrap w:val="0"/>
            <w:vAlign w:val="center"/>
          </w:tcPr>
          <w:p>
            <w:pPr>
              <w:spacing w:line="440" w:lineRule="exact"/>
              <w:jc w:val="center"/>
              <w:rPr>
                <w:sz w:val="24"/>
                <w:szCs w:val="24"/>
                <w:lang w:bidi="zh-TW"/>
              </w:rPr>
            </w:pPr>
            <w:r>
              <w:rPr>
                <w:rFonts w:hint="eastAsia"/>
                <w:sz w:val="24"/>
                <w:szCs w:val="24"/>
                <w:lang w:bidi="zh-TW"/>
              </w:rPr>
              <w:t>3300</w:t>
            </w:r>
          </w:p>
        </w:tc>
        <w:tc>
          <w:tcPr>
            <w:tcW w:w="1815" w:type="dxa"/>
            <w:noWrap w:val="0"/>
            <w:vAlign w:val="center"/>
          </w:tcPr>
          <w:p>
            <w:pPr>
              <w:spacing w:line="440" w:lineRule="exact"/>
              <w:jc w:val="center"/>
              <w:rPr>
                <w:sz w:val="24"/>
                <w:szCs w:val="24"/>
                <w:lang w:bidi="zh-TW"/>
              </w:rPr>
            </w:pPr>
            <w:r>
              <w:rPr>
                <w:rFonts w:hint="eastAsia"/>
                <w:sz w:val="24"/>
                <w:szCs w:val="24"/>
                <w:lang w:bidi="zh-TW"/>
              </w:rPr>
              <w:t>4.7</w:t>
            </w:r>
          </w:p>
        </w:tc>
        <w:tc>
          <w:tcPr>
            <w:tcW w:w="2640" w:type="dxa"/>
            <w:noWrap w:val="0"/>
            <w:vAlign w:val="center"/>
          </w:tcPr>
          <w:p>
            <w:pPr>
              <w:spacing w:line="440" w:lineRule="exact"/>
              <w:jc w:val="center"/>
              <w:rPr>
                <w:sz w:val="24"/>
                <w:szCs w:val="24"/>
                <w:lang w:bidi="zh-TW"/>
              </w:rPr>
            </w:pPr>
            <w:r>
              <w:rPr>
                <w:rFonts w:hint="eastAsia"/>
                <w:sz w:val="24"/>
                <w:szCs w:val="24"/>
                <w:lang w:bidi="zh-TW"/>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4" w:type="dxa"/>
            <w:vMerge w:val="continue"/>
            <w:noWrap w:val="0"/>
            <w:vAlign w:val="center"/>
          </w:tcPr>
          <w:p>
            <w:pPr>
              <w:spacing w:line="440" w:lineRule="exact"/>
              <w:jc w:val="center"/>
              <w:rPr>
                <w:sz w:val="24"/>
                <w:szCs w:val="24"/>
                <w:lang w:bidi="zh-TW"/>
              </w:rPr>
            </w:pPr>
          </w:p>
        </w:tc>
        <w:tc>
          <w:tcPr>
            <w:tcW w:w="1530" w:type="dxa"/>
            <w:noWrap w:val="0"/>
            <w:vAlign w:val="center"/>
          </w:tcPr>
          <w:p>
            <w:pPr>
              <w:spacing w:line="440" w:lineRule="exact"/>
              <w:jc w:val="center"/>
              <w:rPr>
                <w:sz w:val="24"/>
                <w:szCs w:val="24"/>
                <w:lang w:bidi="zh-TW"/>
              </w:rPr>
            </w:pPr>
            <w:r>
              <w:rPr>
                <w:rFonts w:hint="eastAsia"/>
                <w:sz w:val="24"/>
                <w:szCs w:val="24"/>
                <w:lang w:bidi="zh-TW"/>
              </w:rPr>
              <w:t>3</w:t>
            </w:r>
          </w:p>
        </w:tc>
        <w:tc>
          <w:tcPr>
            <w:tcW w:w="1665" w:type="dxa"/>
            <w:noWrap w:val="0"/>
            <w:vAlign w:val="center"/>
          </w:tcPr>
          <w:p>
            <w:pPr>
              <w:spacing w:line="440" w:lineRule="exact"/>
              <w:jc w:val="center"/>
              <w:rPr>
                <w:sz w:val="24"/>
                <w:szCs w:val="24"/>
                <w:lang w:bidi="zh-TW"/>
              </w:rPr>
            </w:pPr>
            <w:r>
              <w:rPr>
                <w:rFonts w:hint="eastAsia"/>
                <w:sz w:val="24"/>
                <w:szCs w:val="24"/>
                <w:lang w:bidi="zh-TW"/>
              </w:rPr>
              <w:t>3100</w:t>
            </w:r>
          </w:p>
        </w:tc>
        <w:tc>
          <w:tcPr>
            <w:tcW w:w="1815" w:type="dxa"/>
            <w:noWrap w:val="0"/>
            <w:vAlign w:val="center"/>
          </w:tcPr>
          <w:p>
            <w:pPr>
              <w:spacing w:line="440" w:lineRule="exact"/>
              <w:jc w:val="center"/>
              <w:rPr>
                <w:sz w:val="24"/>
                <w:szCs w:val="24"/>
                <w:lang w:bidi="zh-TW"/>
              </w:rPr>
            </w:pPr>
            <w:r>
              <w:rPr>
                <w:rFonts w:hint="eastAsia"/>
                <w:sz w:val="24"/>
                <w:szCs w:val="24"/>
                <w:lang w:bidi="zh-TW"/>
              </w:rPr>
              <w:t>4.7</w:t>
            </w:r>
          </w:p>
        </w:tc>
        <w:tc>
          <w:tcPr>
            <w:tcW w:w="2640" w:type="dxa"/>
            <w:noWrap w:val="0"/>
            <w:vAlign w:val="center"/>
          </w:tcPr>
          <w:p>
            <w:pPr>
              <w:spacing w:line="440" w:lineRule="exact"/>
              <w:jc w:val="center"/>
              <w:rPr>
                <w:sz w:val="24"/>
                <w:szCs w:val="24"/>
                <w:lang w:bidi="zh-TW"/>
              </w:rPr>
            </w:pPr>
            <w:r>
              <w:rPr>
                <w:rFonts w:hint="eastAsia"/>
                <w:sz w:val="24"/>
                <w:szCs w:val="24"/>
                <w:lang w:bidi="zh-TW"/>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noWrap w:val="0"/>
            <w:vAlign w:val="center"/>
          </w:tcPr>
          <w:p>
            <w:pPr>
              <w:spacing w:line="440" w:lineRule="exact"/>
              <w:jc w:val="center"/>
              <w:rPr>
                <w:sz w:val="24"/>
                <w:szCs w:val="24"/>
                <w:lang w:bidi="zh-TW"/>
              </w:rPr>
            </w:pPr>
          </w:p>
        </w:tc>
        <w:tc>
          <w:tcPr>
            <w:tcW w:w="1530" w:type="dxa"/>
            <w:noWrap w:val="0"/>
            <w:vAlign w:val="center"/>
          </w:tcPr>
          <w:p>
            <w:pPr>
              <w:spacing w:line="440" w:lineRule="exact"/>
              <w:jc w:val="center"/>
              <w:rPr>
                <w:sz w:val="24"/>
                <w:szCs w:val="24"/>
                <w:lang w:bidi="zh-TW"/>
              </w:rPr>
            </w:pPr>
            <w:r>
              <w:rPr>
                <w:rFonts w:hint="eastAsia"/>
                <w:sz w:val="24"/>
                <w:szCs w:val="24"/>
                <w:lang w:bidi="zh-TW"/>
              </w:rPr>
              <w:t>4</w:t>
            </w:r>
          </w:p>
        </w:tc>
        <w:tc>
          <w:tcPr>
            <w:tcW w:w="1665" w:type="dxa"/>
            <w:noWrap w:val="0"/>
            <w:vAlign w:val="center"/>
          </w:tcPr>
          <w:p>
            <w:pPr>
              <w:spacing w:line="440" w:lineRule="exact"/>
              <w:jc w:val="center"/>
              <w:rPr>
                <w:sz w:val="24"/>
                <w:szCs w:val="24"/>
                <w:lang w:bidi="zh-TW"/>
              </w:rPr>
            </w:pPr>
            <w:r>
              <w:rPr>
                <w:rFonts w:hint="eastAsia"/>
                <w:sz w:val="24"/>
                <w:szCs w:val="24"/>
                <w:lang w:bidi="zh-TW"/>
              </w:rPr>
              <w:t>3100</w:t>
            </w:r>
          </w:p>
        </w:tc>
        <w:tc>
          <w:tcPr>
            <w:tcW w:w="1815" w:type="dxa"/>
            <w:noWrap w:val="0"/>
            <w:vAlign w:val="center"/>
          </w:tcPr>
          <w:p>
            <w:pPr>
              <w:spacing w:line="440" w:lineRule="exact"/>
              <w:jc w:val="center"/>
              <w:rPr>
                <w:sz w:val="24"/>
                <w:szCs w:val="24"/>
                <w:lang w:bidi="zh-TW"/>
              </w:rPr>
            </w:pPr>
            <w:r>
              <w:rPr>
                <w:rFonts w:hint="eastAsia"/>
                <w:sz w:val="24"/>
                <w:szCs w:val="24"/>
                <w:lang w:bidi="zh-TW"/>
              </w:rPr>
              <w:t>4.7</w:t>
            </w:r>
          </w:p>
        </w:tc>
        <w:tc>
          <w:tcPr>
            <w:tcW w:w="2640" w:type="dxa"/>
            <w:noWrap w:val="0"/>
            <w:vAlign w:val="center"/>
          </w:tcPr>
          <w:p>
            <w:pPr>
              <w:spacing w:line="440" w:lineRule="exact"/>
              <w:jc w:val="center"/>
              <w:rPr>
                <w:sz w:val="24"/>
                <w:szCs w:val="24"/>
                <w:lang w:bidi="zh-TW"/>
              </w:rPr>
            </w:pPr>
            <w:r>
              <w:rPr>
                <w:rFonts w:hint="eastAsia"/>
                <w:sz w:val="24"/>
                <w:szCs w:val="24"/>
                <w:lang w:bidi="zh-TW"/>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restart"/>
            <w:noWrap w:val="0"/>
            <w:vAlign w:val="center"/>
          </w:tcPr>
          <w:p>
            <w:pPr>
              <w:spacing w:line="440" w:lineRule="exact"/>
              <w:jc w:val="center"/>
              <w:rPr>
                <w:rFonts w:hint="eastAsia"/>
                <w:sz w:val="24"/>
                <w:szCs w:val="24"/>
                <w:lang w:bidi="zh-TW"/>
              </w:rPr>
            </w:pPr>
            <w:r>
              <w:rPr>
                <w:rFonts w:hint="eastAsia"/>
                <w:sz w:val="24"/>
                <w:szCs w:val="24"/>
                <w:lang w:bidi="zh-TW"/>
              </w:rPr>
              <w:t>厂房南区</w:t>
            </w:r>
          </w:p>
          <w:p>
            <w:pPr>
              <w:spacing w:line="440" w:lineRule="exact"/>
              <w:jc w:val="center"/>
              <w:rPr>
                <w:sz w:val="24"/>
                <w:szCs w:val="24"/>
                <w:lang w:bidi="zh-TW"/>
              </w:rPr>
            </w:pPr>
            <w:r>
              <w:rPr>
                <w:rFonts w:hint="eastAsia"/>
                <w:sz w:val="24"/>
                <w:szCs w:val="24"/>
                <w:lang w:bidi="zh-TW"/>
              </w:rPr>
              <w:t>（3层）</w:t>
            </w:r>
          </w:p>
        </w:tc>
        <w:tc>
          <w:tcPr>
            <w:tcW w:w="1530" w:type="dxa"/>
            <w:noWrap w:val="0"/>
            <w:vAlign w:val="center"/>
          </w:tcPr>
          <w:p>
            <w:pPr>
              <w:spacing w:line="440" w:lineRule="exact"/>
              <w:jc w:val="center"/>
              <w:rPr>
                <w:sz w:val="24"/>
                <w:szCs w:val="24"/>
                <w:lang w:bidi="zh-TW"/>
              </w:rPr>
            </w:pPr>
            <w:r>
              <w:rPr>
                <w:rFonts w:hint="eastAsia"/>
                <w:sz w:val="24"/>
                <w:szCs w:val="24"/>
                <w:lang w:bidi="zh-TW"/>
              </w:rPr>
              <w:t>1</w:t>
            </w:r>
          </w:p>
        </w:tc>
        <w:tc>
          <w:tcPr>
            <w:tcW w:w="1665" w:type="dxa"/>
            <w:noWrap w:val="0"/>
            <w:vAlign w:val="center"/>
          </w:tcPr>
          <w:p>
            <w:pPr>
              <w:spacing w:line="440" w:lineRule="exact"/>
              <w:jc w:val="center"/>
              <w:rPr>
                <w:sz w:val="24"/>
                <w:szCs w:val="24"/>
                <w:lang w:bidi="zh-TW"/>
              </w:rPr>
            </w:pPr>
            <w:r>
              <w:rPr>
                <w:rFonts w:hint="eastAsia"/>
                <w:sz w:val="24"/>
                <w:szCs w:val="24"/>
                <w:lang w:bidi="zh-TW"/>
              </w:rPr>
              <w:t>6500</w:t>
            </w:r>
          </w:p>
        </w:tc>
        <w:tc>
          <w:tcPr>
            <w:tcW w:w="1815" w:type="dxa"/>
            <w:noWrap w:val="0"/>
            <w:vAlign w:val="center"/>
          </w:tcPr>
          <w:p>
            <w:pPr>
              <w:spacing w:line="440" w:lineRule="exact"/>
              <w:jc w:val="center"/>
              <w:rPr>
                <w:sz w:val="24"/>
                <w:szCs w:val="24"/>
                <w:lang w:bidi="zh-TW"/>
              </w:rPr>
            </w:pPr>
            <w:r>
              <w:rPr>
                <w:rFonts w:hint="eastAsia"/>
                <w:sz w:val="24"/>
                <w:szCs w:val="24"/>
                <w:lang w:bidi="zh-TW"/>
              </w:rPr>
              <w:t>7.9</w:t>
            </w:r>
          </w:p>
        </w:tc>
        <w:tc>
          <w:tcPr>
            <w:tcW w:w="2640" w:type="dxa"/>
            <w:noWrap w:val="0"/>
            <w:vAlign w:val="center"/>
          </w:tcPr>
          <w:p>
            <w:pPr>
              <w:spacing w:line="440" w:lineRule="exact"/>
              <w:jc w:val="center"/>
              <w:rPr>
                <w:sz w:val="24"/>
                <w:szCs w:val="24"/>
                <w:lang w:bidi="zh-TW"/>
              </w:rPr>
            </w:pPr>
            <w:r>
              <w:rPr>
                <w:rFonts w:hint="eastAsia"/>
                <w:sz w:val="24"/>
                <w:szCs w:val="24"/>
                <w:lang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noWrap w:val="0"/>
            <w:vAlign w:val="center"/>
          </w:tcPr>
          <w:p>
            <w:pPr>
              <w:spacing w:line="440" w:lineRule="exact"/>
              <w:jc w:val="center"/>
              <w:rPr>
                <w:sz w:val="24"/>
                <w:szCs w:val="24"/>
                <w:lang w:bidi="zh-TW"/>
              </w:rPr>
            </w:pPr>
          </w:p>
        </w:tc>
        <w:tc>
          <w:tcPr>
            <w:tcW w:w="1530" w:type="dxa"/>
            <w:noWrap w:val="0"/>
            <w:vAlign w:val="center"/>
          </w:tcPr>
          <w:p>
            <w:pPr>
              <w:spacing w:line="440" w:lineRule="exact"/>
              <w:jc w:val="center"/>
              <w:rPr>
                <w:sz w:val="24"/>
                <w:szCs w:val="24"/>
                <w:lang w:bidi="zh-TW"/>
              </w:rPr>
            </w:pPr>
            <w:r>
              <w:rPr>
                <w:rFonts w:hint="eastAsia"/>
                <w:sz w:val="24"/>
                <w:szCs w:val="24"/>
                <w:lang w:bidi="zh-TW"/>
              </w:rPr>
              <w:t>2</w:t>
            </w:r>
          </w:p>
        </w:tc>
        <w:tc>
          <w:tcPr>
            <w:tcW w:w="1665" w:type="dxa"/>
            <w:noWrap w:val="0"/>
            <w:vAlign w:val="center"/>
          </w:tcPr>
          <w:p>
            <w:pPr>
              <w:spacing w:line="440" w:lineRule="exact"/>
              <w:jc w:val="center"/>
              <w:rPr>
                <w:sz w:val="24"/>
                <w:szCs w:val="24"/>
                <w:lang w:bidi="zh-TW"/>
              </w:rPr>
            </w:pPr>
            <w:r>
              <w:rPr>
                <w:rFonts w:hint="eastAsia"/>
                <w:sz w:val="24"/>
                <w:szCs w:val="24"/>
                <w:lang w:bidi="zh-TW"/>
              </w:rPr>
              <w:t>3900</w:t>
            </w:r>
          </w:p>
        </w:tc>
        <w:tc>
          <w:tcPr>
            <w:tcW w:w="1815" w:type="dxa"/>
            <w:noWrap w:val="0"/>
            <w:vAlign w:val="center"/>
          </w:tcPr>
          <w:p>
            <w:pPr>
              <w:spacing w:line="440" w:lineRule="exact"/>
              <w:jc w:val="center"/>
              <w:rPr>
                <w:sz w:val="24"/>
                <w:szCs w:val="24"/>
                <w:lang w:bidi="zh-TW"/>
              </w:rPr>
            </w:pPr>
            <w:r>
              <w:rPr>
                <w:rFonts w:hint="eastAsia"/>
                <w:sz w:val="24"/>
                <w:szCs w:val="24"/>
                <w:lang w:bidi="zh-TW"/>
              </w:rPr>
              <w:t>7.9</w:t>
            </w:r>
          </w:p>
        </w:tc>
        <w:tc>
          <w:tcPr>
            <w:tcW w:w="2640" w:type="dxa"/>
            <w:noWrap w:val="0"/>
            <w:vAlign w:val="center"/>
          </w:tcPr>
          <w:p>
            <w:pPr>
              <w:spacing w:line="440" w:lineRule="exact"/>
              <w:jc w:val="center"/>
              <w:rPr>
                <w:sz w:val="24"/>
                <w:szCs w:val="24"/>
                <w:lang w:bidi="zh-TW"/>
              </w:rPr>
            </w:pPr>
            <w:r>
              <w:rPr>
                <w:rFonts w:hint="eastAsia"/>
                <w:sz w:val="24"/>
                <w:szCs w:val="24"/>
                <w:lang w:bidi="zh-TW"/>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noWrap w:val="0"/>
            <w:vAlign w:val="center"/>
          </w:tcPr>
          <w:p>
            <w:pPr>
              <w:spacing w:line="440" w:lineRule="exact"/>
              <w:jc w:val="center"/>
              <w:rPr>
                <w:sz w:val="24"/>
                <w:szCs w:val="24"/>
                <w:lang w:bidi="zh-TW"/>
              </w:rPr>
            </w:pPr>
          </w:p>
        </w:tc>
        <w:tc>
          <w:tcPr>
            <w:tcW w:w="1530" w:type="dxa"/>
            <w:noWrap w:val="0"/>
            <w:vAlign w:val="center"/>
          </w:tcPr>
          <w:p>
            <w:pPr>
              <w:spacing w:line="440" w:lineRule="exact"/>
              <w:jc w:val="center"/>
              <w:rPr>
                <w:sz w:val="24"/>
                <w:szCs w:val="24"/>
                <w:lang w:bidi="zh-TW"/>
              </w:rPr>
            </w:pPr>
            <w:r>
              <w:rPr>
                <w:rFonts w:hint="eastAsia"/>
                <w:sz w:val="24"/>
                <w:szCs w:val="24"/>
                <w:lang w:bidi="zh-TW"/>
              </w:rPr>
              <w:t>3</w:t>
            </w:r>
          </w:p>
        </w:tc>
        <w:tc>
          <w:tcPr>
            <w:tcW w:w="1665" w:type="dxa"/>
            <w:noWrap w:val="0"/>
            <w:vAlign w:val="center"/>
          </w:tcPr>
          <w:p>
            <w:pPr>
              <w:spacing w:line="440" w:lineRule="exact"/>
              <w:jc w:val="center"/>
              <w:rPr>
                <w:sz w:val="24"/>
                <w:szCs w:val="24"/>
                <w:lang w:bidi="zh-TW"/>
              </w:rPr>
            </w:pPr>
            <w:r>
              <w:rPr>
                <w:rFonts w:hint="eastAsia"/>
                <w:sz w:val="24"/>
                <w:szCs w:val="24"/>
                <w:lang w:bidi="zh-TW"/>
              </w:rPr>
              <w:t>3200</w:t>
            </w:r>
          </w:p>
        </w:tc>
        <w:tc>
          <w:tcPr>
            <w:tcW w:w="1815" w:type="dxa"/>
            <w:noWrap w:val="0"/>
            <w:vAlign w:val="center"/>
          </w:tcPr>
          <w:p>
            <w:pPr>
              <w:spacing w:line="440" w:lineRule="exact"/>
              <w:jc w:val="center"/>
              <w:rPr>
                <w:sz w:val="24"/>
                <w:szCs w:val="24"/>
                <w:lang w:bidi="zh-TW"/>
              </w:rPr>
            </w:pPr>
            <w:r>
              <w:rPr>
                <w:rFonts w:hint="eastAsia"/>
                <w:sz w:val="24"/>
                <w:szCs w:val="24"/>
                <w:lang w:bidi="zh-TW"/>
              </w:rPr>
              <w:t>6.2</w:t>
            </w:r>
          </w:p>
        </w:tc>
        <w:tc>
          <w:tcPr>
            <w:tcW w:w="2640" w:type="dxa"/>
            <w:noWrap w:val="0"/>
            <w:vAlign w:val="center"/>
          </w:tcPr>
          <w:p>
            <w:pPr>
              <w:spacing w:line="440" w:lineRule="exact"/>
              <w:jc w:val="center"/>
              <w:rPr>
                <w:sz w:val="24"/>
                <w:szCs w:val="24"/>
                <w:lang w:bidi="zh-TW"/>
              </w:rPr>
            </w:pPr>
            <w:r>
              <w:rPr>
                <w:rFonts w:hint="eastAsia"/>
                <w:sz w:val="24"/>
                <w:szCs w:val="24"/>
                <w:lang w:bidi="zh-TW"/>
              </w:rPr>
              <w:t>500</w:t>
            </w:r>
          </w:p>
        </w:tc>
      </w:tr>
    </w:tbl>
    <w:p>
      <w:pPr>
        <w:pStyle w:val="5"/>
        <w:spacing w:before="0" w:after="0" w:line="500" w:lineRule="exact"/>
        <w:ind w:firstLine="560" w:firstLineChars="200"/>
        <w:rPr>
          <w:rFonts w:hint="eastAsia" w:ascii="黑体" w:hAnsi="黑体" w:eastAsia="黑体" w:cs="黑体"/>
          <w:b w:val="0"/>
          <w:bCs w:val="0"/>
          <w:sz w:val="31"/>
          <w:szCs w:val="31"/>
        </w:rPr>
      </w:pPr>
      <w:r>
        <w:rPr>
          <w:rFonts w:hint="eastAsia" w:ascii="黑体" w:hAnsi="黑体" w:eastAsia="黑体" w:cs="黑体"/>
          <w:b w:val="0"/>
          <w:bCs w:val="0"/>
          <w:sz w:val="28"/>
          <w:szCs w:val="28"/>
        </w:rPr>
        <w:t>二、基础租金价格（包含租用的标准厂房应缴纳的相关税费</w:t>
      </w:r>
      <w:r>
        <w:rPr>
          <w:rFonts w:hint="eastAsia" w:ascii="黑体" w:hAnsi="黑体" w:eastAsia="黑体" w:cs="黑体"/>
          <w:b w:val="0"/>
          <w:bCs w:val="0"/>
          <w:sz w:val="31"/>
          <w:szCs w:val="31"/>
        </w:rPr>
        <w:t>）</w:t>
      </w:r>
    </w:p>
    <w:p>
      <w:pPr>
        <w:spacing w:line="500" w:lineRule="exact"/>
        <w:ind w:firstLine="560" w:firstLineChars="200"/>
      </w:pPr>
      <w:r>
        <w:rPr>
          <w:rFonts w:hint="eastAsia" w:ascii="仿宋_GB2312" w:hAnsi="仿宋_GB2312" w:eastAsia="仿宋_GB2312" w:cs="仿宋_GB2312"/>
          <w:kern w:val="44"/>
          <w:sz w:val="28"/>
          <w:szCs w:val="28"/>
        </w:rPr>
        <w:t>以评估价格为基础，结合市场实际情况，以不低于评估报告结果的价格作为项目首年招商底价。</w:t>
      </w:r>
    </w:p>
    <w:tbl>
      <w:tblPr>
        <w:tblStyle w:val="6"/>
        <w:tblpPr w:leftFromText="180" w:rightFromText="180" w:vertAnchor="text" w:horzAnchor="page" w:tblpX="1676" w:tblpY="285"/>
        <w:tblOverlap w:val="never"/>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04"/>
        <w:gridCol w:w="1637"/>
        <w:gridCol w:w="1639"/>
        <w:gridCol w:w="151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91" w:type="dxa"/>
            <w:noWrap w:val="0"/>
            <w:vAlign w:val="center"/>
          </w:tcPr>
          <w:p>
            <w:pPr>
              <w:spacing w:line="440" w:lineRule="exact"/>
              <w:jc w:val="center"/>
              <w:rPr>
                <w:sz w:val="24"/>
                <w:szCs w:val="24"/>
                <w:lang w:bidi="zh-TW"/>
              </w:rPr>
            </w:pPr>
            <w:r>
              <w:rPr>
                <w:rFonts w:hint="eastAsia"/>
                <w:sz w:val="24"/>
                <w:szCs w:val="24"/>
                <w:lang w:bidi="zh-TW"/>
              </w:rPr>
              <w:t>业态</w:t>
            </w:r>
          </w:p>
        </w:tc>
        <w:tc>
          <w:tcPr>
            <w:tcW w:w="1404" w:type="dxa"/>
            <w:noWrap w:val="0"/>
            <w:vAlign w:val="center"/>
          </w:tcPr>
          <w:p>
            <w:pPr>
              <w:spacing w:line="440" w:lineRule="exact"/>
              <w:jc w:val="center"/>
              <w:rPr>
                <w:sz w:val="24"/>
                <w:szCs w:val="24"/>
                <w:lang w:bidi="zh-TW"/>
              </w:rPr>
            </w:pPr>
            <w:r>
              <w:rPr>
                <w:rFonts w:hint="eastAsia"/>
                <w:sz w:val="24"/>
                <w:szCs w:val="24"/>
                <w:lang w:bidi="zh-TW"/>
              </w:rPr>
              <w:t>所在楼层</w:t>
            </w:r>
          </w:p>
        </w:tc>
        <w:tc>
          <w:tcPr>
            <w:tcW w:w="1637" w:type="dxa"/>
            <w:noWrap w:val="0"/>
            <w:vAlign w:val="center"/>
          </w:tcPr>
          <w:p>
            <w:pPr>
              <w:spacing w:line="440" w:lineRule="exact"/>
              <w:jc w:val="center"/>
              <w:rPr>
                <w:sz w:val="24"/>
                <w:szCs w:val="24"/>
                <w:lang w:bidi="zh-TW"/>
              </w:rPr>
            </w:pPr>
            <w:r>
              <w:rPr>
                <w:rFonts w:hint="eastAsia"/>
                <w:sz w:val="24"/>
                <w:szCs w:val="24"/>
                <w:lang w:bidi="zh-TW"/>
              </w:rPr>
              <w:t>单价</w:t>
            </w:r>
          </w:p>
          <w:p>
            <w:pPr>
              <w:spacing w:line="440" w:lineRule="exact"/>
              <w:jc w:val="center"/>
              <w:rPr>
                <w:sz w:val="24"/>
                <w:szCs w:val="24"/>
                <w:lang w:bidi="zh-TW"/>
              </w:rPr>
            </w:pPr>
            <w:r>
              <w:rPr>
                <w:rFonts w:hint="eastAsia"/>
                <w:sz w:val="24"/>
                <w:szCs w:val="24"/>
                <w:lang w:bidi="zh-TW"/>
              </w:rPr>
              <w:t>（元/㎡/月）</w:t>
            </w:r>
          </w:p>
        </w:tc>
        <w:tc>
          <w:tcPr>
            <w:tcW w:w="1639" w:type="dxa"/>
            <w:noWrap w:val="0"/>
            <w:vAlign w:val="center"/>
          </w:tcPr>
          <w:p>
            <w:pPr>
              <w:spacing w:line="440" w:lineRule="exact"/>
              <w:jc w:val="center"/>
              <w:rPr>
                <w:sz w:val="24"/>
                <w:szCs w:val="24"/>
                <w:lang w:bidi="zh-TW"/>
              </w:rPr>
            </w:pPr>
            <w:r>
              <w:rPr>
                <w:rFonts w:hint="eastAsia"/>
                <w:sz w:val="24"/>
                <w:szCs w:val="24"/>
                <w:lang w:bidi="zh-TW"/>
              </w:rPr>
              <w:t>年总价</w:t>
            </w:r>
          </w:p>
          <w:p>
            <w:pPr>
              <w:spacing w:line="440" w:lineRule="exact"/>
              <w:jc w:val="center"/>
              <w:rPr>
                <w:sz w:val="24"/>
                <w:szCs w:val="24"/>
                <w:lang w:bidi="zh-TW"/>
              </w:rPr>
            </w:pPr>
            <w:r>
              <w:rPr>
                <w:rFonts w:hint="eastAsia"/>
                <w:sz w:val="24"/>
                <w:szCs w:val="24"/>
                <w:lang w:bidi="zh-TW"/>
              </w:rPr>
              <w:t>（元/㎡）</w:t>
            </w:r>
          </w:p>
        </w:tc>
        <w:tc>
          <w:tcPr>
            <w:tcW w:w="1515" w:type="dxa"/>
            <w:noWrap w:val="0"/>
            <w:vAlign w:val="center"/>
          </w:tcPr>
          <w:p>
            <w:pPr>
              <w:spacing w:line="440" w:lineRule="exact"/>
              <w:jc w:val="center"/>
              <w:rPr>
                <w:sz w:val="24"/>
                <w:szCs w:val="24"/>
              </w:rPr>
            </w:pPr>
            <w:r>
              <w:rPr>
                <w:rFonts w:hint="eastAsia"/>
                <w:sz w:val="24"/>
                <w:szCs w:val="24"/>
              </w:rPr>
              <w:t>层高</w:t>
            </w:r>
          </w:p>
          <w:p>
            <w:pPr>
              <w:pStyle w:val="3"/>
              <w:spacing w:line="440" w:lineRule="exact"/>
              <w:ind w:left="0" w:firstLine="0" w:firstLineChars="0"/>
              <w:jc w:val="center"/>
            </w:pPr>
            <w:r>
              <w:rPr>
                <w:rFonts w:hint="eastAsia" w:ascii="宋体" w:hAnsi="宋体" w:eastAsia="宋体"/>
                <w:sz w:val="24"/>
                <w:szCs w:val="24"/>
              </w:rPr>
              <w:t>（米）</w:t>
            </w:r>
          </w:p>
        </w:tc>
        <w:tc>
          <w:tcPr>
            <w:tcW w:w="1455" w:type="dxa"/>
            <w:noWrap w:val="0"/>
            <w:vAlign w:val="center"/>
          </w:tcPr>
          <w:p>
            <w:pPr>
              <w:spacing w:line="440" w:lineRule="exact"/>
              <w:jc w:val="center"/>
              <w:rPr>
                <w:sz w:val="24"/>
                <w:szCs w:val="24"/>
              </w:rPr>
            </w:pPr>
            <w:r>
              <w:rPr>
                <w:rFonts w:hint="eastAsia"/>
                <w:sz w:val="24"/>
                <w:szCs w:val="24"/>
              </w:rPr>
              <w:t>荷载</w:t>
            </w:r>
          </w:p>
          <w:p>
            <w:pPr>
              <w:spacing w:line="440" w:lineRule="exact"/>
              <w:jc w:val="center"/>
            </w:pPr>
            <w:r>
              <w:rPr>
                <w:rFonts w:hint="eastAsia"/>
                <w:sz w:val="24"/>
                <w:szCs w:val="24"/>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restart"/>
            <w:noWrap w:val="0"/>
            <w:vAlign w:val="center"/>
          </w:tcPr>
          <w:p>
            <w:pPr>
              <w:spacing w:line="440" w:lineRule="exact"/>
              <w:jc w:val="center"/>
              <w:rPr>
                <w:sz w:val="24"/>
                <w:szCs w:val="24"/>
                <w:lang w:bidi="zh-TW"/>
              </w:rPr>
            </w:pPr>
            <w:r>
              <w:rPr>
                <w:rFonts w:hint="eastAsia"/>
                <w:sz w:val="24"/>
                <w:szCs w:val="24"/>
                <w:lang w:bidi="zh-TW"/>
              </w:rPr>
              <w:t>厂房北区</w:t>
            </w:r>
          </w:p>
          <w:p>
            <w:pPr>
              <w:spacing w:line="440" w:lineRule="exact"/>
              <w:jc w:val="center"/>
              <w:rPr>
                <w:sz w:val="24"/>
                <w:szCs w:val="24"/>
                <w:lang w:bidi="zh-TW"/>
              </w:rPr>
            </w:pPr>
            <w:r>
              <w:rPr>
                <w:rFonts w:hint="eastAsia"/>
                <w:sz w:val="24"/>
                <w:szCs w:val="24"/>
                <w:lang w:bidi="zh-TW"/>
              </w:rPr>
              <w:t>（4层）</w:t>
            </w:r>
          </w:p>
        </w:tc>
        <w:tc>
          <w:tcPr>
            <w:tcW w:w="1404" w:type="dxa"/>
            <w:noWrap w:val="0"/>
            <w:vAlign w:val="center"/>
          </w:tcPr>
          <w:p>
            <w:pPr>
              <w:spacing w:line="440" w:lineRule="exact"/>
              <w:jc w:val="center"/>
              <w:rPr>
                <w:sz w:val="24"/>
                <w:szCs w:val="24"/>
                <w:lang w:bidi="zh-TW"/>
              </w:rPr>
            </w:pPr>
            <w:r>
              <w:rPr>
                <w:rFonts w:hint="eastAsia"/>
                <w:sz w:val="24"/>
                <w:szCs w:val="24"/>
                <w:lang w:bidi="zh-TW"/>
              </w:rPr>
              <w:t>1</w:t>
            </w:r>
          </w:p>
        </w:tc>
        <w:tc>
          <w:tcPr>
            <w:tcW w:w="1637" w:type="dxa"/>
            <w:noWrap w:val="0"/>
            <w:vAlign w:val="center"/>
          </w:tcPr>
          <w:p>
            <w:pPr>
              <w:spacing w:line="440" w:lineRule="exact"/>
              <w:jc w:val="center"/>
              <w:rPr>
                <w:sz w:val="24"/>
                <w:szCs w:val="24"/>
                <w:lang w:bidi="zh-TW"/>
              </w:rPr>
            </w:pPr>
            <w:r>
              <w:rPr>
                <w:rFonts w:hint="eastAsia"/>
                <w:sz w:val="24"/>
                <w:szCs w:val="24"/>
                <w:lang w:bidi="zh-TW"/>
              </w:rPr>
              <w:t>32</w:t>
            </w:r>
          </w:p>
        </w:tc>
        <w:tc>
          <w:tcPr>
            <w:tcW w:w="1639" w:type="dxa"/>
            <w:noWrap w:val="0"/>
            <w:vAlign w:val="center"/>
          </w:tcPr>
          <w:p>
            <w:pPr>
              <w:spacing w:line="440" w:lineRule="exact"/>
              <w:jc w:val="center"/>
              <w:rPr>
                <w:sz w:val="24"/>
                <w:szCs w:val="24"/>
                <w:lang w:bidi="zh-TW"/>
              </w:rPr>
            </w:pPr>
            <w:r>
              <w:rPr>
                <w:rFonts w:hint="eastAsia"/>
                <w:sz w:val="24"/>
                <w:szCs w:val="24"/>
                <w:lang w:bidi="zh-TW"/>
              </w:rPr>
              <w:t>384</w:t>
            </w:r>
          </w:p>
        </w:tc>
        <w:tc>
          <w:tcPr>
            <w:tcW w:w="1515" w:type="dxa"/>
            <w:noWrap w:val="0"/>
            <w:vAlign w:val="center"/>
          </w:tcPr>
          <w:p>
            <w:pPr>
              <w:spacing w:line="440" w:lineRule="exact"/>
              <w:jc w:val="center"/>
              <w:rPr>
                <w:sz w:val="24"/>
                <w:szCs w:val="24"/>
                <w:lang w:bidi="zh-TW"/>
              </w:rPr>
            </w:pPr>
            <w:r>
              <w:rPr>
                <w:rFonts w:hint="eastAsia"/>
                <w:sz w:val="24"/>
                <w:szCs w:val="24"/>
                <w:lang w:bidi="zh-TW"/>
              </w:rPr>
              <w:t>7.9</w:t>
            </w:r>
          </w:p>
        </w:tc>
        <w:tc>
          <w:tcPr>
            <w:tcW w:w="1455" w:type="dxa"/>
            <w:noWrap w:val="0"/>
            <w:vAlign w:val="center"/>
          </w:tcPr>
          <w:p>
            <w:pPr>
              <w:spacing w:line="440" w:lineRule="exact"/>
              <w:jc w:val="center"/>
              <w:rPr>
                <w:sz w:val="24"/>
                <w:szCs w:val="24"/>
                <w:lang w:bidi="zh-TW"/>
              </w:rPr>
            </w:pPr>
            <w:r>
              <w:rPr>
                <w:rFonts w:hint="eastAsia"/>
                <w:sz w:val="24"/>
                <w:szCs w:val="24"/>
                <w:lang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noWrap w:val="0"/>
            <w:vAlign w:val="center"/>
          </w:tcPr>
          <w:p>
            <w:pPr>
              <w:spacing w:line="440" w:lineRule="exact"/>
              <w:jc w:val="center"/>
              <w:rPr>
                <w:sz w:val="24"/>
                <w:szCs w:val="24"/>
                <w:lang w:bidi="zh-TW"/>
              </w:rPr>
            </w:pPr>
          </w:p>
        </w:tc>
        <w:tc>
          <w:tcPr>
            <w:tcW w:w="1404" w:type="dxa"/>
            <w:noWrap w:val="0"/>
            <w:vAlign w:val="center"/>
          </w:tcPr>
          <w:p>
            <w:pPr>
              <w:spacing w:line="440" w:lineRule="exact"/>
              <w:jc w:val="center"/>
              <w:rPr>
                <w:sz w:val="24"/>
                <w:szCs w:val="24"/>
                <w:lang w:bidi="zh-TW"/>
              </w:rPr>
            </w:pPr>
            <w:r>
              <w:rPr>
                <w:rFonts w:hint="eastAsia"/>
                <w:sz w:val="24"/>
                <w:szCs w:val="24"/>
                <w:lang w:bidi="zh-TW"/>
              </w:rPr>
              <w:t>2</w:t>
            </w:r>
          </w:p>
        </w:tc>
        <w:tc>
          <w:tcPr>
            <w:tcW w:w="1637" w:type="dxa"/>
            <w:noWrap w:val="0"/>
            <w:vAlign w:val="center"/>
          </w:tcPr>
          <w:p>
            <w:pPr>
              <w:spacing w:line="440" w:lineRule="exact"/>
              <w:jc w:val="center"/>
              <w:rPr>
                <w:sz w:val="24"/>
                <w:szCs w:val="24"/>
                <w:lang w:bidi="zh-TW"/>
              </w:rPr>
            </w:pPr>
            <w:r>
              <w:rPr>
                <w:rFonts w:hint="eastAsia"/>
                <w:sz w:val="24"/>
                <w:szCs w:val="24"/>
                <w:lang w:bidi="zh-TW"/>
              </w:rPr>
              <w:t>19</w:t>
            </w:r>
          </w:p>
        </w:tc>
        <w:tc>
          <w:tcPr>
            <w:tcW w:w="1639" w:type="dxa"/>
            <w:noWrap w:val="0"/>
            <w:vAlign w:val="center"/>
          </w:tcPr>
          <w:p>
            <w:pPr>
              <w:spacing w:line="440" w:lineRule="exact"/>
              <w:jc w:val="center"/>
              <w:rPr>
                <w:sz w:val="24"/>
                <w:szCs w:val="24"/>
                <w:lang w:bidi="zh-TW"/>
              </w:rPr>
            </w:pPr>
            <w:r>
              <w:rPr>
                <w:rFonts w:hint="eastAsia"/>
                <w:sz w:val="24"/>
                <w:szCs w:val="24"/>
                <w:lang w:bidi="zh-TW"/>
              </w:rPr>
              <w:t>228</w:t>
            </w:r>
          </w:p>
        </w:tc>
        <w:tc>
          <w:tcPr>
            <w:tcW w:w="1515" w:type="dxa"/>
            <w:noWrap w:val="0"/>
            <w:vAlign w:val="center"/>
          </w:tcPr>
          <w:p>
            <w:pPr>
              <w:spacing w:line="440" w:lineRule="exact"/>
              <w:jc w:val="center"/>
              <w:rPr>
                <w:sz w:val="24"/>
                <w:szCs w:val="24"/>
                <w:lang w:bidi="zh-TW"/>
              </w:rPr>
            </w:pPr>
            <w:r>
              <w:rPr>
                <w:rFonts w:hint="eastAsia"/>
                <w:sz w:val="24"/>
                <w:szCs w:val="24"/>
                <w:lang w:bidi="zh-TW"/>
              </w:rPr>
              <w:t>4.7</w:t>
            </w:r>
          </w:p>
        </w:tc>
        <w:tc>
          <w:tcPr>
            <w:tcW w:w="1455" w:type="dxa"/>
            <w:noWrap w:val="0"/>
            <w:vAlign w:val="center"/>
          </w:tcPr>
          <w:p>
            <w:pPr>
              <w:spacing w:line="440" w:lineRule="exact"/>
              <w:jc w:val="center"/>
              <w:rPr>
                <w:sz w:val="24"/>
                <w:szCs w:val="24"/>
                <w:lang w:bidi="zh-TW"/>
              </w:rPr>
            </w:pPr>
            <w:r>
              <w:rPr>
                <w:rFonts w:hint="eastAsia"/>
                <w:sz w:val="24"/>
                <w:szCs w:val="24"/>
                <w:lang w:bidi="zh-TW"/>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noWrap w:val="0"/>
            <w:vAlign w:val="center"/>
          </w:tcPr>
          <w:p>
            <w:pPr>
              <w:spacing w:line="440" w:lineRule="exact"/>
              <w:jc w:val="center"/>
              <w:rPr>
                <w:sz w:val="24"/>
                <w:szCs w:val="24"/>
                <w:lang w:bidi="zh-TW"/>
              </w:rPr>
            </w:pPr>
          </w:p>
        </w:tc>
        <w:tc>
          <w:tcPr>
            <w:tcW w:w="1404" w:type="dxa"/>
            <w:noWrap w:val="0"/>
            <w:vAlign w:val="center"/>
          </w:tcPr>
          <w:p>
            <w:pPr>
              <w:spacing w:line="440" w:lineRule="exact"/>
              <w:jc w:val="center"/>
              <w:rPr>
                <w:sz w:val="24"/>
                <w:szCs w:val="24"/>
                <w:lang w:bidi="zh-TW"/>
              </w:rPr>
            </w:pPr>
            <w:r>
              <w:rPr>
                <w:rFonts w:hint="eastAsia"/>
                <w:sz w:val="24"/>
                <w:szCs w:val="24"/>
                <w:lang w:bidi="zh-TW"/>
              </w:rPr>
              <w:t>3</w:t>
            </w:r>
          </w:p>
        </w:tc>
        <w:tc>
          <w:tcPr>
            <w:tcW w:w="1637" w:type="dxa"/>
            <w:noWrap w:val="0"/>
            <w:vAlign w:val="center"/>
          </w:tcPr>
          <w:p>
            <w:pPr>
              <w:spacing w:line="440" w:lineRule="exact"/>
              <w:jc w:val="center"/>
              <w:rPr>
                <w:sz w:val="24"/>
                <w:szCs w:val="24"/>
                <w:lang w:bidi="zh-TW"/>
              </w:rPr>
            </w:pPr>
            <w:r>
              <w:rPr>
                <w:rFonts w:hint="eastAsia"/>
                <w:sz w:val="24"/>
                <w:szCs w:val="24"/>
                <w:lang w:bidi="zh-TW"/>
              </w:rPr>
              <w:t>17</w:t>
            </w:r>
          </w:p>
        </w:tc>
        <w:tc>
          <w:tcPr>
            <w:tcW w:w="1639" w:type="dxa"/>
            <w:noWrap w:val="0"/>
            <w:vAlign w:val="center"/>
          </w:tcPr>
          <w:p>
            <w:pPr>
              <w:spacing w:line="440" w:lineRule="exact"/>
              <w:jc w:val="center"/>
              <w:rPr>
                <w:sz w:val="24"/>
                <w:szCs w:val="24"/>
                <w:lang w:bidi="zh-TW"/>
              </w:rPr>
            </w:pPr>
            <w:r>
              <w:rPr>
                <w:rFonts w:hint="eastAsia"/>
                <w:sz w:val="24"/>
                <w:szCs w:val="24"/>
                <w:lang w:bidi="zh-TW"/>
              </w:rPr>
              <w:t>204</w:t>
            </w:r>
          </w:p>
        </w:tc>
        <w:tc>
          <w:tcPr>
            <w:tcW w:w="1515" w:type="dxa"/>
            <w:noWrap w:val="0"/>
            <w:vAlign w:val="center"/>
          </w:tcPr>
          <w:p>
            <w:pPr>
              <w:spacing w:line="440" w:lineRule="exact"/>
              <w:jc w:val="center"/>
              <w:rPr>
                <w:sz w:val="24"/>
                <w:szCs w:val="24"/>
                <w:lang w:bidi="zh-TW"/>
              </w:rPr>
            </w:pPr>
            <w:r>
              <w:rPr>
                <w:rFonts w:hint="eastAsia"/>
                <w:sz w:val="24"/>
                <w:szCs w:val="24"/>
                <w:lang w:bidi="zh-TW"/>
              </w:rPr>
              <w:t>4.7</w:t>
            </w:r>
          </w:p>
        </w:tc>
        <w:tc>
          <w:tcPr>
            <w:tcW w:w="1455" w:type="dxa"/>
            <w:noWrap w:val="0"/>
            <w:vAlign w:val="center"/>
          </w:tcPr>
          <w:p>
            <w:pPr>
              <w:spacing w:line="440" w:lineRule="exact"/>
              <w:jc w:val="center"/>
              <w:rPr>
                <w:sz w:val="24"/>
                <w:szCs w:val="24"/>
                <w:lang w:bidi="zh-TW"/>
              </w:rPr>
            </w:pPr>
            <w:r>
              <w:rPr>
                <w:rFonts w:hint="eastAsia"/>
                <w:sz w:val="24"/>
                <w:szCs w:val="24"/>
                <w:lang w:bidi="zh-TW"/>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noWrap w:val="0"/>
            <w:vAlign w:val="center"/>
          </w:tcPr>
          <w:p>
            <w:pPr>
              <w:spacing w:line="440" w:lineRule="exact"/>
              <w:jc w:val="center"/>
              <w:rPr>
                <w:sz w:val="24"/>
                <w:szCs w:val="24"/>
                <w:lang w:bidi="zh-TW"/>
              </w:rPr>
            </w:pPr>
          </w:p>
        </w:tc>
        <w:tc>
          <w:tcPr>
            <w:tcW w:w="1404" w:type="dxa"/>
            <w:noWrap w:val="0"/>
            <w:vAlign w:val="center"/>
          </w:tcPr>
          <w:p>
            <w:pPr>
              <w:spacing w:line="440" w:lineRule="exact"/>
              <w:jc w:val="center"/>
              <w:rPr>
                <w:sz w:val="24"/>
                <w:szCs w:val="24"/>
                <w:lang w:bidi="zh-TW"/>
              </w:rPr>
            </w:pPr>
            <w:r>
              <w:rPr>
                <w:rFonts w:hint="eastAsia"/>
                <w:sz w:val="24"/>
                <w:szCs w:val="24"/>
                <w:lang w:bidi="zh-TW"/>
              </w:rPr>
              <w:t>4</w:t>
            </w:r>
          </w:p>
        </w:tc>
        <w:tc>
          <w:tcPr>
            <w:tcW w:w="1637" w:type="dxa"/>
            <w:noWrap w:val="0"/>
            <w:vAlign w:val="center"/>
          </w:tcPr>
          <w:p>
            <w:pPr>
              <w:spacing w:line="440" w:lineRule="exact"/>
              <w:jc w:val="center"/>
              <w:rPr>
                <w:sz w:val="24"/>
                <w:szCs w:val="24"/>
                <w:lang w:bidi="zh-TW"/>
              </w:rPr>
            </w:pPr>
            <w:r>
              <w:rPr>
                <w:rFonts w:hint="eastAsia"/>
                <w:sz w:val="24"/>
                <w:szCs w:val="24"/>
                <w:lang w:bidi="zh-TW"/>
              </w:rPr>
              <w:t>15</w:t>
            </w:r>
          </w:p>
        </w:tc>
        <w:tc>
          <w:tcPr>
            <w:tcW w:w="1639" w:type="dxa"/>
            <w:noWrap w:val="0"/>
            <w:vAlign w:val="center"/>
          </w:tcPr>
          <w:p>
            <w:pPr>
              <w:spacing w:line="440" w:lineRule="exact"/>
              <w:jc w:val="center"/>
              <w:rPr>
                <w:sz w:val="24"/>
                <w:szCs w:val="24"/>
                <w:lang w:bidi="zh-TW"/>
              </w:rPr>
            </w:pPr>
            <w:r>
              <w:rPr>
                <w:rFonts w:hint="eastAsia"/>
                <w:sz w:val="24"/>
                <w:szCs w:val="24"/>
                <w:lang w:bidi="zh-TW"/>
              </w:rPr>
              <w:t>180</w:t>
            </w:r>
          </w:p>
        </w:tc>
        <w:tc>
          <w:tcPr>
            <w:tcW w:w="1515" w:type="dxa"/>
            <w:noWrap w:val="0"/>
            <w:vAlign w:val="center"/>
          </w:tcPr>
          <w:p>
            <w:pPr>
              <w:spacing w:line="440" w:lineRule="exact"/>
              <w:jc w:val="center"/>
              <w:rPr>
                <w:sz w:val="24"/>
                <w:szCs w:val="24"/>
                <w:lang w:bidi="zh-TW"/>
              </w:rPr>
            </w:pPr>
            <w:r>
              <w:rPr>
                <w:rFonts w:hint="eastAsia"/>
                <w:sz w:val="24"/>
                <w:szCs w:val="24"/>
                <w:lang w:bidi="zh-TW"/>
              </w:rPr>
              <w:t>4.7</w:t>
            </w:r>
          </w:p>
        </w:tc>
        <w:tc>
          <w:tcPr>
            <w:tcW w:w="1455" w:type="dxa"/>
            <w:noWrap w:val="0"/>
            <w:vAlign w:val="center"/>
          </w:tcPr>
          <w:p>
            <w:pPr>
              <w:spacing w:line="440" w:lineRule="exact"/>
              <w:jc w:val="center"/>
              <w:rPr>
                <w:sz w:val="24"/>
                <w:szCs w:val="24"/>
                <w:lang w:bidi="zh-TW"/>
              </w:rPr>
            </w:pPr>
            <w:r>
              <w:rPr>
                <w:rFonts w:hint="eastAsia"/>
                <w:sz w:val="24"/>
                <w:szCs w:val="24"/>
                <w:lang w:bidi="zh-TW"/>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restart"/>
            <w:noWrap w:val="0"/>
            <w:vAlign w:val="center"/>
          </w:tcPr>
          <w:p>
            <w:pPr>
              <w:spacing w:line="440" w:lineRule="exact"/>
              <w:jc w:val="center"/>
              <w:rPr>
                <w:sz w:val="24"/>
                <w:szCs w:val="24"/>
                <w:lang w:bidi="zh-TW"/>
              </w:rPr>
            </w:pPr>
            <w:r>
              <w:rPr>
                <w:rFonts w:hint="eastAsia"/>
                <w:sz w:val="24"/>
                <w:szCs w:val="24"/>
                <w:lang w:bidi="zh-TW"/>
              </w:rPr>
              <w:t>厂房南区</w:t>
            </w:r>
          </w:p>
          <w:p>
            <w:pPr>
              <w:spacing w:line="440" w:lineRule="exact"/>
              <w:jc w:val="center"/>
              <w:rPr>
                <w:sz w:val="24"/>
                <w:szCs w:val="24"/>
                <w:lang w:bidi="zh-TW"/>
              </w:rPr>
            </w:pPr>
            <w:r>
              <w:rPr>
                <w:rFonts w:hint="eastAsia"/>
                <w:sz w:val="24"/>
                <w:szCs w:val="24"/>
                <w:lang w:bidi="zh-TW"/>
              </w:rPr>
              <w:t>（3层）</w:t>
            </w:r>
          </w:p>
        </w:tc>
        <w:tc>
          <w:tcPr>
            <w:tcW w:w="1404" w:type="dxa"/>
            <w:noWrap w:val="0"/>
            <w:vAlign w:val="center"/>
          </w:tcPr>
          <w:p>
            <w:pPr>
              <w:spacing w:line="440" w:lineRule="exact"/>
              <w:jc w:val="center"/>
              <w:rPr>
                <w:sz w:val="24"/>
                <w:szCs w:val="24"/>
                <w:lang w:bidi="zh-TW"/>
              </w:rPr>
            </w:pPr>
            <w:r>
              <w:rPr>
                <w:rFonts w:hint="eastAsia"/>
                <w:sz w:val="24"/>
                <w:szCs w:val="24"/>
                <w:lang w:bidi="zh-TW"/>
              </w:rPr>
              <w:t>1</w:t>
            </w:r>
          </w:p>
        </w:tc>
        <w:tc>
          <w:tcPr>
            <w:tcW w:w="1637" w:type="dxa"/>
            <w:noWrap w:val="0"/>
            <w:vAlign w:val="center"/>
          </w:tcPr>
          <w:p>
            <w:pPr>
              <w:spacing w:line="440" w:lineRule="exact"/>
              <w:jc w:val="center"/>
              <w:rPr>
                <w:sz w:val="24"/>
                <w:szCs w:val="24"/>
                <w:lang w:bidi="zh-TW"/>
              </w:rPr>
            </w:pPr>
            <w:r>
              <w:rPr>
                <w:rFonts w:hint="eastAsia"/>
                <w:sz w:val="24"/>
                <w:szCs w:val="24"/>
                <w:lang w:bidi="zh-TW"/>
              </w:rPr>
              <w:t>26</w:t>
            </w:r>
          </w:p>
        </w:tc>
        <w:tc>
          <w:tcPr>
            <w:tcW w:w="1639" w:type="dxa"/>
            <w:noWrap w:val="0"/>
            <w:vAlign w:val="center"/>
          </w:tcPr>
          <w:p>
            <w:pPr>
              <w:spacing w:line="440" w:lineRule="exact"/>
              <w:jc w:val="center"/>
              <w:rPr>
                <w:sz w:val="24"/>
                <w:szCs w:val="24"/>
                <w:lang w:bidi="zh-TW"/>
              </w:rPr>
            </w:pPr>
            <w:r>
              <w:rPr>
                <w:rFonts w:hint="eastAsia"/>
                <w:sz w:val="24"/>
                <w:szCs w:val="24"/>
                <w:lang w:bidi="zh-TW"/>
              </w:rPr>
              <w:t>311</w:t>
            </w:r>
          </w:p>
        </w:tc>
        <w:tc>
          <w:tcPr>
            <w:tcW w:w="1515" w:type="dxa"/>
            <w:noWrap w:val="0"/>
            <w:vAlign w:val="center"/>
          </w:tcPr>
          <w:p>
            <w:pPr>
              <w:spacing w:line="440" w:lineRule="exact"/>
              <w:jc w:val="center"/>
              <w:rPr>
                <w:sz w:val="24"/>
                <w:szCs w:val="24"/>
                <w:lang w:bidi="zh-TW"/>
              </w:rPr>
            </w:pPr>
            <w:r>
              <w:rPr>
                <w:rFonts w:hint="eastAsia"/>
                <w:sz w:val="24"/>
                <w:szCs w:val="24"/>
                <w:lang w:bidi="zh-TW"/>
              </w:rPr>
              <w:t>7.9</w:t>
            </w:r>
          </w:p>
        </w:tc>
        <w:tc>
          <w:tcPr>
            <w:tcW w:w="1455" w:type="dxa"/>
            <w:noWrap w:val="0"/>
            <w:vAlign w:val="center"/>
          </w:tcPr>
          <w:p>
            <w:pPr>
              <w:spacing w:line="440" w:lineRule="exact"/>
              <w:jc w:val="center"/>
              <w:rPr>
                <w:sz w:val="24"/>
                <w:szCs w:val="24"/>
                <w:lang w:bidi="zh-TW"/>
              </w:rPr>
            </w:pPr>
            <w:r>
              <w:rPr>
                <w:rFonts w:hint="eastAsia"/>
                <w:sz w:val="24"/>
                <w:szCs w:val="24"/>
                <w:lang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noWrap w:val="0"/>
            <w:vAlign w:val="center"/>
          </w:tcPr>
          <w:p>
            <w:pPr>
              <w:spacing w:line="440" w:lineRule="exact"/>
              <w:jc w:val="center"/>
              <w:rPr>
                <w:sz w:val="24"/>
                <w:szCs w:val="24"/>
                <w:lang w:bidi="zh-TW"/>
              </w:rPr>
            </w:pPr>
          </w:p>
        </w:tc>
        <w:tc>
          <w:tcPr>
            <w:tcW w:w="1404" w:type="dxa"/>
            <w:noWrap w:val="0"/>
            <w:vAlign w:val="center"/>
          </w:tcPr>
          <w:p>
            <w:pPr>
              <w:spacing w:line="440" w:lineRule="exact"/>
              <w:jc w:val="center"/>
              <w:rPr>
                <w:sz w:val="24"/>
                <w:szCs w:val="24"/>
                <w:lang w:bidi="zh-TW"/>
              </w:rPr>
            </w:pPr>
            <w:r>
              <w:rPr>
                <w:rFonts w:hint="eastAsia"/>
                <w:sz w:val="24"/>
                <w:szCs w:val="24"/>
                <w:lang w:bidi="zh-TW"/>
              </w:rPr>
              <w:t>2</w:t>
            </w:r>
          </w:p>
        </w:tc>
        <w:tc>
          <w:tcPr>
            <w:tcW w:w="1637" w:type="dxa"/>
            <w:noWrap w:val="0"/>
            <w:vAlign w:val="center"/>
          </w:tcPr>
          <w:p>
            <w:pPr>
              <w:spacing w:line="440" w:lineRule="exact"/>
              <w:jc w:val="center"/>
              <w:rPr>
                <w:sz w:val="24"/>
                <w:szCs w:val="24"/>
                <w:lang w:bidi="zh-TW"/>
              </w:rPr>
            </w:pPr>
            <w:r>
              <w:rPr>
                <w:rFonts w:hint="eastAsia"/>
                <w:sz w:val="24"/>
                <w:szCs w:val="24"/>
                <w:lang w:bidi="zh-TW"/>
              </w:rPr>
              <w:t>21</w:t>
            </w:r>
          </w:p>
        </w:tc>
        <w:tc>
          <w:tcPr>
            <w:tcW w:w="1639" w:type="dxa"/>
            <w:noWrap w:val="0"/>
            <w:vAlign w:val="center"/>
          </w:tcPr>
          <w:p>
            <w:pPr>
              <w:spacing w:line="440" w:lineRule="exact"/>
              <w:jc w:val="center"/>
              <w:rPr>
                <w:sz w:val="24"/>
                <w:szCs w:val="24"/>
                <w:lang w:bidi="zh-TW"/>
              </w:rPr>
            </w:pPr>
            <w:r>
              <w:rPr>
                <w:rFonts w:hint="eastAsia"/>
                <w:sz w:val="24"/>
                <w:szCs w:val="24"/>
                <w:lang w:bidi="zh-TW"/>
              </w:rPr>
              <w:t>243</w:t>
            </w:r>
          </w:p>
        </w:tc>
        <w:tc>
          <w:tcPr>
            <w:tcW w:w="1515" w:type="dxa"/>
            <w:noWrap w:val="0"/>
            <w:vAlign w:val="center"/>
          </w:tcPr>
          <w:p>
            <w:pPr>
              <w:spacing w:line="440" w:lineRule="exact"/>
              <w:jc w:val="center"/>
              <w:rPr>
                <w:sz w:val="24"/>
                <w:szCs w:val="24"/>
                <w:lang w:bidi="zh-TW"/>
              </w:rPr>
            </w:pPr>
            <w:r>
              <w:rPr>
                <w:rFonts w:hint="eastAsia"/>
                <w:sz w:val="24"/>
                <w:szCs w:val="24"/>
                <w:lang w:bidi="zh-TW"/>
              </w:rPr>
              <w:t>7.9</w:t>
            </w:r>
          </w:p>
        </w:tc>
        <w:tc>
          <w:tcPr>
            <w:tcW w:w="1455" w:type="dxa"/>
            <w:noWrap w:val="0"/>
            <w:vAlign w:val="center"/>
          </w:tcPr>
          <w:p>
            <w:pPr>
              <w:spacing w:line="440" w:lineRule="exact"/>
              <w:jc w:val="center"/>
              <w:rPr>
                <w:sz w:val="24"/>
                <w:szCs w:val="24"/>
                <w:lang w:bidi="zh-TW"/>
              </w:rPr>
            </w:pPr>
            <w:r>
              <w:rPr>
                <w:rFonts w:hint="eastAsia"/>
                <w:sz w:val="24"/>
                <w:szCs w:val="24"/>
                <w:lang w:bidi="zh-TW"/>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noWrap w:val="0"/>
            <w:vAlign w:val="center"/>
          </w:tcPr>
          <w:p>
            <w:pPr>
              <w:spacing w:line="440" w:lineRule="exact"/>
              <w:jc w:val="center"/>
              <w:rPr>
                <w:sz w:val="24"/>
                <w:szCs w:val="24"/>
                <w:lang w:bidi="zh-TW"/>
              </w:rPr>
            </w:pPr>
          </w:p>
        </w:tc>
        <w:tc>
          <w:tcPr>
            <w:tcW w:w="1404" w:type="dxa"/>
            <w:noWrap w:val="0"/>
            <w:vAlign w:val="center"/>
          </w:tcPr>
          <w:p>
            <w:pPr>
              <w:spacing w:line="440" w:lineRule="exact"/>
              <w:jc w:val="center"/>
              <w:rPr>
                <w:sz w:val="24"/>
                <w:szCs w:val="24"/>
                <w:lang w:bidi="zh-TW"/>
              </w:rPr>
            </w:pPr>
            <w:r>
              <w:rPr>
                <w:rFonts w:hint="eastAsia"/>
                <w:sz w:val="24"/>
                <w:szCs w:val="24"/>
                <w:lang w:bidi="zh-TW"/>
              </w:rPr>
              <w:t>3</w:t>
            </w:r>
          </w:p>
        </w:tc>
        <w:tc>
          <w:tcPr>
            <w:tcW w:w="1637" w:type="dxa"/>
            <w:noWrap w:val="0"/>
            <w:vAlign w:val="center"/>
          </w:tcPr>
          <w:p>
            <w:pPr>
              <w:spacing w:line="440" w:lineRule="exact"/>
              <w:jc w:val="center"/>
              <w:rPr>
                <w:sz w:val="24"/>
                <w:szCs w:val="24"/>
                <w:lang w:bidi="zh-TW"/>
              </w:rPr>
            </w:pPr>
            <w:r>
              <w:rPr>
                <w:rFonts w:hint="eastAsia"/>
                <w:sz w:val="24"/>
                <w:szCs w:val="24"/>
                <w:lang w:bidi="zh-TW"/>
              </w:rPr>
              <w:t>15</w:t>
            </w:r>
          </w:p>
        </w:tc>
        <w:tc>
          <w:tcPr>
            <w:tcW w:w="1639" w:type="dxa"/>
            <w:noWrap w:val="0"/>
            <w:vAlign w:val="center"/>
          </w:tcPr>
          <w:p>
            <w:pPr>
              <w:spacing w:line="440" w:lineRule="exact"/>
              <w:jc w:val="center"/>
              <w:rPr>
                <w:sz w:val="24"/>
                <w:szCs w:val="24"/>
                <w:lang w:bidi="zh-TW"/>
              </w:rPr>
            </w:pPr>
            <w:r>
              <w:rPr>
                <w:rFonts w:hint="eastAsia"/>
                <w:sz w:val="24"/>
                <w:szCs w:val="24"/>
                <w:lang w:bidi="zh-TW"/>
              </w:rPr>
              <w:t>175</w:t>
            </w:r>
          </w:p>
        </w:tc>
        <w:tc>
          <w:tcPr>
            <w:tcW w:w="1515" w:type="dxa"/>
            <w:noWrap w:val="0"/>
            <w:vAlign w:val="center"/>
          </w:tcPr>
          <w:p>
            <w:pPr>
              <w:spacing w:line="440" w:lineRule="exact"/>
              <w:jc w:val="center"/>
              <w:rPr>
                <w:sz w:val="24"/>
                <w:szCs w:val="24"/>
                <w:lang w:bidi="zh-TW"/>
              </w:rPr>
            </w:pPr>
            <w:r>
              <w:rPr>
                <w:rFonts w:hint="eastAsia"/>
                <w:sz w:val="24"/>
                <w:szCs w:val="24"/>
                <w:lang w:bidi="zh-TW"/>
              </w:rPr>
              <w:t>6.2</w:t>
            </w:r>
          </w:p>
        </w:tc>
        <w:tc>
          <w:tcPr>
            <w:tcW w:w="1455" w:type="dxa"/>
            <w:noWrap w:val="0"/>
            <w:vAlign w:val="center"/>
          </w:tcPr>
          <w:p>
            <w:pPr>
              <w:spacing w:line="440" w:lineRule="exact"/>
              <w:jc w:val="center"/>
              <w:rPr>
                <w:sz w:val="24"/>
                <w:szCs w:val="24"/>
                <w:lang w:bidi="zh-TW"/>
              </w:rPr>
            </w:pPr>
            <w:r>
              <w:rPr>
                <w:rFonts w:hint="eastAsia"/>
                <w:sz w:val="24"/>
                <w:szCs w:val="24"/>
                <w:lang w:bidi="zh-TW"/>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restart"/>
            <w:noWrap w:val="0"/>
            <w:vAlign w:val="center"/>
          </w:tcPr>
          <w:p>
            <w:pPr>
              <w:spacing w:line="440" w:lineRule="exact"/>
              <w:jc w:val="center"/>
              <w:rPr>
                <w:sz w:val="24"/>
                <w:szCs w:val="24"/>
                <w:lang w:bidi="zh-TW"/>
              </w:rPr>
            </w:pPr>
            <w:r>
              <w:rPr>
                <w:rFonts w:hint="eastAsia"/>
                <w:sz w:val="24"/>
                <w:szCs w:val="24"/>
                <w:lang w:bidi="zh-TW"/>
              </w:rPr>
              <w:t>宿舍</w:t>
            </w:r>
          </w:p>
        </w:tc>
        <w:tc>
          <w:tcPr>
            <w:tcW w:w="1404" w:type="dxa"/>
            <w:noWrap w:val="0"/>
            <w:vAlign w:val="center"/>
          </w:tcPr>
          <w:p>
            <w:pPr>
              <w:spacing w:line="440" w:lineRule="exact"/>
              <w:jc w:val="center"/>
              <w:rPr>
                <w:sz w:val="24"/>
                <w:szCs w:val="24"/>
                <w:lang w:bidi="zh-TW"/>
              </w:rPr>
            </w:pPr>
            <w:r>
              <w:rPr>
                <w:rFonts w:hint="eastAsia"/>
                <w:sz w:val="24"/>
                <w:szCs w:val="24"/>
                <w:lang w:bidi="zh-TW"/>
              </w:rPr>
              <w:t>1层</w:t>
            </w:r>
          </w:p>
        </w:tc>
        <w:tc>
          <w:tcPr>
            <w:tcW w:w="1637" w:type="dxa"/>
            <w:noWrap w:val="0"/>
            <w:vAlign w:val="center"/>
          </w:tcPr>
          <w:p>
            <w:pPr>
              <w:spacing w:line="440" w:lineRule="exact"/>
              <w:jc w:val="center"/>
              <w:rPr>
                <w:sz w:val="24"/>
                <w:szCs w:val="24"/>
                <w:lang w:bidi="zh-TW"/>
              </w:rPr>
            </w:pPr>
            <w:r>
              <w:rPr>
                <w:rFonts w:hint="eastAsia"/>
                <w:sz w:val="24"/>
                <w:szCs w:val="24"/>
                <w:lang w:bidi="zh-TW"/>
              </w:rPr>
              <w:t>60</w:t>
            </w:r>
          </w:p>
        </w:tc>
        <w:tc>
          <w:tcPr>
            <w:tcW w:w="1639" w:type="dxa"/>
            <w:noWrap w:val="0"/>
            <w:vAlign w:val="center"/>
          </w:tcPr>
          <w:p>
            <w:pPr>
              <w:spacing w:line="440" w:lineRule="exact"/>
              <w:jc w:val="center"/>
              <w:rPr>
                <w:sz w:val="24"/>
                <w:szCs w:val="24"/>
                <w:lang w:bidi="zh-TW"/>
              </w:rPr>
            </w:pPr>
            <w:r>
              <w:rPr>
                <w:rFonts w:hint="eastAsia"/>
                <w:sz w:val="24"/>
                <w:szCs w:val="24"/>
                <w:lang w:bidi="zh-TW"/>
              </w:rPr>
              <w:t>720</w:t>
            </w:r>
          </w:p>
        </w:tc>
        <w:tc>
          <w:tcPr>
            <w:tcW w:w="1515" w:type="dxa"/>
            <w:noWrap w:val="0"/>
            <w:vAlign w:val="center"/>
          </w:tcPr>
          <w:p>
            <w:pPr>
              <w:spacing w:line="440" w:lineRule="exact"/>
              <w:jc w:val="center"/>
              <w:rPr>
                <w:sz w:val="24"/>
                <w:szCs w:val="24"/>
                <w:lang w:bidi="zh-TW"/>
              </w:rPr>
            </w:pPr>
            <w:r>
              <w:rPr>
                <w:rFonts w:hint="eastAsia"/>
                <w:sz w:val="24"/>
                <w:szCs w:val="24"/>
                <w:lang w:bidi="zh-TW"/>
              </w:rPr>
              <w:t>5.2</w:t>
            </w:r>
          </w:p>
        </w:tc>
        <w:tc>
          <w:tcPr>
            <w:tcW w:w="1455" w:type="dxa"/>
            <w:noWrap w:val="0"/>
            <w:vAlign w:val="center"/>
          </w:tcPr>
          <w:p>
            <w:pPr>
              <w:spacing w:line="440" w:lineRule="exact"/>
              <w:jc w:val="center"/>
              <w:rPr>
                <w:sz w:val="24"/>
                <w:szCs w:val="24"/>
                <w:lang w:bidi="zh-TW"/>
              </w:rPr>
            </w:pPr>
            <w:r>
              <w:rPr>
                <w:rFonts w:hint="eastAsia"/>
                <w:sz w:val="24"/>
                <w:szCs w:val="24"/>
                <w:lang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noWrap w:val="0"/>
            <w:vAlign w:val="center"/>
          </w:tcPr>
          <w:p>
            <w:pPr>
              <w:spacing w:line="440" w:lineRule="exact"/>
              <w:jc w:val="center"/>
              <w:rPr>
                <w:sz w:val="24"/>
                <w:szCs w:val="24"/>
                <w:lang w:bidi="zh-TW"/>
              </w:rPr>
            </w:pPr>
          </w:p>
        </w:tc>
        <w:tc>
          <w:tcPr>
            <w:tcW w:w="1404" w:type="dxa"/>
            <w:noWrap w:val="0"/>
            <w:vAlign w:val="center"/>
          </w:tcPr>
          <w:p>
            <w:pPr>
              <w:spacing w:line="440" w:lineRule="exact"/>
              <w:jc w:val="center"/>
              <w:rPr>
                <w:sz w:val="24"/>
                <w:szCs w:val="24"/>
                <w:lang w:bidi="zh-TW"/>
              </w:rPr>
            </w:pPr>
            <w:r>
              <w:rPr>
                <w:rFonts w:hint="eastAsia"/>
                <w:sz w:val="24"/>
                <w:szCs w:val="24"/>
                <w:lang w:bidi="zh-TW"/>
              </w:rPr>
              <w:t>2层</w:t>
            </w:r>
          </w:p>
        </w:tc>
        <w:tc>
          <w:tcPr>
            <w:tcW w:w="1637" w:type="dxa"/>
            <w:noWrap w:val="0"/>
            <w:vAlign w:val="center"/>
          </w:tcPr>
          <w:p>
            <w:pPr>
              <w:spacing w:line="440" w:lineRule="exact"/>
              <w:jc w:val="center"/>
              <w:rPr>
                <w:sz w:val="24"/>
                <w:szCs w:val="24"/>
                <w:lang w:bidi="zh-TW"/>
              </w:rPr>
            </w:pPr>
            <w:r>
              <w:rPr>
                <w:rFonts w:hint="eastAsia"/>
                <w:sz w:val="24"/>
                <w:szCs w:val="24"/>
                <w:lang w:bidi="zh-TW"/>
              </w:rPr>
              <w:t>15</w:t>
            </w:r>
          </w:p>
        </w:tc>
        <w:tc>
          <w:tcPr>
            <w:tcW w:w="1639" w:type="dxa"/>
            <w:noWrap w:val="0"/>
            <w:vAlign w:val="center"/>
          </w:tcPr>
          <w:p>
            <w:pPr>
              <w:spacing w:line="440" w:lineRule="exact"/>
              <w:jc w:val="center"/>
              <w:rPr>
                <w:sz w:val="24"/>
                <w:szCs w:val="24"/>
                <w:lang w:bidi="zh-TW"/>
              </w:rPr>
            </w:pPr>
            <w:r>
              <w:rPr>
                <w:rFonts w:hint="eastAsia"/>
                <w:sz w:val="24"/>
                <w:szCs w:val="24"/>
                <w:lang w:bidi="zh-TW"/>
              </w:rPr>
              <w:t>180</w:t>
            </w:r>
          </w:p>
        </w:tc>
        <w:tc>
          <w:tcPr>
            <w:tcW w:w="1515" w:type="dxa"/>
            <w:noWrap w:val="0"/>
            <w:vAlign w:val="center"/>
          </w:tcPr>
          <w:p>
            <w:pPr>
              <w:spacing w:line="440" w:lineRule="exact"/>
              <w:jc w:val="center"/>
              <w:rPr>
                <w:sz w:val="24"/>
                <w:szCs w:val="24"/>
                <w:lang w:bidi="zh-TW"/>
              </w:rPr>
            </w:pPr>
            <w:r>
              <w:rPr>
                <w:rFonts w:hint="eastAsia"/>
                <w:sz w:val="24"/>
                <w:szCs w:val="24"/>
                <w:lang w:bidi="zh-TW"/>
              </w:rPr>
              <w:t>4.2</w:t>
            </w:r>
          </w:p>
        </w:tc>
        <w:tc>
          <w:tcPr>
            <w:tcW w:w="1455" w:type="dxa"/>
            <w:noWrap w:val="0"/>
            <w:vAlign w:val="center"/>
          </w:tcPr>
          <w:p>
            <w:pPr>
              <w:spacing w:line="440" w:lineRule="exact"/>
              <w:jc w:val="center"/>
              <w:rPr>
                <w:sz w:val="24"/>
                <w:szCs w:val="24"/>
                <w:lang w:bidi="zh-TW"/>
              </w:rPr>
            </w:pPr>
            <w:r>
              <w:rPr>
                <w:rFonts w:hint="eastAsia"/>
                <w:sz w:val="24"/>
                <w:szCs w:val="24"/>
                <w:lang w:bidi="zh-TW"/>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Merge w:val="continue"/>
            <w:noWrap w:val="0"/>
            <w:vAlign w:val="center"/>
          </w:tcPr>
          <w:p>
            <w:pPr>
              <w:spacing w:line="440" w:lineRule="exact"/>
              <w:jc w:val="center"/>
              <w:rPr>
                <w:sz w:val="24"/>
                <w:szCs w:val="24"/>
                <w:lang w:bidi="zh-TW"/>
              </w:rPr>
            </w:pPr>
          </w:p>
        </w:tc>
        <w:tc>
          <w:tcPr>
            <w:tcW w:w="1404" w:type="dxa"/>
            <w:noWrap w:val="0"/>
            <w:vAlign w:val="center"/>
          </w:tcPr>
          <w:p>
            <w:pPr>
              <w:spacing w:line="440" w:lineRule="exact"/>
              <w:jc w:val="center"/>
              <w:rPr>
                <w:sz w:val="24"/>
                <w:szCs w:val="24"/>
                <w:lang w:bidi="zh-TW"/>
              </w:rPr>
            </w:pPr>
            <w:r>
              <w:rPr>
                <w:rFonts w:hint="eastAsia"/>
                <w:sz w:val="24"/>
                <w:szCs w:val="24"/>
                <w:lang w:bidi="zh-TW"/>
              </w:rPr>
              <w:t>3层及以上</w:t>
            </w:r>
          </w:p>
        </w:tc>
        <w:tc>
          <w:tcPr>
            <w:tcW w:w="1637" w:type="dxa"/>
            <w:noWrap w:val="0"/>
            <w:vAlign w:val="center"/>
          </w:tcPr>
          <w:p>
            <w:pPr>
              <w:spacing w:line="440" w:lineRule="exact"/>
              <w:jc w:val="center"/>
              <w:rPr>
                <w:sz w:val="24"/>
                <w:szCs w:val="24"/>
                <w:lang w:bidi="zh-TW"/>
              </w:rPr>
            </w:pPr>
            <w:r>
              <w:rPr>
                <w:rFonts w:hint="eastAsia"/>
                <w:sz w:val="24"/>
                <w:szCs w:val="24"/>
                <w:lang w:bidi="zh-TW"/>
              </w:rPr>
              <w:t>12</w:t>
            </w:r>
          </w:p>
        </w:tc>
        <w:tc>
          <w:tcPr>
            <w:tcW w:w="1639" w:type="dxa"/>
            <w:noWrap w:val="0"/>
            <w:vAlign w:val="center"/>
          </w:tcPr>
          <w:p>
            <w:pPr>
              <w:spacing w:line="440" w:lineRule="exact"/>
              <w:jc w:val="center"/>
              <w:rPr>
                <w:sz w:val="24"/>
                <w:szCs w:val="24"/>
                <w:lang w:bidi="zh-TW"/>
              </w:rPr>
            </w:pPr>
            <w:r>
              <w:rPr>
                <w:rFonts w:hint="eastAsia"/>
                <w:sz w:val="24"/>
                <w:szCs w:val="24"/>
                <w:lang w:bidi="zh-TW"/>
              </w:rPr>
              <w:t>144</w:t>
            </w:r>
          </w:p>
        </w:tc>
        <w:tc>
          <w:tcPr>
            <w:tcW w:w="1515" w:type="dxa"/>
            <w:noWrap w:val="0"/>
            <w:vAlign w:val="center"/>
          </w:tcPr>
          <w:p>
            <w:pPr>
              <w:spacing w:line="440" w:lineRule="exact"/>
              <w:jc w:val="center"/>
              <w:rPr>
                <w:sz w:val="24"/>
                <w:szCs w:val="24"/>
                <w:lang w:bidi="zh-TW"/>
              </w:rPr>
            </w:pPr>
            <w:r>
              <w:rPr>
                <w:rFonts w:hint="eastAsia"/>
                <w:sz w:val="24"/>
                <w:szCs w:val="24"/>
                <w:lang w:bidi="zh-TW"/>
              </w:rPr>
              <w:t>3.5</w:t>
            </w:r>
          </w:p>
        </w:tc>
        <w:tc>
          <w:tcPr>
            <w:tcW w:w="1455" w:type="dxa"/>
            <w:noWrap w:val="0"/>
            <w:vAlign w:val="center"/>
          </w:tcPr>
          <w:p>
            <w:pPr>
              <w:spacing w:line="440" w:lineRule="exact"/>
              <w:jc w:val="center"/>
              <w:rPr>
                <w:sz w:val="24"/>
                <w:szCs w:val="24"/>
                <w:lang w:bidi="zh-TW"/>
              </w:rPr>
            </w:pPr>
            <w:r>
              <w:rPr>
                <w:rFonts w:hint="eastAsia"/>
                <w:sz w:val="24"/>
                <w:szCs w:val="24"/>
                <w:lang w:bidi="zh-TW"/>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91" w:type="dxa"/>
            <w:vMerge w:val="restart"/>
            <w:noWrap w:val="0"/>
            <w:vAlign w:val="center"/>
          </w:tcPr>
          <w:p>
            <w:pPr>
              <w:spacing w:line="440" w:lineRule="exact"/>
              <w:jc w:val="center"/>
              <w:rPr>
                <w:sz w:val="24"/>
                <w:szCs w:val="24"/>
                <w:lang w:bidi="zh-TW"/>
              </w:rPr>
            </w:pPr>
            <w:r>
              <w:rPr>
                <w:rFonts w:hint="eastAsia"/>
                <w:sz w:val="24"/>
                <w:szCs w:val="24"/>
                <w:lang w:bidi="zh-TW"/>
              </w:rPr>
              <w:t>综合楼</w:t>
            </w:r>
          </w:p>
        </w:tc>
        <w:tc>
          <w:tcPr>
            <w:tcW w:w="1404" w:type="dxa"/>
            <w:noWrap w:val="0"/>
            <w:vAlign w:val="center"/>
          </w:tcPr>
          <w:p>
            <w:pPr>
              <w:spacing w:line="440" w:lineRule="exact"/>
              <w:jc w:val="center"/>
              <w:rPr>
                <w:rFonts w:hint="default" w:eastAsia="宋体"/>
                <w:sz w:val="24"/>
                <w:szCs w:val="24"/>
                <w:highlight w:val="none"/>
                <w:lang w:val="en-US" w:eastAsia="zh-CN" w:bidi="zh-TW"/>
              </w:rPr>
            </w:pPr>
            <w:r>
              <w:rPr>
                <w:rFonts w:hint="eastAsia"/>
                <w:sz w:val="24"/>
                <w:szCs w:val="24"/>
                <w:highlight w:val="none"/>
                <w:lang w:val="en-US" w:eastAsia="zh-CN" w:bidi="zh-TW"/>
              </w:rPr>
              <w:t>2层</w:t>
            </w:r>
          </w:p>
        </w:tc>
        <w:tc>
          <w:tcPr>
            <w:tcW w:w="1637" w:type="dxa"/>
            <w:noWrap w:val="0"/>
            <w:vAlign w:val="center"/>
          </w:tcPr>
          <w:p>
            <w:pPr>
              <w:spacing w:line="440" w:lineRule="exact"/>
              <w:jc w:val="center"/>
              <w:rPr>
                <w:rFonts w:hint="default" w:eastAsia="宋体"/>
                <w:sz w:val="24"/>
                <w:szCs w:val="24"/>
                <w:highlight w:val="none"/>
                <w:lang w:val="en-US" w:eastAsia="zh-CN" w:bidi="zh-TW"/>
              </w:rPr>
            </w:pPr>
            <w:r>
              <w:rPr>
                <w:rFonts w:hint="eastAsia"/>
                <w:sz w:val="24"/>
                <w:szCs w:val="24"/>
                <w:highlight w:val="none"/>
                <w:lang w:val="en-US" w:eastAsia="zh-CN" w:bidi="zh-TW"/>
              </w:rPr>
              <w:t>12</w:t>
            </w:r>
          </w:p>
        </w:tc>
        <w:tc>
          <w:tcPr>
            <w:tcW w:w="1639" w:type="dxa"/>
            <w:noWrap w:val="0"/>
            <w:vAlign w:val="center"/>
          </w:tcPr>
          <w:p>
            <w:pPr>
              <w:spacing w:line="440" w:lineRule="exact"/>
              <w:jc w:val="center"/>
              <w:rPr>
                <w:rFonts w:hint="default" w:eastAsia="宋体"/>
                <w:sz w:val="24"/>
                <w:szCs w:val="24"/>
                <w:highlight w:val="none"/>
                <w:lang w:val="en-US" w:eastAsia="zh-CN" w:bidi="zh-TW"/>
              </w:rPr>
            </w:pPr>
            <w:r>
              <w:rPr>
                <w:rFonts w:hint="eastAsia"/>
                <w:sz w:val="24"/>
                <w:szCs w:val="24"/>
                <w:highlight w:val="none"/>
                <w:lang w:val="en-US" w:eastAsia="zh-CN" w:bidi="zh-TW"/>
              </w:rPr>
              <w:t>144</w:t>
            </w:r>
          </w:p>
        </w:tc>
        <w:tc>
          <w:tcPr>
            <w:tcW w:w="1515" w:type="dxa"/>
            <w:noWrap w:val="0"/>
            <w:vAlign w:val="center"/>
          </w:tcPr>
          <w:p>
            <w:pPr>
              <w:spacing w:line="440" w:lineRule="exact"/>
              <w:jc w:val="center"/>
              <w:rPr>
                <w:rFonts w:hint="default" w:eastAsia="宋体"/>
                <w:sz w:val="24"/>
                <w:szCs w:val="24"/>
                <w:highlight w:val="none"/>
                <w:lang w:val="en-US" w:eastAsia="zh-CN" w:bidi="zh-TW"/>
              </w:rPr>
            </w:pPr>
            <w:r>
              <w:rPr>
                <w:rFonts w:hint="eastAsia"/>
                <w:sz w:val="24"/>
                <w:szCs w:val="24"/>
                <w:highlight w:val="none"/>
                <w:lang w:val="en-US" w:eastAsia="zh-CN" w:bidi="zh-TW"/>
              </w:rPr>
              <w:t>3.8</w:t>
            </w:r>
          </w:p>
        </w:tc>
        <w:tc>
          <w:tcPr>
            <w:tcW w:w="1455" w:type="dxa"/>
            <w:noWrap w:val="0"/>
            <w:vAlign w:val="center"/>
          </w:tcPr>
          <w:p>
            <w:pPr>
              <w:spacing w:line="440" w:lineRule="exact"/>
              <w:jc w:val="center"/>
              <w:rPr>
                <w:rFonts w:hint="default" w:eastAsia="宋体"/>
                <w:sz w:val="24"/>
                <w:szCs w:val="24"/>
                <w:highlight w:val="none"/>
                <w:lang w:val="en-US" w:eastAsia="zh-CN" w:bidi="zh-TW"/>
              </w:rPr>
            </w:pPr>
            <w:r>
              <w:rPr>
                <w:rFonts w:hint="eastAsia"/>
                <w:sz w:val="24"/>
                <w:szCs w:val="24"/>
                <w:highlight w:val="none"/>
                <w:lang w:val="en-US" w:eastAsia="zh-CN" w:bidi="zh-TW"/>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91" w:type="dxa"/>
            <w:vMerge w:val="continue"/>
            <w:noWrap w:val="0"/>
            <w:vAlign w:val="center"/>
          </w:tcPr>
          <w:p>
            <w:pPr>
              <w:spacing w:line="440" w:lineRule="exact"/>
              <w:jc w:val="center"/>
              <w:rPr>
                <w:sz w:val="24"/>
                <w:szCs w:val="24"/>
                <w:lang w:bidi="zh-TW"/>
              </w:rPr>
            </w:pPr>
          </w:p>
        </w:tc>
        <w:tc>
          <w:tcPr>
            <w:tcW w:w="1404" w:type="dxa"/>
            <w:noWrap w:val="0"/>
            <w:vAlign w:val="center"/>
          </w:tcPr>
          <w:p>
            <w:pPr>
              <w:spacing w:line="440" w:lineRule="exact"/>
              <w:jc w:val="center"/>
              <w:rPr>
                <w:sz w:val="24"/>
                <w:szCs w:val="24"/>
                <w:lang w:bidi="zh-TW"/>
              </w:rPr>
            </w:pPr>
            <w:r>
              <w:rPr>
                <w:rFonts w:hint="default"/>
                <w:sz w:val="24"/>
                <w:szCs w:val="24"/>
                <w:lang w:val="en-US" w:bidi="zh-TW"/>
              </w:rPr>
              <w:t>3</w:t>
            </w:r>
            <w:r>
              <w:rPr>
                <w:rFonts w:hint="eastAsia"/>
                <w:sz w:val="24"/>
                <w:szCs w:val="24"/>
                <w:lang w:bidi="zh-TW"/>
              </w:rPr>
              <w:t>层及以上</w:t>
            </w:r>
          </w:p>
        </w:tc>
        <w:tc>
          <w:tcPr>
            <w:tcW w:w="1637" w:type="dxa"/>
            <w:noWrap w:val="0"/>
            <w:vAlign w:val="center"/>
          </w:tcPr>
          <w:p>
            <w:pPr>
              <w:spacing w:line="440" w:lineRule="exact"/>
              <w:jc w:val="center"/>
              <w:rPr>
                <w:sz w:val="24"/>
                <w:szCs w:val="24"/>
                <w:lang w:bidi="zh-TW"/>
              </w:rPr>
            </w:pPr>
            <w:r>
              <w:rPr>
                <w:rFonts w:hint="eastAsia"/>
                <w:sz w:val="24"/>
                <w:szCs w:val="24"/>
                <w:lang w:bidi="zh-TW"/>
              </w:rPr>
              <w:t>12</w:t>
            </w:r>
          </w:p>
        </w:tc>
        <w:tc>
          <w:tcPr>
            <w:tcW w:w="1639" w:type="dxa"/>
            <w:noWrap w:val="0"/>
            <w:vAlign w:val="center"/>
          </w:tcPr>
          <w:p>
            <w:pPr>
              <w:spacing w:line="440" w:lineRule="exact"/>
              <w:jc w:val="center"/>
              <w:rPr>
                <w:sz w:val="24"/>
                <w:szCs w:val="24"/>
                <w:lang w:bidi="zh-TW"/>
              </w:rPr>
            </w:pPr>
            <w:r>
              <w:rPr>
                <w:rFonts w:hint="eastAsia"/>
                <w:sz w:val="24"/>
                <w:szCs w:val="24"/>
                <w:lang w:bidi="zh-TW"/>
              </w:rPr>
              <w:t>144</w:t>
            </w:r>
          </w:p>
        </w:tc>
        <w:tc>
          <w:tcPr>
            <w:tcW w:w="1515" w:type="dxa"/>
            <w:noWrap w:val="0"/>
            <w:vAlign w:val="center"/>
          </w:tcPr>
          <w:p>
            <w:pPr>
              <w:spacing w:line="440" w:lineRule="exact"/>
              <w:jc w:val="center"/>
              <w:rPr>
                <w:sz w:val="24"/>
                <w:szCs w:val="24"/>
                <w:lang w:bidi="zh-TW"/>
              </w:rPr>
            </w:pPr>
            <w:r>
              <w:rPr>
                <w:rFonts w:hint="eastAsia"/>
                <w:sz w:val="24"/>
                <w:szCs w:val="24"/>
                <w:lang w:bidi="zh-TW"/>
              </w:rPr>
              <w:t>3.8</w:t>
            </w:r>
          </w:p>
        </w:tc>
        <w:tc>
          <w:tcPr>
            <w:tcW w:w="1455" w:type="dxa"/>
            <w:noWrap w:val="0"/>
            <w:vAlign w:val="center"/>
          </w:tcPr>
          <w:p>
            <w:pPr>
              <w:spacing w:line="440" w:lineRule="exact"/>
              <w:jc w:val="center"/>
              <w:rPr>
                <w:sz w:val="24"/>
                <w:szCs w:val="24"/>
                <w:lang w:bidi="zh-TW"/>
              </w:rPr>
            </w:pPr>
            <w:r>
              <w:rPr>
                <w:rFonts w:hint="eastAsia"/>
                <w:sz w:val="24"/>
                <w:szCs w:val="24"/>
                <w:lang w:bidi="zh-TW"/>
              </w:rPr>
              <w:t>200</w:t>
            </w:r>
          </w:p>
        </w:tc>
      </w:tr>
    </w:tbl>
    <w:p>
      <w:pPr>
        <w:spacing w:line="500" w:lineRule="exact"/>
        <w:ind w:right="199" w:rightChars="95" w:firstLine="560" w:firstLineChars="200"/>
      </w:pPr>
      <w:r>
        <w:rPr>
          <w:rFonts w:hint="eastAsia" w:ascii="仿宋_GB2312" w:hAnsi="仿宋_GB2312" w:eastAsia="仿宋_GB2312" w:cs="仿宋_GB2312"/>
          <w:sz w:val="28"/>
          <w:szCs w:val="28"/>
          <w:lang w:bidi="zh-TW"/>
        </w:rPr>
        <w:t>首个租赁合同租赁期内，厂房基础租金前两年保持不变，第三至第五年实行基础租金逐年递增机制，年递增率为3%；每5年根据市场评估，第六年公布一次当年租金基础价格，即第七至第十年实行租金逐年递增机制，年递增率为3%；综合楼、宿舍楼租金前两年保持不变，第三至第五年实行基础租金逐年递增机制，第三至第五年实行基础租金逐年递增机制，年递增率为1%；每5年根据市场评估，第六年公布一次当年租金基础价格，即第七至第十年实行租金逐年递增机制，年递增率为1%。</w:t>
      </w:r>
    </w:p>
    <w:p>
      <w:pPr>
        <w:pStyle w:val="5"/>
        <w:numPr>
          <w:ilvl w:val="0"/>
          <w:numId w:val="1"/>
        </w:numPr>
        <w:spacing w:before="0" w:after="0" w:line="50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入园优惠政策</w:t>
      </w:r>
    </w:p>
    <w:p>
      <w:pPr>
        <w:pStyle w:val="8"/>
        <w:spacing w:line="460" w:lineRule="exact"/>
        <w:ind w:firstLine="562" w:firstLineChars="200"/>
        <w:rPr>
          <w:rFonts w:hint="eastAsia" w:ascii="黑体" w:hAnsi="黑体" w:eastAsia="黑体" w:cs="黑体"/>
          <w:color w:val="auto"/>
          <w:sz w:val="28"/>
          <w:szCs w:val="28"/>
          <w:lang w:val="en-US" w:eastAsia="zh-CN"/>
        </w:rPr>
      </w:pPr>
      <w:r>
        <w:rPr>
          <w:rFonts w:hint="eastAsia" w:ascii="楷体_GB2312" w:hAnsi="楷体_GB2312" w:eastAsia="楷体_GB2312" w:cs="楷体_GB2312"/>
          <w:b/>
          <w:bCs/>
          <w:color w:val="auto"/>
          <w:kern w:val="44"/>
          <w:sz w:val="28"/>
          <w:szCs w:val="28"/>
          <w:lang w:val="en-US" w:eastAsia="zh-CN" w:bidi="ar-SA"/>
        </w:rPr>
        <w:t>（一）仅限于XC-B17-a地块（北区）：</w:t>
      </w:r>
    </w:p>
    <w:p>
      <w:pPr>
        <w:pStyle w:val="3"/>
        <w:spacing w:line="460" w:lineRule="exact"/>
        <w:ind w:left="0" w:firstLine="560" w:firstLineChars="200"/>
        <w:rPr>
          <w:rFonts w:hint="eastAsia" w:ascii="仿宋_GB2312" w:hAnsi="仿宋_GB2312" w:eastAsia="仿宋_GB2312" w:cs="仿宋_GB2312"/>
          <w:sz w:val="28"/>
          <w:szCs w:val="28"/>
          <w:highlight w:val="yellow"/>
          <w:lang w:bidi="zh-TW"/>
        </w:rPr>
      </w:pPr>
      <w:r>
        <w:rPr>
          <w:rFonts w:hint="eastAsia" w:ascii="楷体_GB2312" w:hAnsi="楷体_GB2312" w:eastAsia="楷体_GB2312" w:cs="楷体_GB2312"/>
          <w:kern w:val="44"/>
          <w:sz w:val="28"/>
          <w:szCs w:val="28"/>
          <w:lang w:val="zh-TW"/>
        </w:rPr>
        <w:t>1</w:t>
      </w:r>
      <w:r>
        <w:rPr>
          <w:rFonts w:hint="eastAsia" w:ascii="楷体_GB2312" w:hAnsi="楷体_GB2312" w:eastAsia="楷体_GB2312" w:cs="楷体_GB2312"/>
          <w:kern w:val="44"/>
          <w:sz w:val="28"/>
          <w:szCs w:val="28"/>
        </w:rPr>
        <w:t>.</w:t>
      </w:r>
      <w:r>
        <w:rPr>
          <w:rFonts w:hint="eastAsia" w:ascii="楷体_GB2312" w:hAnsi="楷体_GB2312" w:eastAsia="楷体_GB2312" w:cs="楷体_GB2312"/>
          <w:kern w:val="44"/>
          <w:sz w:val="28"/>
          <w:szCs w:val="28"/>
          <w:lang w:val="zh-TW"/>
        </w:rPr>
        <w:t>减负政策</w:t>
      </w:r>
      <w:r>
        <w:rPr>
          <w:rFonts w:hint="eastAsia" w:ascii="楷体_GB2312" w:hAnsi="楷体_GB2312" w:eastAsia="楷体_GB2312" w:cs="楷体_GB2312"/>
          <w:kern w:val="44"/>
          <w:sz w:val="28"/>
          <w:szCs w:val="28"/>
          <w:highlight w:val="none"/>
          <w:lang w:val="zh-TW"/>
        </w:rPr>
        <w:t>。</w:t>
      </w:r>
      <w:r>
        <w:rPr>
          <w:rFonts w:hint="eastAsia" w:ascii="仿宋_GB2312" w:hAnsi="仿宋_GB2312" w:eastAsia="仿宋_GB2312" w:cs="仿宋_GB2312"/>
          <w:sz w:val="28"/>
          <w:szCs w:val="28"/>
          <w:highlight w:val="none"/>
          <w:lang w:bidi="zh-TW"/>
        </w:rPr>
        <w:t>入驻企业在合约期的前两年，不设租金涨价机制</w:t>
      </w:r>
      <w:r>
        <w:rPr>
          <w:rFonts w:hint="eastAsia" w:ascii="仿宋_GB2312" w:hAnsi="仿宋_GB2312" w:eastAsia="仿宋_GB2312" w:cs="仿宋_GB2312"/>
          <w:sz w:val="28"/>
          <w:szCs w:val="28"/>
          <w:lang w:bidi="zh-TW"/>
        </w:rPr>
        <w:t>。2024年起报名申请入驻园区的企业，首次入驻企业按照约定时间签订合同并入驻园区的，享受合同首年（12个月）厂房租金基础价下浮10%的优惠(具体优惠点数由工智实业公司根据招商实际情况确定)。企业入园租金按照“押三付三”原则，按三个月预付租金。</w:t>
      </w:r>
    </w:p>
    <w:p>
      <w:pPr>
        <w:spacing w:line="460" w:lineRule="exact"/>
        <w:ind w:right="199" w:rightChars="95" w:firstLine="560" w:firstLineChars="200"/>
        <w:rPr>
          <w:rFonts w:hint="eastAsia" w:ascii="仿宋_GB2312" w:hAnsi="仿宋_GB2312" w:eastAsia="仿宋_GB2312" w:cs="仿宋_GB2312"/>
          <w:sz w:val="28"/>
          <w:szCs w:val="28"/>
          <w:highlight w:val="none"/>
          <w:lang w:bidi="zh-TW"/>
        </w:rPr>
      </w:pPr>
      <w:r>
        <w:rPr>
          <w:rFonts w:hint="eastAsia" w:ascii="楷体_GB2312" w:hAnsi="楷体_GB2312" w:eastAsia="楷体_GB2312" w:cs="楷体_GB2312"/>
          <w:kern w:val="44"/>
          <w:sz w:val="28"/>
          <w:szCs w:val="28"/>
          <w:lang w:val="zh-TW"/>
        </w:rPr>
        <w:t>2</w:t>
      </w:r>
      <w:r>
        <w:rPr>
          <w:rFonts w:hint="eastAsia" w:ascii="楷体_GB2312" w:hAnsi="楷体_GB2312" w:eastAsia="楷体_GB2312" w:cs="楷体_GB2312"/>
          <w:kern w:val="44"/>
          <w:sz w:val="28"/>
          <w:szCs w:val="28"/>
        </w:rPr>
        <w:t>.</w:t>
      </w:r>
      <w:r>
        <w:rPr>
          <w:rFonts w:hint="eastAsia" w:ascii="楷体_GB2312" w:hAnsi="楷体_GB2312" w:eastAsia="楷体_GB2312" w:cs="楷体_GB2312"/>
          <w:kern w:val="44"/>
          <w:sz w:val="28"/>
          <w:szCs w:val="28"/>
          <w:lang w:val="zh-TW"/>
        </w:rPr>
        <w:t>奖励政策。</w:t>
      </w:r>
      <w:r>
        <w:rPr>
          <w:rFonts w:hint="eastAsia" w:ascii="仿宋_GB2312" w:hAnsi="仿宋_GB2312" w:eastAsia="仿宋_GB2312" w:cs="仿宋_GB2312"/>
          <w:sz w:val="28"/>
          <w:szCs w:val="28"/>
          <w:lang w:bidi="zh-TW"/>
        </w:rPr>
        <w:t>入驻企业其经营当年亩均税收较上年有所增长的，享受次年厂房年租金不超过10%的奖励性优惠(具体优惠点数由</w:t>
      </w:r>
      <w:r>
        <w:rPr>
          <w:rFonts w:hint="eastAsia" w:ascii="仿宋_GB2312" w:hAnsi="仿宋_GB2312" w:eastAsia="仿宋_GB2312" w:cs="仿宋_GB2312"/>
          <w:sz w:val="28"/>
          <w:szCs w:val="28"/>
          <w:lang w:val="zh-TW" w:bidi="zh-TW"/>
        </w:rPr>
        <w:t>工智实业公司根据招商实际情况确定</w:t>
      </w:r>
      <w:r>
        <w:rPr>
          <w:rFonts w:hint="eastAsia" w:ascii="仿宋_GB2312" w:hAnsi="仿宋_GB2312" w:eastAsia="仿宋_GB2312" w:cs="仿宋_GB2312"/>
          <w:sz w:val="28"/>
          <w:szCs w:val="28"/>
          <w:lang w:bidi="zh-TW"/>
        </w:rPr>
        <w:t>)；企业实施数字化、智能化、节能化改造计划，或积极配合园区参与“数字化园区”、“低碳绿色园区”建设，及时按要求提供企业经营数据的，享受次年厂房年租金不超过5%的奖励</w:t>
      </w:r>
      <w:r>
        <w:rPr>
          <w:rFonts w:hint="eastAsia" w:ascii="仿宋_GB2312" w:hAnsi="仿宋_GB2312" w:eastAsia="仿宋_GB2312" w:cs="仿宋_GB2312"/>
          <w:sz w:val="28"/>
          <w:szCs w:val="28"/>
          <w:highlight w:val="none"/>
          <w:lang w:bidi="zh-TW"/>
        </w:rPr>
        <w:t>性优惠(具体优惠点数由</w:t>
      </w:r>
      <w:r>
        <w:rPr>
          <w:rFonts w:hint="eastAsia" w:ascii="仿宋_GB2312" w:hAnsi="仿宋_GB2312" w:eastAsia="仿宋_GB2312" w:cs="仿宋_GB2312"/>
          <w:sz w:val="28"/>
          <w:szCs w:val="28"/>
          <w:highlight w:val="none"/>
          <w:lang w:val="zh-TW" w:bidi="zh-TW"/>
        </w:rPr>
        <w:t>工智实业公司根据招商实际情况确定</w:t>
      </w:r>
      <w:r>
        <w:rPr>
          <w:rFonts w:hint="eastAsia" w:ascii="仿宋_GB2312" w:hAnsi="仿宋_GB2312" w:eastAsia="仿宋_GB2312" w:cs="仿宋_GB2312"/>
          <w:sz w:val="28"/>
          <w:szCs w:val="28"/>
          <w:highlight w:val="none"/>
          <w:lang w:bidi="zh-TW"/>
        </w:rPr>
        <w:t>)。</w:t>
      </w:r>
    </w:p>
    <w:p>
      <w:pPr>
        <w:spacing w:line="460" w:lineRule="exact"/>
        <w:ind w:right="199" w:rightChars="95" w:firstLine="560" w:firstLineChars="200"/>
        <w:rPr>
          <w:rFonts w:hint="eastAsia"/>
          <w:highlight w:val="none"/>
        </w:rPr>
      </w:pPr>
      <w:r>
        <w:rPr>
          <w:rFonts w:hint="eastAsia" w:ascii="楷体_GB2312" w:hAnsi="楷体_GB2312" w:eastAsia="楷体_GB2312" w:cs="楷体_GB2312"/>
          <w:kern w:val="44"/>
          <w:sz w:val="28"/>
          <w:szCs w:val="28"/>
          <w:highlight w:val="none"/>
        </w:rPr>
        <w:t>3.</w:t>
      </w:r>
      <w:r>
        <w:rPr>
          <w:rFonts w:hint="eastAsia" w:ascii="楷体_GB2312" w:hAnsi="楷体_GB2312" w:eastAsia="楷体_GB2312" w:cs="楷体_GB2312"/>
          <w:kern w:val="44"/>
          <w:sz w:val="28"/>
          <w:szCs w:val="28"/>
          <w:highlight w:val="none"/>
          <w:lang w:val="zh-TW"/>
        </w:rPr>
        <w:t>装修宽限期</w:t>
      </w:r>
      <w:r>
        <w:rPr>
          <w:rFonts w:hint="eastAsia" w:ascii="楷体_GB2312" w:hAnsi="楷体_GB2312" w:eastAsia="楷体_GB2312" w:cs="楷体_GB2312"/>
          <w:kern w:val="44"/>
          <w:sz w:val="28"/>
          <w:szCs w:val="28"/>
          <w:highlight w:val="none"/>
        </w:rPr>
        <w:t>政策</w:t>
      </w:r>
      <w:r>
        <w:rPr>
          <w:rFonts w:hint="eastAsia" w:ascii="楷体_GB2312" w:hAnsi="楷体_GB2312" w:eastAsia="楷体_GB2312" w:cs="楷体_GB2312"/>
          <w:kern w:val="44"/>
          <w:sz w:val="28"/>
          <w:szCs w:val="28"/>
          <w:highlight w:val="none"/>
          <w:lang w:val="zh-TW"/>
        </w:rPr>
        <w:t>。</w:t>
      </w:r>
      <w:r>
        <w:rPr>
          <w:rFonts w:hint="eastAsia" w:ascii="仿宋_GB2312" w:hAnsi="仿宋_GB2312" w:eastAsia="仿宋_GB2312" w:cs="仿宋_GB2312"/>
          <w:sz w:val="28"/>
          <w:szCs w:val="28"/>
          <w:highlight w:val="none"/>
          <w:lang w:bidi="zh-TW"/>
        </w:rPr>
        <w:t>入驻企业于《</w:t>
      </w:r>
      <w:r>
        <w:rPr>
          <w:rFonts w:hint="eastAsia" w:ascii="仿宋_GB2312" w:hAnsi="仿宋_GB2312" w:eastAsia="仿宋_GB2312" w:cs="仿宋_GB2312"/>
          <w:sz w:val="28"/>
          <w:szCs w:val="28"/>
          <w:highlight w:val="none"/>
          <w:lang w:val="zh-TW" w:bidi="zh-TW"/>
        </w:rPr>
        <w:t>招商签约通知书》</w:t>
      </w:r>
      <w:r>
        <w:rPr>
          <w:rFonts w:hint="eastAsia" w:ascii="仿宋_GB2312" w:hAnsi="仿宋_GB2312" w:eastAsia="仿宋_GB2312" w:cs="仿宋_GB2312"/>
          <w:sz w:val="28"/>
          <w:szCs w:val="28"/>
          <w:highlight w:val="none"/>
          <w:lang w:bidi="zh-TW"/>
        </w:rPr>
        <w:t>约定的时间前就承租厂房与工智实业公司签订《租赁合同》及其补充协议的，可享受装修宽限期，装修宽限期不得超过二个月。装修宽限期计入厂房租赁合同租赁期限，租金自装修宽限期届满次日起计算。其中，装修宽限期可免收租金，入驻企业应在规定时间内进场装修，否则取消装修宽限期免收租金等优惠。</w:t>
      </w:r>
    </w:p>
    <w:p>
      <w:pPr>
        <w:spacing w:line="460" w:lineRule="exact"/>
        <w:ind w:firstLine="560" w:firstLineChars="200"/>
        <w:rPr>
          <w:rFonts w:hint="eastAsia" w:ascii="仿宋_GB2312" w:hAnsi="仿宋_GB2312" w:eastAsia="仿宋_GB2312" w:cs="仿宋_GB2312"/>
          <w:sz w:val="28"/>
          <w:szCs w:val="28"/>
          <w:highlight w:val="none"/>
          <w:lang w:bidi="zh-TW"/>
        </w:rPr>
      </w:pPr>
      <w:r>
        <w:rPr>
          <w:rFonts w:hint="eastAsia" w:ascii="楷体_GB2312" w:hAnsi="楷体_GB2312" w:eastAsia="楷体_GB2312" w:cs="楷体_GB2312"/>
          <w:kern w:val="44"/>
          <w:sz w:val="28"/>
          <w:szCs w:val="28"/>
          <w:highlight w:val="none"/>
        </w:rPr>
        <w:t>4.</w:t>
      </w:r>
      <w:r>
        <w:rPr>
          <w:rFonts w:hint="eastAsia" w:ascii="楷体_GB2312" w:hAnsi="楷体_GB2312" w:eastAsia="楷体_GB2312" w:cs="楷体_GB2312"/>
          <w:kern w:val="44"/>
          <w:sz w:val="28"/>
          <w:szCs w:val="28"/>
          <w:highlight w:val="none"/>
          <w:lang w:val="zh-TW"/>
        </w:rPr>
        <w:t>超长租期政策。</w:t>
      </w:r>
      <w:r>
        <w:rPr>
          <w:rFonts w:hint="eastAsia" w:ascii="仿宋_GB2312" w:hAnsi="仿宋_GB2312" w:eastAsia="仿宋_GB2312" w:cs="仿宋_GB2312"/>
          <w:sz w:val="28"/>
          <w:szCs w:val="28"/>
          <w:highlight w:val="none"/>
          <w:lang w:bidi="zh-TW"/>
        </w:rPr>
        <w:t>原则上租赁入驻企业租期为5年，最长不超过10年。租期结束后需续租的企业在同等条件下可优先续租。</w:t>
      </w:r>
    </w:p>
    <w:p>
      <w:pPr>
        <w:pStyle w:val="3"/>
        <w:spacing w:line="460" w:lineRule="exact"/>
        <w:ind w:left="0" w:firstLine="560" w:firstLineChars="200"/>
        <w:rPr>
          <w:rFonts w:hint="eastAsia" w:ascii="仿宋_GB2312" w:hAnsi="仿宋_GB2312" w:eastAsia="仿宋_GB2312" w:cs="仿宋_GB2312"/>
          <w:sz w:val="28"/>
          <w:szCs w:val="28"/>
          <w:highlight w:val="none"/>
          <w:lang w:bidi="zh-TW"/>
        </w:rPr>
      </w:pPr>
      <w:r>
        <w:rPr>
          <w:rFonts w:hint="eastAsia" w:ascii="楷体_GB2312" w:hAnsi="楷体_GB2312" w:eastAsia="楷体_GB2312" w:cs="楷体_GB2312"/>
          <w:kern w:val="44"/>
          <w:sz w:val="28"/>
          <w:szCs w:val="28"/>
          <w:highlight w:val="none"/>
        </w:rPr>
        <w:t>5.一事一议政策。</w:t>
      </w:r>
      <w:r>
        <w:rPr>
          <w:rFonts w:hint="eastAsia" w:ascii="仿宋_GB2312" w:hAnsi="仿宋_GB2312" w:eastAsia="仿宋_GB2312" w:cs="仿宋_GB2312"/>
          <w:sz w:val="28"/>
          <w:szCs w:val="28"/>
          <w:highlight w:val="none"/>
          <w:lang w:bidi="zh-TW"/>
        </w:rPr>
        <w:t>对于行业领先、隐形冠军或经地方相关部门认定的具备重大项目资质的企业可享受入园一事一议政策。</w:t>
      </w:r>
    </w:p>
    <w:p>
      <w:pPr>
        <w:pStyle w:val="4"/>
        <w:spacing w:line="460" w:lineRule="exact"/>
        <w:ind w:left="0" w:leftChars="0" w:firstLine="562" w:firstLineChars="200"/>
        <w:rPr>
          <w:rFonts w:hint="eastAsia" w:ascii="楷体_GB2312" w:hAnsi="楷体_GB2312" w:eastAsia="楷体_GB2312" w:cs="楷体_GB2312"/>
          <w:b/>
          <w:bCs/>
          <w:kern w:val="44"/>
          <w:sz w:val="28"/>
          <w:szCs w:val="28"/>
          <w:highlight w:val="none"/>
        </w:rPr>
      </w:pPr>
      <w:r>
        <w:rPr>
          <w:rFonts w:hint="eastAsia" w:ascii="楷体_GB2312" w:hAnsi="楷体_GB2312" w:eastAsia="楷体_GB2312" w:cs="楷体_GB2312"/>
          <w:b/>
          <w:bCs/>
          <w:kern w:val="44"/>
          <w:sz w:val="28"/>
          <w:szCs w:val="28"/>
          <w:highlight w:val="none"/>
        </w:rPr>
        <w:t>（二）仅限于XC-B19-a地块（南区）：</w:t>
      </w:r>
    </w:p>
    <w:p>
      <w:pPr>
        <w:pStyle w:val="3"/>
        <w:spacing w:line="460" w:lineRule="exact"/>
        <w:ind w:left="0" w:firstLine="560" w:firstLineChars="200"/>
        <w:rPr>
          <w:rFonts w:hint="eastAsia" w:ascii="仿宋_GB2312" w:hAnsi="仿宋_GB2312" w:eastAsia="仿宋_GB2312" w:cs="仿宋_GB2312"/>
          <w:sz w:val="28"/>
          <w:szCs w:val="28"/>
          <w:highlight w:val="none"/>
          <w:lang w:bidi="zh-TW"/>
        </w:rPr>
      </w:pPr>
      <w:r>
        <w:rPr>
          <w:rFonts w:hint="eastAsia" w:ascii="楷体_GB2312" w:hAnsi="楷体_GB2312" w:eastAsia="楷体_GB2312" w:cs="楷体_GB2312"/>
          <w:kern w:val="44"/>
          <w:sz w:val="28"/>
          <w:szCs w:val="28"/>
          <w:highlight w:val="none"/>
        </w:rPr>
        <w:t>1.</w:t>
      </w:r>
      <w:r>
        <w:rPr>
          <w:rFonts w:hint="eastAsia" w:ascii="楷体_GB2312" w:hAnsi="楷体_GB2312" w:eastAsia="楷体_GB2312" w:cs="楷体_GB2312"/>
          <w:kern w:val="44"/>
          <w:sz w:val="28"/>
          <w:szCs w:val="28"/>
          <w:highlight w:val="none"/>
          <w:lang w:val="zh-TW"/>
        </w:rPr>
        <w:t>减负政策。</w:t>
      </w:r>
      <w:r>
        <w:rPr>
          <w:rFonts w:hint="eastAsia" w:ascii="仿宋_GB2312" w:hAnsi="仿宋_GB2312" w:eastAsia="仿宋_GB2312" w:cs="仿宋_GB2312"/>
          <w:sz w:val="28"/>
          <w:szCs w:val="28"/>
          <w:highlight w:val="none"/>
          <w:lang w:bidi="zh-TW"/>
        </w:rPr>
        <w:t>入驻企业在合约期的前两年，不设租金涨价机制；企业入园租金按照“押三付三”原则，按三个月预付租金。</w:t>
      </w:r>
    </w:p>
    <w:p>
      <w:pPr>
        <w:spacing w:line="460" w:lineRule="exact"/>
        <w:ind w:right="199" w:rightChars="95" w:firstLine="560" w:firstLineChars="200"/>
        <w:rPr>
          <w:rFonts w:hint="eastAsia"/>
          <w:highlight w:val="none"/>
        </w:rPr>
      </w:pPr>
      <w:r>
        <w:rPr>
          <w:rFonts w:hint="eastAsia" w:ascii="楷体_GB2312" w:hAnsi="楷体_GB2312" w:eastAsia="楷体_GB2312" w:cs="楷体_GB2312"/>
          <w:kern w:val="44"/>
          <w:sz w:val="28"/>
          <w:szCs w:val="28"/>
          <w:highlight w:val="none"/>
        </w:rPr>
        <w:t>2.</w:t>
      </w:r>
      <w:r>
        <w:rPr>
          <w:rFonts w:hint="eastAsia" w:ascii="楷体_GB2312" w:hAnsi="楷体_GB2312" w:eastAsia="楷体_GB2312" w:cs="楷体_GB2312"/>
          <w:kern w:val="44"/>
          <w:sz w:val="28"/>
          <w:szCs w:val="28"/>
          <w:highlight w:val="none"/>
          <w:lang w:val="zh-TW"/>
        </w:rPr>
        <w:t>装修宽限期</w:t>
      </w:r>
      <w:r>
        <w:rPr>
          <w:rFonts w:hint="eastAsia" w:ascii="楷体_GB2312" w:hAnsi="楷体_GB2312" w:eastAsia="楷体_GB2312" w:cs="楷体_GB2312"/>
          <w:kern w:val="44"/>
          <w:sz w:val="28"/>
          <w:szCs w:val="28"/>
          <w:highlight w:val="none"/>
        </w:rPr>
        <w:t>政策</w:t>
      </w:r>
      <w:r>
        <w:rPr>
          <w:rFonts w:hint="eastAsia" w:ascii="楷体_GB2312" w:hAnsi="楷体_GB2312" w:eastAsia="楷体_GB2312" w:cs="楷体_GB2312"/>
          <w:kern w:val="44"/>
          <w:sz w:val="28"/>
          <w:szCs w:val="28"/>
          <w:highlight w:val="none"/>
          <w:lang w:val="zh-TW"/>
        </w:rPr>
        <w:t>。</w:t>
      </w:r>
      <w:r>
        <w:rPr>
          <w:rFonts w:hint="eastAsia" w:ascii="仿宋_GB2312" w:hAnsi="仿宋_GB2312" w:eastAsia="仿宋_GB2312" w:cs="仿宋_GB2312"/>
          <w:sz w:val="28"/>
          <w:szCs w:val="28"/>
          <w:highlight w:val="none"/>
          <w:lang w:bidi="zh-TW"/>
        </w:rPr>
        <w:t>入驻企业于《</w:t>
      </w:r>
      <w:r>
        <w:rPr>
          <w:rFonts w:hint="eastAsia" w:ascii="仿宋_GB2312" w:hAnsi="仿宋_GB2312" w:eastAsia="仿宋_GB2312" w:cs="仿宋_GB2312"/>
          <w:sz w:val="28"/>
          <w:szCs w:val="28"/>
          <w:highlight w:val="none"/>
          <w:lang w:val="zh-TW" w:bidi="zh-TW"/>
        </w:rPr>
        <w:t>招商签约通知书》</w:t>
      </w:r>
      <w:r>
        <w:rPr>
          <w:rFonts w:hint="eastAsia" w:ascii="仿宋_GB2312" w:hAnsi="仿宋_GB2312" w:eastAsia="仿宋_GB2312" w:cs="仿宋_GB2312"/>
          <w:sz w:val="28"/>
          <w:szCs w:val="28"/>
          <w:highlight w:val="none"/>
          <w:lang w:bidi="zh-TW"/>
        </w:rPr>
        <w:t>约定的时间前就承租厂房/综合楼/宿舍楼一、二层与工智实业公司签订《租赁合同》及其补充协议的，可享受装修宽限期，厂房装修宽限期不得超过二个月，综合楼/宿舍楼一、二层装修宽限期不得超过三个月。装修宽限期计入厂房/综合楼/宿舍楼一、二层租赁合同租赁期限，租金自装修宽限期届满次日起计算。其中，装修宽限期可免收租金，入驻企业应在规定时间内进场装修，否则取消装修宽限期免收租金等优惠。</w:t>
      </w:r>
    </w:p>
    <w:p>
      <w:pPr>
        <w:spacing w:line="460" w:lineRule="exact"/>
        <w:ind w:firstLine="560" w:firstLineChars="200"/>
        <w:rPr>
          <w:rFonts w:hint="eastAsia" w:ascii="仿宋_GB2312" w:hAnsi="仿宋_GB2312" w:eastAsia="仿宋_GB2312" w:cs="仿宋_GB2312"/>
          <w:sz w:val="28"/>
          <w:szCs w:val="28"/>
          <w:highlight w:val="none"/>
          <w:lang w:bidi="zh-TW"/>
        </w:rPr>
      </w:pPr>
      <w:r>
        <w:rPr>
          <w:rFonts w:hint="eastAsia" w:ascii="楷体_GB2312" w:hAnsi="楷体_GB2312" w:eastAsia="楷体_GB2312" w:cs="楷体_GB2312"/>
          <w:kern w:val="44"/>
          <w:sz w:val="28"/>
          <w:szCs w:val="28"/>
          <w:highlight w:val="none"/>
        </w:rPr>
        <w:t>3.</w:t>
      </w:r>
      <w:r>
        <w:rPr>
          <w:rFonts w:hint="eastAsia" w:ascii="楷体_GB2312" w:hAnsi="楷体_GB2312" w:eastAsia="楷体_GB2312" w:cs="楷体_GB2312"/>
          <w:kern w:val="44"/>
          <w:sz w:val="28"/>
          <w:szCs w:val="28"/>
          <w:highlight w:val="none"/>
          <w:lang w:val="zh-TW"/>
        </w:rPr>
        <w:t>超长租期政策。</w:t>
      </w:r>
      <w:r>
        <w:rPr>
          <w:rFonts w:hint="eastAsia" w:ascii="仿宋_GB2312" w:hAnsi="仿宋_GB2312" w:eastAsia="仿宋_GB2312" w:cs="仿宋_GB2312"/>
          <w:sz w:val="28"/>
          <w:szCs w:val="28"/>
          <w:highlight w:val="none"/>
          <w:lang w:bidi="zh-TW"/>
        </w:rPr>
        <w:t>原则上租赁入驻企业租期为5年，最长不超过10年。租期结束后需续租的企业在同等条件下可优先续租。</w:t>
      </w:r>
    </w:p>
    <w:p>
      <w:pPr>
        <w:pStyle w:val="3"/>
        <w:spacing w:line="460" w:lineRule="exact"/>
        <w:ind w:left="0" w:firstLine="560" w:firstLineChars="200"/>
        <w:rPr>
          <w:rFonts w:hint="eastAsia" w:ascii="仿宋_GB2312" w:hAnsi="仿宋_GB2312" w:eastAsia="仿宋_GB2312" w:cs="仿宋_GB2312"/>
          <w:sz w:val="28"/>
          <w:szCs w:val="28"/>
          <w:highlight w:val="none"/>
          <w:lang w:bidi="zh-TW"/>
        </w:rPr>
      </w:pPr>
      <w:r>
        <w:rPr>
          <w:rFonts w:hint="eastAsia" w:ascii="楷体_GB2312" w:hAnsi="楷体_GB2312" w:eastAsia="楷体_GB2312" w:cs="楷体_GB2312"/>
          <w:kern w:val="44"/>
          <w:sz w:val="28"/>
          <w:szCs w:val="28"/>
          <w:highlight w:val="none"/>
          <w:lang w:val="en-US" w:eastAsia="zh-CN"/>
        </w:rPr>
        <w:t>4</w:t>
      </w:r>
      <w:r>
        <w:rPr>
          <w:rFonts w:hint="eastAsia" w:ascii="楷体_GB2312" w:hAnsi="楷体_GB2312" w:eastAsia="楷体_GB2312" w:cs="楷体_GB2312"/>
          <w:kern w:val="44"/>
          <w:sz w:val="28"/>
          <w:szCs w:val="28"/>
          <w:highlight w:val="none"/>
        </w:rPr>
        <w:t>.一事一议政策。</w:t>
      </w:r>
      <w:r>
        <w:rPr>
          <w:rFonts w:hint="eastAsia" w:ascii="仿宋_GB2312" w:hAnsi="仿宋_GB2312" w:eastAsia="仿宋_GB2312" w:cs="仿宋_GB2312"/>
          <w:sz w:val="28"/>
          <w:szCs w:val="28"/>
          <w:highlight w:val="none"/>
          <w:lang w:bidi="zh-TW"/>
        </w:rPr>
        <w:t>对于行业领先、隐形冠军或经地方相关部门认定的具备重大项目资质的企业可享受入园一事一议政策。</w:t>
      </w:r>
    </w:p>
    <w:p>
      <w:pPr>
        <w:pStyle w:val="4"/>
        <w:ind w:left="0" w:leftChars="0" w:firstLine="560" w:firstLineChars="200"/>
        <w:rPr>
          <w:rFonts w:ascii="仿宋_GB2312" w:hAnsi="仿宋_GB2312" w:eastAsia="仿宋_GB2312" w:cs="仿宋_GB2312"/>
          <w:b/>
          <w:bCs/>
          <w:kern w:val="44"/>
          <w:sz w:val="28"/>
          <w:szCs w:val="28"/>
          <w:lang w:bidi="zh-TW"/>
        </w:rPr>
      </w:pPr>
      <w:r>
        <w:rPr>
          <w:rFonts w:hint="eastAsia" w:ascii="楷体_GB2312" w:hAnsi="楷体_GB2312" w:eastAsia="楷体_GB2312" w:cs="楷体_GB2312"/>
          <w:kern w:val="44"/>
          <w:sz w:val="28"/>
          <w:szCs w:val="28"/>
          <w:highlight w:val="none"/>
          <w:lang w:val="en-US" w:eastAsia="zh-CN"/>
        </w:rPr>
        <w:t>5</w:t>
      </w:r>
      <w:r>
        <w:rPr>
          <w:rFonts w:hint="eastAsia" w:ascii="楷体_GB2312" w:hAnsi="楷体_GB2312" w:eastAsia="楷体_GB2312" w:cs="楷体_GB2312"/>
          <w:kern w:val="44"/>
          <w:sz w:val="28"/>
          <w:szCs w:val="28"/>
          <w:highlight w:val="none"/>
        </w:rPr>
        <w:t>.</w:t>
      </w:r>
      <w:r>
        <w:rPr>
          <w:rFonts w:hint="eastAsia" w:ascii="仿宋_GB2312" w:hAnsi="仿宋_GB2312" w:eastAsia="仿宋_GB2312" w:cs="仿宋_GB2312"/>
          <w:sz w:val="28"/>
          <w:szCs w:val="28"/>
          <w:highlight w:val="none"/>
          <w:lang w:bidi="zh-TW"/>
        </w:rPr>
        <w:t>本招商方案颁布前，已入驻南区的企业，在本招商方案生效执行后，以签订补充协议的形式，按本期新颁布的租金执行。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7DA24"/>
    <w:multiLevelType w:val="singleLevel"/>
    <w:tmpl w:val="0687DA2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WZhNTc2ODBiMWVlMWU0YTY5NDA3OTAxOTRjNmYifQ=="/>
  </w:docVars>
  <w:rsids>
    <w:rsidRoot w:val="02DB2100"/>
    <w:rsid w:val="02DB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kern w:val="0"/>
      <w:sz w:val="22"/>
      <w:szCs w:val="20"/>
    </w:rPr>
  </w:style>
  <w:style w:type="paragraph" w:styleId="3">
    <w:name w:val="Body Text First Indent"/>
    <w:basedOn w:val="2"/>
    <w:next w:val="4"/>
    <w:qFormat/>
    <w:uiPriority w:val="0"/>
    <w:pPr>
      <w:ind w:firstLine="420" w:firstLineChars="100"/>
    </w:pPr>
    <w:rPr>
      <w:rFonts w:ascii="Calibri" w:hAnsi="Calibri" w:cs="Times New Roman"/>
      <w:sz w:val="21"/>
      <w:szCs w:val="24"/>
    </w:rPr>
  </w:style>
  <w:style w:type="paragraph" w:styleId="4">
    <w:name w:val="toc 6"/>
    <w:basedOn w:val="1"/>
    <w:next w:val="1"/>
    <w:unhideWhenUsed/>
    <w:qFormat/>
    <w:uiPriority w:val="39"/>
    <w:pPr>
      <w:ind w:left="2100" w:leftChars="1000"/>
    </w:pPr>
  </w:style>
  <w:style w:type="paragraph" w:customStyle="1" w:styleId="8">
    <w:name w:val="Body text|1"/>
    <w:basedOn w:val="1"/>
    <w:qFormat/>
    <w:uiPriority w:val="0"/>
    <w:pPr>
      <w:spacing w:line="434" w:lineRule="auto"/>
      <w:ind w:firstLine="400"/>
      <w:jc w:val="left"/>
    </w:pPr>
    <w:rPr>
      <w:rFonts w:ascii="宋体" w:hAnsi="宋体" w:cs="宋体"/>
      <w:color w:val="000000"/>
      <w:kern w:val="0"/>
      <w:sz w:val="24"/>
      <w:szCs w:val="24"/>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2024-08-21T02:26:00Z</dcterms:created>
  <dc:creator>YAOCC</dc:creator>
  <cp:lastModifiedBy>YAOCC</cp:lastModifiedBy>
  <dcterms:modified xsi:type="dcterms:W3CDTF">2024-08-21T02:26:42Z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F87439A4A8EF467E81F0E5A67A796C42_11</vt:lpwstr>
  </property>
</Properties>
</file>