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DAA9455">
      <w:pPr>
        <w:autoSpaceDE w:val="0"/>
        <w:autoSpaceDN w:val="0"/>
        <w:spacing w:line="500" w:lineRule="atLeast"/>
        <w:jc w:val="both"/>
        <w:textAlignment w:val="bottom"/>
        <w:rPr>
          <w:rFonts w:hint="eastAsia" w:ascii="宋体" w:hAnsi="宋体" w:eastAsia="宋体" w:cs="宋体"/>
          <w:bCs/>
          <w:color w:val="auto"/>
          <w:sz w:val="72"/>
          <w:szCs w:val="72"/>
          <w:highlight w:val="none"/>
        </w:rPr>
      </w:pPr>
      <w:bookmarkStart w:id="395" w:name="_GoBack"/>
      <w:bookmarkEnd w:id="395"/>
      <w:r>
        <w:rPr>
          <w:rFonts w:hint="eastAsia" w:ascii="宋体" w:hAnsi="宋体" w:eastAsia="宋体" w:cs="宋体"/>
          <w:b/>
          <w:bCs/>
          <w:color w:val="auto"/>
          <w:spacing w:val="120"/>
          <w:sz w:val="72"/>
          <w:szCs w:val="72"/>
          <w:highlight w:val="none"/>
        </w:rPr>
        <w:t>温州市国有企业采购</w:t>
      </w:r>
    </w:p>
    <w:p w14:paraId="6711D110">
      <w:pPr>
        <w:spacing w:line="400" w:lineRule="atLeast"/>
        <w:jc w:val="center"/>
        <w:rPr>
          <w:rFonts w:hint="eastAsia" w:ascii="宋体" w:hAnsi="宋体" w:eastAsia="宋体" w:cs="宋体"/>
          <w:b/>
          <w:color w:val="auto"/>
          <w:sz w:val="52"/>
          <w:highlight w:val="none"/>
        </w:rPr>
      </w:pPr>
    </w:p>
    <w:p w14:paraId="709E2216">
      <w:pPr>
        <w:spacing w:line="400" w:lineRule="atLeast"/>
        <w:rPr>
          <w:rFonts w:hint="eastAsia" w:ascii="宋体" w:hAnsi="宋体" w:eastAsia="宋体" w:cs="宋体"/>
          <w:b/>
          <w:color w:val="auto"/>
          <w:sz w:val="52"/>
          <w:highlight w:val="none"/>
        </w:rPr>
      </w:pPr>
    </w:p>
    <w:p w14:paraId="72BD2846">
      <w:pPr>
        <w:autoSpaceDE w:val="0"/>
        <w:autoSpaceDN w:val="0"/>
        <w:spacing w:line="500" w:lineRule="atLeast"/>
        <w:jc w:val="center"/>
        <w:textAlignment w:val="bottom"/>
        <w:rPr>
          <w:rFonts w:hint="eastAsia" w:ascii="宋体" w:hAnsi="宋体" w:eastAsia="宋体" w:cs="宋体"/>
          <w:b/>
          <w:color w:val="auto"/>
          <w:sz w:val="72"/>
          <w:szCs w:val="72"/>
          <w:highlight w:val="none"/>
        </w:rPr>
      </w:pPr>
      <w:r>
        <w:rPr>
          <w:rFonts w:hint="eastAsia" w:ascii="宋体" w:hAnsi="宋体" w:eastAsia="宋体" w:cs="宋体"/>
          <w:b/>
          <w:bCs/>
          <w:color w:val="auto"/>
          <w:sz w:val="72"/>
          <w:szCs w:val="72"/>
          <w:highlight w:val="none"/>
        </w:rPr>
        <w:t>招  标  文  件</w:t>
      </w:r>
    </w:p>
    <w:p w14:paraId="21A92286">
      <w:pPr>
        <w:spacing w:line="360" w:lineRule="auto"/>
        <w:rPr>
          <w:rFonts w:hint="eastAsia" w:ascii="宋体" w:hAnsi="宋体" w:eastAsia="宋体" w:cs="宋体"/>
          <w:color w:val="auto"/>
          <w:sz w:val="28"/>
          <w:highlight w:val="none"/>
        </w:rPr>
      </w:pPr>
    </w:p>
    <w:p w14:paraId="1CD35E5C">
      <w:pPr>
        <w:spacing w:line="360" w:lineRule="auto"/>
        <w:rPr>
          <w:rFonts w:hint="eastAsia" w:ascii="宋体" w:hAnsi="宋体" w:eastAsia="宋体" w:cs="宋体"/>
          <w:color w:val="auto"/>
          <w:sz w:val="30"/>
          <w:highlight w:val="none"/>
        </w:rPr>
      </w:pPr>
    </w:p>
    <w:p w14:paraId="1A752B14">
      <w:pPr>
        <w:spacing w:line="360" w:lineRule="auto"/>
        <w:rPr>
          <w:rFonts w:hint="eastAsia" w:ascii="宋体" w:hAnsi="宋体" w:eastAsia="宋体" w:cs="宋体"/>
          <w:color w:val="auto"/>
          <w:sz w:val="30"/>
          <w:highlight w:val="none"/>
        </w:rPr>
      </w:pPr>
    </w:p>
    <w:p w14:paraId="7E8FBCA4">
      <w:pPr>
        <w:spacing w:line="360" w:lineRule="auto"/>
        <w:ind w:firstLine="1500" w:firstLineChars="500"/>
        <w:rPr>
          <w:rFonts w:hint="eastAsia" w:ascii="宋体" w:hAnsi="宋体" w:eastAsia="宋体" w:cs="宋体"/>
          <w:color w:val="auto"/>
          <w:sz w:val="30"/>
          <w:highlight w:val="none"/>
        </w:rPr>
      </w:pPr>
    </w:p>
    <w:p w14:paraId="381CBACF">
      <w:pPr>
        <w:autoSpaceDE w:val="0"/>
        <w:autoSpaceDN w:val="0"/>
        <w:spacing w:line="360" w:lineRule="auto"/>
        <w:ind w:left="1928" w:hanging="1928" w:hangingChars="600"/>
        <w:jc w:val="both"/>
        <w:textAlignment w:val="bottom"/>
        <w:rPr>
          <w:rFonts w:hint="eastAsia" w:ascii="宋体" w:hAnsi="宋体" w:eastAsia="宋体" w:cs="宋体"/>
          <w:b/>
          <w:color w:val="auto"/>
          <w:sz w:val="32"/>
          <w:szCs w:val="32"/>
          <w:highlight w:val="none"/>
          <w:lang w:val="en-US" w:eastAsia="zh-CN"/>
        </w:rPr>
      </w:pPr>
      <w:r>
        <w:rPr>
          <w:rFonts w:hint="eastAsia" w:ascii="宋体" w:hAnsi="宋体" w:eastAsia="宋体" w:cs="宋体"/>
          <w:b/>
          <w:color w:val="auto"/>
          <w:sz w:val="32"/>
          <w:szCs w:val="32"/>
          <w:highlight w:val="none"/>
        </w:rPr>
        <w:t>项 目</w:t>
      </w:r>
      <w:r>
        <w:rPr>
          <w:rFonts w:hint="eastAsia" w:ascii="宋体" w:hAnsi="宋体" w:eastAsia="宋体" w:cs="宋体"/>
          <w:b/>
          <w:color w:val="auto"/>
          <w:sz w:val="32"/>
          <w:szCs w:val="32"/>
          <w:highlight w:val="none"/>
          <w:lang w:val="en-US" w:eastAsia="zh-CN"/>
        </w:rPr>
        <w:t xml:space="preserve"> 名 称</w:t>
      </w:r>
      <w:r>
        <w:rPr>
          <w:rFonts w:hint="eastAsia" w:ascii="宋体" w:hAnsi="宋体" w:eastAsia="宋体" w:cs="宋体"/>
          <w:b/>
          <w:color w:val="auto"/>
          <w:sz w:val="32"/>
          <w:szCs w:val="32"/>
          <w:highlight w:val="none"/>
        </w:rPr>
        <w:t>：</w:t>
      </w:r>
      <w:r>
        <w:rPr>
          <w:rFonts w:hint="eastAsia" w:ascii="宋体" w:hAnsi="宋体" w:cs="宋体"/>
          <w:b/>
          <w:color w:val="auto"/>
          <w:sz w:val="32"/>
          <w:szCs w:val="32"/>
          <w:highlight w:val="none"/>
          <w:lang w:eastAsia="zh-CN"/>
        </w:rPr>
        <w:t>瓯窑产业化项目研发生产提效设备-陶艺工作室仪器设备</w:t>
      </w:r>
    </w:p>
    <w:p w14:paraId="363272BC">
      <w:pPr>
        <w:autoSpaceDE w:val="0"/>
        <w:autoSpaceDN w:val="0"/>
        <w:spacing w:line="360" w:lineRule="auto"/>
        <w:jc w:val="both"/>
        <w:textAlignment w:val="bottom"/>
        <w:rPr>
          <w:rFonts w:hint="eastAsia" w:ascii="宋体" w:hAnsi="宋体" w:eastAsia="宋体" w:cs="宋体"/>
          <w:b/>
          <w:color w:val="auto"/>
          <w:sz w:val="32"/>
          <w:szCs w:val="32"/>
          <w:highlight w:val="none"/>
          <w:lang w:eastAsia="zh-CN"/>
        </w:rPr>
      </w:pPr>
      <w:r>
        <w:rPr>
          <w:rFonts w:hint="eastAsia" w:ascii="宋体" w:hAnsi="宋体" w:eastAsia="宋体" w:cs="宋体"/>
          <w:b/>
          <w:color w:val="auto"/>
          <w:sz w:val="32"/>
          <w:szCs w:val="32"/>
          <w:highlight w:val="none"/>
        </w:rPr>
        <w:t>项</w:t>
      </w:r>
      <w:r>
        <w:rPr>
          <w:rFonts w:hint="eastAsia" w:ascii="宋体" w:hAnsi="宋体" w:eastAsia="宋体" w:cs="宋体"/>
          <w:b/>
          <w:color w:val="auto"/>
          <w:sz w:val="32"/>
          <w:szCs w:val="32"/>
          <w:highlight w:val="none"/>
          <w:lang w:val="en-US" w:eastAsia="zh-CN"/>
        </w:rPr>
        <w:t xml:space="preserve"> </w:t>
      </w:r>
      <w:r>
        <w:rPr>
          <w:rFonts w:hint="eastAsia" w:ascii="宋体" w:hAnsi="宋体" w:eastAsia="宋体" w:cs="宋体"/>
          <w:b/>
          <w:color w:val="auto"/>
          <w:sz w:val="32"/>
          <w:szCs w:val="32"/>
          <w:highlight w:val="none"/>
        </w:rPr>
        <w:t>目</w:t>
      </w:r>
      <w:r>
        <w:rPr>
          <w:rFonts w:hint="eastAsia" w:ascii="宋体" w:hAnsi="宋体" w:eastAsia="宋体" w:cs="宋体"/>
          <w:b/>
          <w:color w:val="auto"/>
          <w:sz w:val="32"/>
          <w:szCs w:val="32"/>
          <w:highlight w:val="none"/>
          <w:lang w:val="en-US" w:eastAsia="zh-CN"/>
        </w:rPr>
        <w:t xml:space="preserve"> </w:t>
      </w:r>
      <w:r>
        <w:rPr>
          <w:rFonts w:hint="eastAsia" w:ascii="宋体" w:hAnsi="宋体" w:eastAsia="宋体" w:cs="宋体"/>
          <w:b/>
          <w:color w:val="auto"/>
          <w:sz w:val="32"/>
          <w:szCs w:val="32"/>
          <w:highlight w:val="none"/>
        </w:rPr>
        <w:t>编</w:t>
      </w:r>
      <w:r>
        <w:rPr>
          <w:rFonts w:hint="eastAsia" w:ascii="宋体" w:hAnsi="宋体" w:eastAsia="宋体" w:cs="宋体"/>
          <w:b/>
          <w:color w:val="auto"/>
          <w:sz w:val="32"/>
          <w:szCs w:val="32"/>
          <w:highlight w:val="none"/>
          <w:lang w:val="en-US" w:eastAsia="zh-CN"/>
        </w:rPr>
        <w:t xml:space="preserve"> </w:t>
      </w:r>
      <w:r>
        <w:rPr>
          <w:rFonts w:hint="eastAsia" w:ascii="宋体" w:hAnsi="宋体" w:eastAsia="宋体" w:cs="宋体"/>
          <w:b/>
          <w:color w:val="auto"/>
          <w:sz w:val="32"/>
          <w:szCs w:val="32"/>
          <w:highlight w:val="none"/>
        </w:rPr>
        <w:t>号：</w:t>
      </w:r>
      <w:r>
        <w:rPr>
          <w:rFonts w:hint="eastAsia" w:ascii="宋体" w:hAnsi="宋体" w:cs="宋体"/>
          <w:b/>
          <w:color w:val="auto"/>
          <w:sz w:val="32"/>
          <w:szCs w:val="32"/>
          <w:highlight w:val="none"/>
          <w:lang w:eastAsia="zh-CN"/>
        </w:rPr>
        <w:t>WGSS-GYNY-Z-2025022</w:t>
      </w:r>
    </w:p>
    <w:p w14:paraId="4513E6DD">
      <w:pPr>
        <w:autoSpaceDE w:val="0"/>
        <w:autoSpaceDN w:val="0"/>
        <w:spacing w:line="360" w:lineRule="auto"/>
        <w:jc w:val="both"/>
        <w:textAlignment w:val="bottom"/>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采 购 方 式：公开招标</w:t>
      </w:r>
    </w:p>
    <w:p w14:paraId="1904E2E8">
      <w:pPr>
        <w:spacing w:line="360" w:lineRule="auto"/>
        <w:rPr>
          <w:rFonts w:hint="eastAsia" w:ascii="宋体" w:hAnsi="宋体" w:eastAsia="宋体" w:cs="宋体"/>
          <w:color w:val="auto"/>
          <w:sz w:val="30"/>
          <w:highlight w:val="none"/>
        </w:rPr>
      </w:pPr>
      <w:r>
        <w:rPr>
          <w:rFonts w:hint="eastAsia" w:ascii="宋体" w:hAnsi="宋体" w:eastAsia="宋体" w:cs="宋体"/>
          <w:color w:val="auto"/>
          <w:sz w:val="30"/>
          <w:highlight w:val="none"/>
        </w:rPr>
        <w:t xml:space="preserve"> </w:t>
      </w:r>
    </w:p>
    <w:p w14:paraId="358B1D97">
      <w:pPr>
        <w:spacing w:line="360" w:lineRule="auto"/>
        <w:ind w:firstLine="1687" w:firstLineChars="600"/>
        <w:jc w:val="both"/>
        <w:rPr>
          <w:rFonts w:hint="eastAsia" w:ascii="宋体" w:hAnsi="宋体" w:eastAsia="宋体" w:cs="宋体"/>
          <w:b/>
          <w:color w:val="auto"/>
          <w:sz w:val="28"/>
          <w:highlight w:val="none"/>
        </w:rPr>
      </w:pPr>
    </w:p>
    <w:p w14:paraId="0038B850">
      <w:pPr>
        <w:spacing w:line="360" w:lineRule="auto"/>
        <w:ind w:firstLine="0" w:firstLineChars="0"/>
        <w:jc w:val="both"/>
        <w:rPr>
          <w:rFonts w:hint="eastAsia" w:ascii="宋体" w:hAnsi="宋体" w:eastAsia="宋体" w:cs="宋体"/>
          <w:b/>
          <w:color w:val="auto"/>
          <w:sz w:val="28"/>
          <w:highlight w:val="none"/>
        </w:rPr>
      </w:pPr>
    </w:p>
    <w:p w14:paraId="31D72327">
      <w:pPr>
        <w:spacing w:line="360" w:lineRule="auto"/>
        <w:ind w:firstLine="1687" w:firstLineChars="600"/>
        <w:jc w:val="both"/>
        <w:rPr>
          <w:rFonts w:hint="eastAsia" w:ascii="宋体" w:hAnsi="宋体" w:eastAsia="宋体" w:cs="宋体"/>
          <w:b/>
          <w:color w:val="auto"/>
          <w:sz w:val="28"/>
          <w:highlight w:val="none"/>
        </w:rPr>
      </w:pPr>
    </w:p>
    <w:p w14:paraId="2C78AAA6">
      <w:pPr>
        <w:spacing w:line="360" w:lineRule="auto"/>
        <w:ind w:firstLine="843" w:firstLineChars="300"/>
        <w:jc w:val="both"/>
        <w:rPr>
          <w:rFonts w:hint="eastAsia" w:ascii="宋体" w:hAnsi="宋体" w:eastAsia="宋体" w:cs="宋体"/>
          <w:b/>
          <w:color w:val="auto"/>
          <w:sz w:val="28"/>
          <w:highlight w:val="none"/>
          <w:lang w:val="en-US" w:eastAsia="zh-CN"/>
        </w:rPr>
      </w:pPr>
      <w:r>
        <w:rPr>
          <w:rFonts w:hint="eastAsia" w:ascii="宋体" w:hAnsi="宋体" w:eastAsia="宋体" w:cs="宋体"/>
          <w:b/>
          <w:color w:val="auto"/>
          <w:sz w:val="28"/>
          <w:highlight w:val="none"/>
          <w:lang w:eastAsia="zh-CN"/>
        </w:rPr>
        <w:t>采</w:t>
      </w:r>
      <w:r>
        <w:rPr>
          <w:rFonts w:hint="eastAsia" w:ascii="宋体" w:hAnsi="宋体" w:eastAsia="宋体" w:cs="宋体"/>
          <w:b/>
          <w:color w:val="auto"/>
          <w:sz w:val="28"/>
          <w:highlight w:val="none"/>
        </w:rPr>
        <w:t xml:space="preserve">   </w:t>
      </w:r>
      <w:r>
        <w:rPr>
          <w:rFonts w:hint="eastAsia" w:ascii="宋体" w:hAnsi="宋体" w:eastAsia="宋体" w:cs="宋体"/>
          <w:b/>
          <w:color w:val="auto"/>
          <w:sz w:val="28"/>
          <w:highlight w:val="none"/>
          <w:lang w:eastAsia="zh-CN"/>
        </w:rPr>
        <w:t>购</w:t>
      </w:r>
      <w:r>
        <w:rPr>
          <w:rFonts w:hint="eastAsia" w:ascii="宋体" w:hAnsi="宋体" w:eastAsia="宋体" w:cs="宋体"/>
          <w:b/>
          <w:color w:val="auto"/>
          <w:sz w:val="28"/>
          <w:highlight w:val="none"/>
        </w:rPr>
        <w:t xml:space="preserve">   人：</w:t>
      </w:r>
      <w:r>
        <w:rPr>
          <w:rFonts w:hint="eastAsia" w:ascii="宋体" w:hAnsi="宋体" w:eastAsia="宋体" w:cs="宋体"/>
          <w:b/>
          <w:color w:val="auto"/>
          <w:sz w:val="28"/>
          <w:highlight w:val="none"/>
          <w:lang w:eastAsia="zh-CN"/>
        </w:rPr>
        <w:t>温州瓯瓷产业发展有限公司</w:t>
      </w:r>
    </w:p>
    <w:p w14:paraId="0C4C9E0B">
      <w:pPr>
        <w:spacing w:line="360" w:lineRule="auto"/>
        <w:jc w:val="center"/>
        <w:rPr>
          <w:rFonts w:hint="eastAsia" w:ascii="宋体" w:hAnsi="宋体" w:eastAsia="宋体" w:cs="宋体"/>
          <w:b/>
          <w:color w:val="auto"/>
          <w:sz w:val="28"/>
          <w:highlight w:val="none"/>
          <w:lang w:eastAsia="zh-CN"/>
        </w:rPr>
      </w:pPr>
      <w:r>
        <w:rPr>
          <w:rFonts w:hint="eastAsia" w:ascii="宋体" w:hAnsi="宋体" w:eastAsia="宋体" w:cs="宋体"/>
          <w:b/>
          <w:color w:val="auto"/>
          <w:sz w:val="28"/>
          <w:highlight w:val="none"/>
          <w:lang w:val="en-US" w:eastAsia="zh-CN"/>
        </w:rPr>
        <w:t xml:space="preserve">    </w:t>
      </w:r>
      <w:r>
        <w:rPr>
          <w:rFonts w:hint="eastAsia" w:ascii="宋体" w:hAnsi="宋体" w:eastAsia="宋体" w:cs="宋体"/>
          <w:b/>
          <w:color w:val="auto"/>
          <w:sz w:val="28"/>
          <w:highlight w:val="none"/>
        </w:rPr>
        <w:t>招标代理机构：</w:t>
      </w:r>
      <w:r>
        <w:rPr>
          <w:rFonts w:hint="eastAsia" w:ascii="宋体" w:hAnsi="宋体" w:eastAsia="宋体" w:cs="宋体"/>
          <w:b/>
          <w:color w:val="auto"/>
          <w:sz w:val="28"/>
          <w:highlight w:val="none"/>
          <w:lang w:eastAsia="zh-CN"/>
        </w:rPr>
        <w:t>温州市兴城工程造价审计咨询事务所（普通合伙）</w:t>
      </w:r>
    </w:p>
    <w:p w14:paraId="4E0D6EEA">
      <w:pPr>
        <w:spacing w:line="360" w:lineRule="auto"/>
        <w:ind w:left="210" w:leftChars="100"/>
        <w:jc w:val="center"/>
        <w:rPr>
          <w:rFonts w:hint="eastAsia" w:ascii="宋体" w:hAnsi="宋体" w:eastAsia="宋体" w:cs="宋体"/>
          <w:b/>
          <w:color w:val="auto"/>
          <w:sz w:val="28"/>
          <w:highlight w:val="none"/>
        </w:rPr>
      </w:pPr>
    </w:p>
    <w:p w14:paraId="6B2C3C1C">
      <w:pPr>
        <w:spacing w:line="360" w:lineRule="auto"/>
        <w:ind w:left="210" w:leftChars="100"/>
        <w:jc w:val="center"/>
        <w:rPr>
          <w:rFonts w:hint="eastAsia" w:ascii="宋体" w:hAnsi="宋体" w:eastAsia="宋体" w:cs="宋体"/>
          <w:b/>
          <w:color w:val="auto"/>
          <w:sz w:val="28"/>
          <w:highlight w:val="none"/>
        </w:rPr>
      </w:pPr>
      <w:r>
        <w:rPr>
          <w:rFonts w:hint="eastAsia" w:ascii="宋体" w:hAnsi="宋体" w:eastAsia="宋体" w:cs="宋体"/>
          <w:b/>
          <w:color w:val="auto"/>
          <w:sz w:val="28"/>
          <w:highlight w:val="none"/>
        </w:rPr>
        <w:t>二〇二</w:t>
      </w:r>
      <w:r>
        <w:rPr>
          <w:rFonts w:hint="eastAsia" w:ascii="宋体" w:hAnsi="宋体" w:eastAsia="宋体" w:cs="宋体"/>
          <w:b/>
          <w:color w:val="auto"/>
          <w:sz w:val="28"/>
          <w:highlight w:val="none"/>
          <w:lang w:val="en-US" w:eastAsia="zh-CN"/>
        </w:rPr>
        <w:t>五</w:t>
      </w:r>
      <w:r>
        <w:rPr>
          <w:rFonts w:hint="eastAsia" w:ascii="宋体" w:hAnsi="宋体" w:eastAsia="宋体" w:cs="宋体"/>
          <w:b/>
          <w:color w:val="auto"/>
          <w:sz w:val="28"/>
          <w:highlight w:val="none"/>
        </w:rPr>
        <w:t>年</w:t>
      </w:r>
      <w:r>
        <w:rPr>
          <w:rFonts w:hint="eastAsia" w:ascii="宋体" w:hAnsi="宋体" w:cs="宋体"/>
          <w:b/>
          <w:color w:val="auto"/>
          <w:sz w:val="28"/>
          <w:highlight w:val="none"/>
          <w:lang w:val="en-US" w:eastAsia="zh-CN"/>
        </w:rPr>
        <w:t>十一</w:t>
      </w:r>
      <w:r>
        <w:rPr>
          <w:rFonts w:hint="eastAsia" w:ascii="宋体" w:hAnsi="宋体" w:eastAsia="宋体" w:cs="宋体"/>
          <w:b/>
          <w:color w:val="auto"/>
          <w:sz w:val="28"/>
          <w:highlight w:val="none"/>
        </w:rPr>
        <w:t>月</w:t>
      </w:r>
    </w:p>
    <w:p w14:paraId="5451D2C8">
      <w:pPr>
        <w:outlineLvl w:val="9"/>
        <w:rPr>
          <w:rFonts w:hint="eastAsia" w:ascii="宋体" w:hAnsi="宋体" w:eastAsia="宋体" w:cs="宋体"/>
          <w:b/>
          <w:color w:val="auto"/>
          <w:sz w:val="28"/>
          <w:highlight w:val="none"/>
        </w:rPr>
      </w:pPr>
    </w:p>
    <w:p w14:paraId="582393C6">
      <w:pPr>
        <w:pStyle w:val="212"/>
        <w:jc w:val="center"/>
        <w:rPr>
          <w:rFonts w:hint="eastAsia" w:ascii="宋体" w:hAnsi="宋体" w:eastAsia="宋体" w:cs="宋体"/>
          <w:color w:val="auto"/>
          <w:sz w:val="48"/>
          <w:highlight w:val="none"/>
        </w:rPr>
      </w:pPr>
      <w:bookmarkStart w:id="0" w:name="_Toc10553"/>
      <w:bookmarkStart w:id="1" w:name="_Toc13592"/>
      <w:bookmarkStart w:id="2" w:name="_Toc9988"/>
      <w:bookmarkStart w:id="3" w:name="_Toc13360"/>
      <w:bookmarkStart w:id="4" w:name="_Toc25167"/>
      <w:bookmarkStart w:id="5" w:name="_Toc23405"/>
      <w:bookmarkStart w:id="6" w:name="_Toc16577"/>
      <w:bookmarkStart w:id="7" w:name="_Toc8521"/>
      <w:bookmarkStart w:id="8" w:name="_Toc5834"/>
      <w:bookmarkStart w:id="9" w:name="_Toc25155"/>
      <w:bookmarkStart w:id="10" w:name="_Toc20571"/>
      <w:r>
        <w:rPr>
          <w:rFonts w:hint="eastAsia" w:ascii="宋体" w:hAnsi="宋体" w:eastAsia="宋体" w:cs="宋体"/>
          <w:color w:val="auto"/>
          <w:sz w:val="48"/>
          <w:highlight w:val="none"/>
          <w:lang w:val="zh-CN"/>
        </w:rPr>
        <w:t xml:space="preserve">目 </w:t>
      </w:r>
      <w:r>
        <w:rPr>
          <w:rFonts w:hint="eastAsia" w:ascii="宋体" w:hAnsi="宋体" w:eastAsia="宋体" w:cs="宋体"/>
          <w:color w:val="auto"/>
          <w:sz w:val="48"/>
          <w:highlight w:val="none"/>
        </w:rPr>
        <w:t xml:space="preserve"> </w:t>
      </w:r>
      <w:r>
        <w:rPr>
          <w:rFonts w:hint="eastAsia" w:ascii="宋体" w:hAnsi="宋体" w:eastAsia="宋体" w:cs="宋体"/>
          <w:color w:val="auto"/>
          <w:sz w:val="48"/>
          <w:highlight w:val="none"/>
          <w:lang w:val="zh-CN"/>
        </w:rPr>
        <w:t>录</w:t>
      </w:r>
      <w:bookmarkEnd w:id="0"/>
      <w:bookmarkEnd w:id="1"/>
      <w:bookmarkEnd w:id="2"/>
      <w:bookmarkEnd w:id="3"/>
      <w:bookmarkEnd w:id="4"/>
      <w:bookmarkEnd w:id="5"/>
      <w:bookmarkEnd w:id="6"/>
      <w:bookmarkEnd w:id="7"/>
      <w:bookmarkEnd w:id="8"/>
      <w:bookmarkEnd w:id="9"/>
      <w:bookmarkEnd w:id="10"/>
    </w:p>
    <w:p w14:paraId="2FC3ADF0">
      <w:pPr>
        <w:pStyle w:val="34"/>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TOC \o "1-3" \h \z \u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_Toc10553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lang w:val="zh-CN"/>
        </w:rPr>
        <w:t xml:space="preserve">目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zh-CN"/>
        </w:rPr>
        <w:t>录</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_Toc10553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3C3A6DE6">
      <w:pPr>
        <w:pStyle w:val="34"/>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_Toc23232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 xml:space="preserve">第一部分  </w:t>
      </w:r>
      <w:r>
        <w:rPr>
          <w:rFonts w:hint="eastAsia" w:ascii="宋体" w:hAnsi="宋体" w:eastAsia="宋体" w:cs="宋体"/>
          <w:bCs/>
          <w:color w:val="auto"/>
          <w:sz w:val="24"/>
          <w:szCs w:val="24"/>
          <w:highlight w:val="none"/>
          <w:lang w:eastAsia="zh-CN"/>
        </w:rPr>
        <w:t>采购公告</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_Toc23232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4EE78C68">
      <w:pPr>
        <w:pStyle w:val="34"/>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_Toc13123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第二部分  投标须知及前附表</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_Toc13123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7</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16B59421">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_Toc11680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（一）投标须知前附表</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_Toc11680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7</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6E04F859">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_Toc4426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（二）总 则</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_Toc4426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1985AED4">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_Toc4791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（三）招标文件说明</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_Toc4791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61544F14">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_Toc23326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（四）投标文件的编制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_Toc23326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14</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3A937C20">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_Toc26132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（五）投标文件的递交</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_Toc26132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17</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7C83E056">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_Toc31268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（六）开标与评审</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_Toc31268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18</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796EBA6B">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_Toc15051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（七）授予合同</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_Toc15051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21</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42F85B87">
      <w:pPr>
        <w:pStyle w:val="34"/>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_Toc28483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第三部分  招标内容及技术要求</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_Toc28483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27A007ED">
      <w:pPr>
        <w:pStyle w:val="34"/>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_Toc31234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第四部分  合同条款及格式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_Toc31234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41</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747A1286">
      <w:pPr>
        <w:pStyle w:val="34"/>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_Toc816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第五部分  投标文件格式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_Toc816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48</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637F16C3">
      <w:pPr>
        <w:pStyle w:val="34"/>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_Toc14616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第六部分  评标办法</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_Toc14616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62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4E39769F">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_Toc25226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（一）总则</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_Toc25226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62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5514D652">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_Toc32262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（二）评标组织</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_Toc32262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62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63E317A0">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_Toc19981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（三）开、评标程序及办法</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_Toc19981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62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1E9356BD">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_Toc30903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（四）评标细则</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_Toc30903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63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5951989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30"/>
          <w:highlight w:val="none"/>
        </w:rPr>
      </w:pPr>
      <w:r>
        <w:rPr>
          <w:rFonts w:hint="eastAsia" w:ascii="宋体" w:hAnsi="宋体" w:eastAsia="宋体" w:cs="宋体"/>
          <w:color w:val="auto"/>
          <w:szCs w:val="21"/>
          <w:highlight w:val="none"/>
        </w:rPr>
        <w:fldChar w:fldCharType="end"/>
      </w:r>
    </w:p>
    <w:p w14:paraId="1C526364">
      <w:pPr>
        <w:pStyle w:val="20"/>
        <w:keepNext w:val="0"/>
        <w:keepLines w:val="0"/>
        <w:pageBreakBefore w:val="0"/>
        <w:widowControl w:val="0"/>
        <w:kinsoku/>
        <w:wordWrap/>
        <w:overflowPunct/>
        <w:topLinePunct w:val="0"/>
        <w:autoSpaceDE/>
        <w:autoSpaceDN/>
        <w:bidi w:val="0"/>
        <w:adjustRightInd/>
        <w:snapToGrid/>
        <w:spacing w:after="50" w:line="360" w:lineRule="auto"/>
        <w:ind w:firstLine="0"/>
        <w:jc w:val="left"/>
        <w:textAlignment w:val="auto"/>
        <w:outlineLvl w:val="0"/>
        <w:rPr>
          <w:rFonts w:hint="eastAsia" w:ascii="宋体" w:hAnsi="宋体" w:eastAsia="宋体" w:cs="宋体"/>
          <w:b/>
          <w:bCs/>
          <w:color w:val="auto"/>
          <w:sz w:val="24"/>
          <w:szCs w:val="24"/>
          <w:highlight w:val="none"/>
        </w:rPr>
        <w:sectPr>
          <w:footerReference r:id="rId3" w:type="default"/>
          <w:pgSz w:w="11907" w:h="16834"/>
          <w:pgMar w:top="1134" w:right="1418" w:bottom="1134" w:left="1418" w:header="851" w:footer="680" w:gutter="0"/>
          <w:pgBorders>
            <w:top w:val="none" w:sz="0" w:space="0"/>
            <w:left w:val="none" w:sz="0" w:space="0"/>
            <w:bottom w:val="none" w:sz="0" w:space="0"/>
            <w:right w:val="none" w:sz="0" w:space="0"/>
          </w:pgBorders>
          <w:pgNumType w:fmt="decimal" w:start="1"/>
          <w:cols w:space="720" w:num="1"/>
          <w:docGrid w:linePitch="372" w:charSpace="6554"/>
        </w:sectPr>
      </w:pPr>
      <w:r>
        <w:rPr>
          <w:rFonts w:hint="eastAsia" w:ascii="宋体" w:hAnsi="宋体" w:eastAsia="宋体" w:cs="宋体"/>
          <w:b/>
          <w:bCs/>
          <w:color w:val="auto"/>
          <w:sz w:val="24"/>
          <w:szCs w:val="24"/>
          <w:highlight w:val="none"/>
        </w:rPr>
        <w:t>注：采购文件中部分加“▲”的条款，为采购的实质性要求和条件，着重提醒各投标人注意（不响应“▲”条款的作无效标处理），带有黑色字体加粗的，为采购文件的重要内容，请投标人审慎阅读；并认真查看采购文件中的每一个条款及要求，因误读采购文件而造成的后果，采购人概不负责。</w:t>
      </w:r>
    </w:p>
    <w:p w14:paraId="3E261548">
      <w:pPr>
        <w:pStyle w:val="20"/>
        <w:spacing w:after="50" w:line="360" w:lineRule="auto"/>
        <w:ind w:firstLine="0"/>
        <w:jc w:val="center"/>
        <w:outlineLvl w:val="0"/>
        <w:rPr>
          <w:rFonts w:hint="eastAsia" w:ascii="宋体" w:hAnsi="宋体" w:eastAsia="宋体" w:cs="宋体"/>
          <w:b/>
          <w:bCs/>
          <w:color w:val="auto"/>
          <w:sz w:val="36"/>
          <w:highlight w:val="none"/>
          <w:lang w:eastAsia="zh-CN"/>
        </w:rPr>
      </w:pPr>
      <w:bookmarkStart w:id="11" w:name="_Toc23232"/>
      <w:bookmarkStart w:id="12" w:name="_Toc25459"/>
      <w:bookmarkStart w:id="13" w:name="_Toc2475"/>
      <w:bookmarkStart w:id="14" w:name="OLE_LINK15"/>
      <w:bookmarkStart w:id="15" w:name="OLE_LINK16"/>
      <w:r>
        <w:rPr>
          <w:rFonts w:hint="eastAsia" w:ascii="宋体" w:hAnsi="宋体" w:eastAsia="宋体" w:cs="宋体"/>
          <w:b/>
          <w:bCs/>
          <w:color w:val="auto"/>
          <w:spacing w:val="-6"/>
          <w:sz w:val="28"/>
          <w:szCs w:val="28"/>
          <w:highlight w:val="none"/>
          <w:lang w:eastAsia="zh-CN"/>
        </w:rPr>
        <w:t>温州市工业与能源集团</w:t>
      </w:r>
      <w:r>
        <w:rPr>
          <w:rFonts w:hint="eastAsia" w:ascii="宋体" w:hAnsi="宋体" w:eastAsia="宋体" w:cs="宋体"/>
          <w:b/>
          <w:bCs/>
          <w:color w:val="auto"/>
          <w:spacing w:val="-6"/>
          <w:sz w:val="28"/>
          <w:szCs w:val="28"/>
          <w:highlight w:val="none"/>
        </w:rPr>
        <w:t>所属</w:t>
      </w:r>
      <w:r>
        <w:rPr>
          <w:rFonts w:hint="eastAsia" w:ascii="宋体" w:hAnsi="宋体" w:eastAsia="宋体" w:cs="宋体"/>
          <w:b/>
          <w:bCs/>
          <w:color w:val="auto"/>
          <w:spacing w:val="-6"/>
          <w:sz w:val="28"/>
          <w:szCs w:val="28"/>
          <w:highlight w:val="none"/>
          <w:lang w:eastAsia="zh-CN"/>
        </w:rPr>
        <w:t>温州瓯瓷产业发展有限公司</w:t>
      </w:r>
      <w:r>
        <w:rPr>
          <w:rFonts w:hint="eastAsia" w:ascii="宋体" w:hAnsi="宋体" w:eastAsia="宋体" w:cs="宋体"/>
          <w:b/>
          <w:bCs/>
          <w:color w:val="auto"/>
          <w:spacing w:val="-6"/>
          <w:sz w:val="28"/>
          <w:szCs w:val="28"/>
          <w:highlight w:val="none"/>
        </w:rPr>
        <w:t>关于</w:t>
      </w:r>
      <w:bookmarkEnd w:id="11"/>
      <w:bookmarkEnd w:id="12"/>
      <w:bookmarkEnd w:id="13"/>
      <w:r>
        <w:rPr>
          <w:rFonts w:hint="eastAsia" w:hAnsi="宋体" w:cs="宋体"/>
          <w:b/>
          <w:bCs/>
          <w:color w:val="auto"/>
          <w:spacing w:val="-6"/>
          <w:sz w:val="28"/>
          <w:szCs w:val="28"/>
          <w:highlight w:val="none"/>
          <w:lang w:eastAsia="zh-CN"/>
        </w:rPr>
        <w:t>瓯窑产业化项目研发生产提效设备-陶艺工作室仪器设备（自主）的</w:t>
      </w:r>
      <w:r>
        <w:rPr>
          <w:rFonts w:hint="eastAsia" w:ascii="宋体" w:hAnsi="宋体" w:eastAsia="宋体" w:cs="宋体"/>
          <w:b/>
          <w:bCs/>
          <w:color w:val="auto"/>
          <w:spacing w:val="-6"/>
          <w:sz w:val="28"/>
          <w:szCs w:val="28"/>
          <w:highlight w:val="none"/>
          <w:lang w:eastAsia="zh-CN"/>
        </w:rPr>
        <w:t>采购公告</w:t>
      </w:r>
    </w:p>
    <w:p w14:paraId="1301B705">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440" w:firstLineChars="200"/>
        <w:jc w:val="both"/>
        <w:textAlignment w:val="auto"/>
        <w:rPr>
          <w:rFonts w:hint="eastAsia" w:ascii="宋体" w:hAnsi="宋体" w:eastAsia="宋体" w:cs="宋体"/>
          <w:b w:val="0"/>
          <w:bCs w:val="0"/>
          <w:color w:val="auto"/>
          <w:sz w:val="22"/>
          <w:szCs w:val="22"/>
          <w:highlight w:val="none"/>
          <w:lang w:val="en-US" w:eastAsia="zh-CN"/>
        </w:rPr>
      </w:pPr>
      <w:r>
        <w:rPr>
          <w:rFonts w:hint="eastAsia" w:ascii="宋体" w:hAnsi="宋体" w:eastAsia="宋体" w:cs="宋体"/>
          <w:bCs/>
          <w:color w:val="auto"/>
          <w:kern w:val="0"/>
          <w:sz w:val="22"/>
          <w:szCs w:val="22"/>
          <w:highlight w:val="none"/>
          <w:lang w:val="en-US" w:eastAsia="zh-CN" w:bidi="ar-SA"/>
        </w:rPr>
        <w:t>根据《温州市市属国有企业采购管理办法》等有关法律、法规的规定，温州市兴城工程造价审计咨询事务所（普通合伙）受温州瓯瓷产业发展有限公司的委托，就温州瓯瓷产业发展有限公司采购的</w:t>
      </w:r>
      <w:r>
        <w:rPr>
          <w:rFonts w:hint="eastAsia" w:ascii="宋体" w:hAnsi="宋体" w:cs="宋体"/>
          <w:color w:val="auto"/>
          <w:sz w:val="22"/>
          <w:szCs w:val="22"/>
          <w:highlight w:val="none"/>
          <w:lang w:eastAsia="zh-CN"/>
        </w:rPr>
        <w:t>瓯窑产业化项目研发生产提效设备-陶艺工作室仪器设备</w:t>
      </w:r>
      <w:r>
        <w:rPr>
          <w:rFonts w:hint="eastAsia" w:ascii="宋体" w:hAnsi="宋体" w:eastAsia="宋体" w:cs="宋体"/>
          <w:bCs/>
          <w:color w:val="auto"/>
          <w:kern w:val="0"/>
          <w:sz w:val="22"/>
          <w:szCs w:val="22"/>
          <w:highlight w:val="none"/>
          <w:lang w:val="en-US" w:eastAsia="zh-CN" w:bidi="ar-SA"/>
        </w:rPr>
        <w:t>以公开招标方式进行采购，欢迎国内合格的投标</w:t>
      </w:r>
      <w:r>
        <w:rPr>
          <w:rFonts w:hint="eastAsia" w:ascii="宋体" w:hAnsi="宋体" w:eastAsia="宋体" w:cs="宋体"/>
          <w:b w:val="0"/>
          <w:bCs w:val="0"/>
          <w:color w:val="auto"/>
          <w:sz w:val="22"/>
          <w:szCs w:val="22"/>
          <w:highlight w:val="none"/>
          <w:lang w:val="en-US" w:eastAsia="zh-CN"/>
        </w:rPr>
        <w:t>供应商前来投标。</w:t>
      </w:r>
    </w:p>
    <w:p w14:paraId="09ED037F">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both"/>
        <w:textAlignment w:val="auto"/>
        <w:rPr>
          <w:rFonts w:hint="eastAsia" w:ascii="宋体" w:hAnsi="宋体" w:eastAsia="宋体" w:cs="宋体"/>
          <w:b w:val="0"/>
          <w:bCs w:val="0"/>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一、公告类型：</w:t>
      </w:r>
      <w:r>
        <w:rPr>
          <w:rFonts w:hint="eastAsia" w:ascii="宋体" w:hAnsi="宋体" w:eastAsia="宋体" w:cs="宋体"/>
          <w:b w:val="0"/>
          <w:bCs w:val="0"/>
          <w:color w:val="auto"/>
          <w:sz w:val="22"/>
          <w:szCs w:val="22"/>
          <w:highlight w:val="none"/>
          <w:lang w:val="en-US" w:eastAsia="zh-CN"/>
        </w:rPr>
        <w:t>采购公告</w:t>
      </w:r>
    </w:p>
    <w:p w14:paraId="0CD03662">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both"/>
        <w:textAlignment w:val="auto"/>
        <w:rPr>
          <w:rFonts w:hint="eastAsia" w:ascii="宋体" w:hAnsi="宋体" w:eastAsia="宋体" w:cs="宋体"/>
          <w:b w:val="0"/>
          <w:bCs w:val="0"/>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二、采购方式：</w:t>
      </w:r>
      <w:r>
        <w:rPr>
          <w:rFonts w:hint="eastAsia" w:ascii="宋体" w:hAnsi="宋体" w:eastAsia="宋体" w:cs="宋体"/>
          <w:b w:val="0"/>
          <w:bCs w:val="0"/>
          <w:color w:val="auto"/>
          <w:sz w:val="22"/>
          <w:szCs w:val="22"/>
          <w:highlight w:val="none"/>
          <w:lang w:val="en-US" w:eastAsia="zh-CN"/>
        </w:rPr>
        <w:t>公开招标</w:t>
      </w:r>
    </w:p>
    <w:p w14:paraId="31A6E999">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both"/>
        <w:textAlignment w:val="auto"/>
        <w:rPr>
          <w:rFonts w:hint="eastAsia" w:ascii="宋体" w:hAnsi="宋体" w:eastAsia="宋体" w:cs="宋体"/>
          <w:color w:val="auto"/>
          <w:sz w:val="22"/>
          <w:szCs w:val="22"/>
          <w:highlight w:val="none"/>
          <w:lang w:val="en-US"/>
        </w:rPr>
      </w:pPr>
      <w:r>
        <w:rPr>
          <w:rFonts w:hint="eastAsia" w:ascii="宋体" w:hAnsi="宋体" w:eastAsia="宋体" w:cs="宋体"/>
          <w:b/>
          <w:bCs/>
          <w:color w:val="auto"/>
          <w:sz w:val="22"/>
          <w:szCs w:val="22"/>
          <w:highlight w:val="none"/>
          <w:lang w:val="en-US" w:eastAsia="zh-CN"/>
        </w:rPr>
        <w:t>三、项目编号：</w:t>
      </w:r>
      <w:r>
        <w:rPr>
          <w:rFonts w:hint="eastAsia" w:ascii="宋体" w:hAnsi="宋体" w:cs="宋体"/>
          <w:b/>
          <w:bCs/>
          <w:color w:val="auto"/>
          <w:sz w:val="22"/>
          <w:szCs w:val="22"/>
          <w:highlight w:val="none"/>
          <w:lang w:val="en-US" w:eastAsia="zh-CN"/>
        </w:rPr>
        <w:t>WGSS-GYNY-Z-2025022</w:t>
      </w:r>
    </w:p>
    <w:p w14:paraId="5D74C1BF">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both"/>
        <w:textAlignment w:val="auto"/>
        <w:rPr>
          <w:rFonts w:hint="eastAsia" w:ascii="宋体" w:hAnsi="宋体" w:eastAsia="宋体" w:cs="宋体"/>
          <w:i w:val="0"/>
          <w:iCs w:val="0"/>
          <w:caps w:val="0"/>
          <w:color w:val="auto"/>
          <w:spacing w:val="0"/>
          <w:sz w:val="22"/>
          <w:szCs w:val="22"/>
          <w:highlight w:val="none"/>
          <w:lang w:eastAsia="zh-CN"/>
        </w:rPr>
      </w:pPr>
      <w:r>
        <w:rPr>
          <w:rStyle w:val="52"/>
          <w:rFonts w:hint="eastAsia" w:ascii="宋体" w:hAnsi="宋体" w:eastAsia="宋体" w:cs="宋体"/>
          <w:i w:val="0"/>
          <w:iCs w:val="0"/>
          <w:caps w:val="0"/>
          <w:color w:val="auto"/>
          <w:spacing w:val="0"/>
          <w:sz w:val="22"/>
          <w:szCs w:val="22"/>
          <w:highlight w:val="none"/>
          <w:lang w:val="en-US" w:eastAsia="zh-CN"/>
        </w:rPr>
        <w:t>四、项目性质：</w:t>
      </w:r>
      <w:r>
        <w:rPr>
          <w:rFonts w:hint="eastAsia" w:ascii="宋体" w:hAnsi="宋体" w:eastAsia="宋体" w:cs="宋体"/>
          <w:i w:val="0"/>
          <w:iCs w:val="0"/>
          <w:caps w:val="0"/>
          <w:color w:val="auto"/>
          <w:spacing w:val="0"/>
          <w:sz w:val="22"/>
          <w:szCs w:val="22"/>
          <w:highlight w:val="none"/>
          <w:lang w:eastAsia="zh-CN"/>
        </w:rPr>
        <w:t>国企采购（非政府采购）</w:t>
      </w:r>
    </w:p>
    <w:p w14:paraId="47F98B29">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both"/>
        <w:textAlignment w:val="auto"/>
        <w:rPr>
          <w:rStyle w:val="52"/>
          <w:rFonts w:hint="eastAsia" w:ascii="宋体" w:hAnsi="宋体" w:eastAsia="宋体" w:cs="宋体"/>
          <w:i w:val="0"/>
          <w:iCs w:val="0"/>
          <w:caps w:val="0"/>
          <w:color w:val="auto"/>
          <w:spacing w:val="0"/>
          <w:sz w:val="22"/>
          <w:szCs w:val="22"/>
          <w:highlight w:val="none"/>
          <w:lang w:val="en-US" w:eastAsia="zh-CN"/>
        </w:rPr>
      </w:pPr>
      <w:r>
        <w:rPr>
          <w:rStyle w:val="52"/>
          <w:rFonts w:hint="eastAsia" w:ascii="宋体" w:hAnsi="宋体" w:eastAsia="宋体" w:cs="宋体"/>
          <w:i w:val="0"/>
          <w:iCs w:val="0"/>
          <w:caps w:val="0"/>
          <w:color w:val="auto"/>
          <w:spacing w:val="0"/>
          <w:sz w:val="22"/>
          <w:szCs w:val="22"/>
          <w:highlight w:val="none"/>
          <w:lang w:val="en-US" w:eastAsia="zh-CN"/>
        </w:rPr>
        <w:t>五、采购内容（具体采购内容及要求见采购文件相关部分）：</w:t>
      </w:r>
    </w:p>
    <w:tbl>
      <w:tblPr>
        <w:tblStyle w:val="50"/>
        <w:tblW w:w="96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6"/>
        <w:gridCol w:w="2655"/>
        <w:gridCol w:w="705"/>
        <w:gridCol w:w="660"/>
        <w:gridCol w:w="1695"/>
        <w:gridCol w:w="3220"/>
      </w:tblGrid>
      <w:tr w14:paraId="0EBF0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7EFD5E6E">
            <w:pPr>
              <w:pStyle w:val="44"/>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line="400" w:lineRule="exact"/>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rPr>
            </w:pPr>
            <w:r>
              <w:rPr>
                <w:rFonts w:hint="eastAsia" w:ascii="宋体" w:hAnsi="宋体" w:eastAsia="宋体" w:cs="宋体"/>
                <w:b w:val="0"/>
                <w:bCs w:val="0"/>
                <w:caps w:val="0"/>
                <w:color w:val="auto"/>
                <w:spacing w:val="0"/>
                <w:sz w:val="22"/>
                <w:szCs w:val="22"/>
                <w:highlight w:val="none"/>
              </w:rPr>
              <w:t>序号</w:t>
            </w:r>
          </w:p>
        </w:tc>
        <w:tc>
          <w:tcPr>
            <w:tcW w:w="2655" w:type="dxa"/>
            <w:vAlign w:val="center"/>
          </w:tcPr>
          <w:p w14:paraId="461ACE2F">
            <w:pPr>
              <w:pStyle w:val="44"/>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line="400" w:lineRule="exact"/>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rPr>
            </w:pPr>
            <w:r>
              <w:rPr>
                <w:rFonts w:hint="eastAsia" w:ascii="宋体" w:hAnsi="宋体" w:eastAsia="宋体" w:cs="宋体"/>
                <w:b w:val="0"/>
                <w:bCs w:val="0"/>
                <w:caps w:val="0"/>
                <w:color w:val="auto"/>
                <w:spacing w:val="0"/>
                <w:sz w:val="22"/>
                <w:szCs w:val="22"/>
                <w:highlight w:val="none"/>
              </w:rPr>
              <w:t>标段名称</w:t>
            </w:r>
          </w:p>
        </w:tc>
        <w:tc>
          <w:tcPr>
            <w:tcW w:w="705" w:type="dxa"/>
            <w:vAlign w:val="center"/>
          </w:tcPr>
          <w:p w14:paraId="0B055107">
            <w:pPr>
              <w:pStyle w:val="44"/>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line="400" w:lineRule="exact"/>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rPr>
            </w:pPr>
            <w:r>
              <w:rPr>
                <w:rFonts w:hint="eastAsia" w:ascii="宋体" w:hAnsi="宋体" w:eastAsia="宋体" w:cs="宋体"/>
                <w:b w:val="0"/>
                <w:bCs w:val="0"/>
                <w:caps w:val="0"/>
                <w:color w:val="auto"/>
                <w:spacing w:val="0"/>
                <w:sz w:val="22"/>
                <w:szCs w:val="22"/>
                <w:highlight w:val="none"/>
              </w:rPr>
              <w:t>数量</w:t>
            </w:r>
          </w:p>
        </w:tc>
        <w:tc>
          <w:tcPr>
            <w:tcW w:w="660" w:type="dxa"/>
            <w:vAlign w:val="center"/>
          </w:tcPr>
          <w:p w14:paraId="76A0A21F">
            <w:pPr>
              <w:pStyle w:val="44"/>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line="400" w:lineRule="exact"/>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rPr>
            </w:pPr>
            <w:r>
              <w:rPr>
                <w:rFonts w:hint="eastAsia" w:ascii="宋体" w:hAnsi="宋体" w:eastAsia="宋体" w:cs="宋体"/>
                <w:b w:val="0"/>
                <w:bCs w:val="0"/>
                <w:caps w:val="0"/>
                <w:color w:val="auto"/>
                <w:spacing w:val="0"/>
                <w:sz w:val="22"/>
                <w:szCs w:val="22"/>
                <w:highlight w:val="none"/>
              </w:rPr>
              <w:t>单位</w:t>
            </w:r>
          </w:p>
        </w:tc>
        <w:tc>
          <w:tcPr>
            <w:tcW w:w="1695" w:type="dxa"/>
            <w:vAlign w:val="center"/>
          </w:tcPr>
          <w:p w14:paraId="01A4031F">
            <w:pPr>
              <w:pStyle w:val="44"/>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line="400" w:lineRule="exact"/>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rPr>
            </w:pPr>
            <w:r>
              <w:rPr>
                <w:rFonts w:hint="eastAsia" w:ascii="宋体" w:hAnsi="宋体" w:eastAsia="宋体" w:cs="宋体"/>
                <w:b w:val="0"/>
                <w:bCs w:val="0"/>
                <w:caps w:val="0"/>
                <w:color w:val="auto"/>
                <w:spacing w:val="0"/>
                <w:sz w:val="22"/>
                <w:szCs w:val="22"/>
                <w:highlight w:val="none"/>
              </w:rPr>
              <w:t>预算金额（</w:t>
            </w:r>
            <w:r>
              <w:rPr>
                <w:rFonts w:hint="eastAsia" w:ascii="宋体" w:hAnsi="宋体" w:eastAsia="宋体" w:cs="宋体"/>
                <w:b w:val="0"/>
                <w:bCs w:val="0"/>
                <w:caps w:val="0"/>
                <w:color w:val="auto"/>
                <w:spacing w:val="0"/>
                <w:sz w:val="22"/>
                <w:szCs w:val="22"/>
                <w:highlight w:val="none"/>
                <w:lang w:val="en-US" w:eastAsia="zh-CN"/>
              </w:rPr>
              <w:t>万</w:t>
            </w:r>
            <w:r>
              <w:rPr>
                <w:rFonts w:hint="eastAsia" w:ascii="宋体" w:hAnsi="宋体" w:eastAsia="宋体" w:cs="宋体"/>
                <w:b w:val="0"/>
                <w:bCs w:val="0"/>
                <w:caps w:val="0"/>
                <w:color w:val="auto"/>
                <w:spacing w:val="0"/>
                <w:sz w:val="22"/>
                <w:szCs w:val="22"/>
                <w:highlight w:val="none"/>
              </w:rPr>
              <w:t>元）</w:t>
            </w:r>
          </w:p>
        </w:tc>
        <w:tc>
          <w:tcPr>
            <w:tcW w:w="3220" w:type="dxa"/>
            <w:vAlign w:val="center"/>
          </w:tcPr>
          <w:p w14:paraId="276D144D">
            <w:pPr>
              <w:pStyle w:val="44"/>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line="400" w:lineRule="exact"/>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rPr>
            </w:pPr>
            <w:r>
              <w:rPr>
                <w:rFonts w:hint="eastAsia" w:ascii="宋体" w:hAnsi="宋体" w:eastAsia="宋体" w:cs="宋体"/>
                <w:b w:val="0"/>
                <w:bCs w:val="0"/>
                <w:caps w:val="0"/>
                <w:color w:val="auto"/>
                <w:spacing w:val="0"/>
                <w:sz w:val="22"/>
                <w:szCs w:val="22"/>
                <w:highlight w:val="none"/>
              </w:rPr>
              <w:t>简要技术要求、用途</w:t>
            </w:r>
          </w:p>
        </w:tc>
      </w:tr>
      <w:tr w14:paraId="42D52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11FA9912">
            <w:pPr>
              <w:pStyle w:val="44"/>
              <w:keepNext w:val="0"/>
              <w:keepLines w:val="0"/>
              <w:pageBreakBefore w:val="0"/>
              <w:kinsoku/>
              <w:wordWrap/>
              <w:overflowPunct/>
              <w:topLinePunct w:val="0"/>
              <w:autoSpaceDE/>
              <w:autoSpaceDN/>
              <w:bidi w:val="0"/>
              <w:adjustRightInd/>
              <w:snapToGrid w:val="0"/>
              <w:spacing w:before="0" w:beforeLines="0" w:beforeAutospacing="0" w:after="0" w:afterLines="0" w:afterAutospacing="0" w:line="400" w:lineRule="exact"/>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lang w:val="en-US" w:eastAsia="zh-CN"/>
              </w:rPr>
            </w:pPr>
            <w:r>
              <w:rPr>
                <w:rFonts w:hint="eastAsia" w:ascii="宋体" w:hAnsi="宋体" w:eastAsia="宋体" w:cs="宋体"/>
                <w:color w:val="auto"/>
                <w:sz w:val="22"/>
                <w:szCs w:val="22"/>
                <w:highlight w:val="none"/>
                <w:lang w:val="en-US" w:eastAsia="zh-CN"/>
              </w:rPr>
              <w:t>1</w:t>
            </w:r>
          </w:p>
        </w:tc>
        <w:tc>
          <w:tcPr>
            <w:tcW w:w="2655" w:type="dxa"/>
            <w:vAlign w:val="center"/>
          </w:tcPr>
          <w:p w14:paraId="21C8064B">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lang w:val="en-US" w:eastAsia="zh-CN"/>
              </w:rPr>
            </w:pPr>
            <w:r>
              <w:rPr>
                <w:rFonts w:hint="eastAsia" w:ascii="宋体" w:hAnsi="宋体" w:cs="宋体"/>
                <w:color w:val="auto"/>
                <w:sz w:val="22"/>
                <w:szCs w:val="22"/>
                <w:highlight w:val="none"/>
                <w:lang w:eastAsia="zh-CN"/>
              </w:rPr>
              <w:t>瓯窑产业化项目研发生产提效设备-陶艺工作室仪器设备</w:t>
            </w:r>
          </w:p>
        </w:tc>
        <w:tc>
          <w:tcPr>
            <w:tcW w:w="705" w:type="dxa"/>
            <w:vAlign w:val="center"/>
          </w:tcPr>
          <w:p w14:paraId="5FE54774">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lang w:val="en-US" w:eastAsia="zh-CN"/>
              </w:rPr>
            </w:pPr>
            <w:r>
              <w:rPr>
                <w:rStyle w:val="52"/>
                <w:rFonts w:hint="eastAsia" w:ascii="宋体" w:hAnsi="宋体" w:eastAsia="宋体" w:cs="宋体"/>
                <w:b w:val="0"/>
                <w:bCs w:val="0"/>
                <w:i w:val="0"/>
                <w:iCs w:val="0"/>
                <w:caps w:val="0"/>
                <w:color w:val="auto"/>
                <w:spacing w:val="0"/>
                <w:sz w:val="22"/>
                <w:szCs w:val="22"/>
                <w:highlight w:val="none"/>
                <w:vertAlign w:val="baseline"/>
                <w:lang w:val="en-US" w:eastAsia="zh-CN"/>
              </w:rPr>
              <w:t>1</w:t>
            </w:r>
          </w:p>
        </w:tc>
        <w:tc>
          <w:tcPr>
            <w:tcW w:w="660" w:type="dxa"/>
            <w:vAlign w:val="center"/>
          </w:tcPr>
          <w:p w14:paraId="475C0CA4">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lang w:val="en-US" w:eastAsia="zh-CN"/>
              </w:rPr>
            </w:pPr>
            <w:r>
              <w:rPr>
                <w:rStyle w:val="52"/>
                <w:rFonts w:hint="eastAsia" w:ascii="宋体" w:hAnsi="宋体" w:eastAsia="宋体" w:cs="宋体"/>
                <w:b w:val="0"/>
                <w:bCs w:val="0"/>
                <w:i w:val="0"/>
                <w:iCs w:val="0"/>
                <w:caps w:val="0"/>
                <w:color w:val="auto"/>
                <w:spacing w:val="0"/>
                <w:sz w:val="22"/>
                <w:szCs w:val="22"/>
                <w:highlight w:val="none"/>
                <w:vertAlign w:val="baseline"/>
                <w:lang w:val="en-US" w:eastAsia="zh-CN"/>
              </w:rPr>
              <w:t>项</w:t>
            </w:r>
          </w:p>
        </w:tc>
        <w:tc>
          <w:tcPr>
            <w:tcW w:w="1695" w:type="dxa"/>
            <w:vAlign w:val="center"/>
          </w:tcPr>
          <w:p w14:paraId="51A3C4CE">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lang w:val="en-US" w:eastAsia="zh-CN"/>
              </w:rPr>
            </w:pPr>
            <w:r>
              <w:rPr>
                <w:rStyle w:val="52"/>
                <w:rFonts w:hint="eastAsia" w:ascii="宋体" w:hAnsi="宋体" w:eastAsia="宋体" w:cs="宋体"/>
                <w:b w:val="0"/>
                <w:bCs w:val="0"/>
                <w:i w:val="0"/>
                <w:iCs w:val="0"/>
                <w:caps w:val="0"/>
                <w:color w:val="auto"/>
                <w:spacing w:val="0"/>
                <w:sz w:val="22"/>
                <w:szCs w:val="22"/>
                <w:highlight w:val="none"/>
                <w:vertAlign w:val="baseline"/>
                <w:lang w:val="en-US" w:eastAsia="zh-CN"/>
              </w:rPr>
              <w:t>96</w:t>
            </w:r>
            <w:r>
              <w:rPr>
                <w:rStyle w:val="52"/>
                <w:rFonts w:hint="eastAsia" w:ascii="宋体" w:hAnsi="宋体" w:cs="宋体"/>
                <w:b w:val="0"/>
                <w:bCs w:val="0"/>
                <w:i w:val="0"/>
                <w:iCs w:val="0"/>
                <w:caps w:val="0"/>
                <w:color w:val="auto"/>
                <w:spacing w:val="0"/>
                <w:sz w:val="22"/>
                <w:szCs w:val="22"/>
                <w:highlight w:val="none"/>
                <w:vertAlign w:val="baseline"/>
                <w:lang w:val="en-US" w:eastAsia="zh-CN"/>
              </w:rPr>
              <w:t>.</w:t>
            </w:r>
            <w:r>
              <w:rPr>
                <w:rStyle w:val="52"/>
                <w:rFonts w:hint="eastAsia" w:ascii="宋体" w:hAnsi="宋体" w:eastAsia="宋体" w:cs="宋体"/>
                <w:b w:val="0"/>
                <w:bCs w:val="0"/>
                <w:i w:val="0"/>
                <w:iCs w:val="0"/>
                <w:caps w:val="0"/>
                <w:color w:val="auto"/>
                <w:spacing w:val="0"/>
                <w:sz w:val="22"/>
                <w:szCs w:val="22"/>
                <w:highlight w:val="none"/>
                <w:vertAlign w:val="baseline"/>
                <w:lang w:val="en-US" w:eastAsia="zh-CN"/>
              </w:rPr>
              <w:t>29</w:t>
            </w:r>
          </w:p>
        </w:tc>
        <w:tc>
          <w:tcPr>
            <w:tcW w:w="3220" w:type="dxa"/>
            <w:vAlign w:val="center"/>
          </w:tcPr>
          <w:p w14:paraId="4071EB9D">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lang w:eastAsia="zh-CN"/>
              </w:rPr>
            </w:pPr>
            <w:r>
              <w:rPr>
                <w:rFonts w:hint="eastAsia" w:ascii="宋体" w:hAnsi="宋体" w:cs="宋体"/>
                <w:color w:val="auto"/>
                <w:sz w:val="22"/>
                <w:szCs w:val="22"/>
                <w:highlight w:val="none"/>
                <w:lang w:eastAsia="zh-CN"/>
              </w:rPr>
              <w:t>瓯窑产业化项目研发生产提效设备-陶艺工作室仪器设备</w:t>
            </w:r>
            <w:r>
              <w:rPr>
                <w:rFonts w:hint="eastAsia" w:ascii="宋体" w:hAnsi="宋体" w:eastAsia="宋体" w:cs="宋体"/>
                <w:color w:val="auto"/>
                <w:sz w:val="22"/>
                <w:szCs w:val="22"/>
                <w:highlight w:val="none"/>
              </w:rPr>
              <w:t>，详见本招标文件第三部分</w:t>
            </w:r>
          </w:p>
        </w:tc>
      </w:tr>
    </w:tbl>
    <w:p w14:paraId="2CD9A300">
      <w:pPr>
        <w:keepNext w:val="0"/>
        <w:keepLines w:val="0"/>
        <w:pageBreakBefore w:val="0"/>
        <w:kinsoku/>
        <w:wordWrap/>
        <w:overflowPunct/>
        <w:topLinePunct w:val="0"/>
        <w:autoSpaceDE/>
        <w:autoSpaceDN/>
        <w:bidi w:val="0"/>
        <w:adjustRightInd/>
        <w:snapToGrid/>
        <w:spacing w:line="400" w:lineRule="exact"/>
        <w:textAlignment w:val="auto"/>
        <w:outlineLvl w:val="9"/>
        <w:rPr>
          <w:rFonts w:hint="eastAsia" w:ascii="宋体" w:hAnsi="宋体" w:eastAsia="宋体" w:cs="宋体"/>
          <w:b/>
          <w:bCs w:val="0"/>
          <w:color w:val="auto"/>
          <w:sz w:val="22"/>
          <w:szCs w:val="22"/>
          <w:highlight w:val="none"/>
        </w:rPr>
      </w:pPr>
      <w:bookmarkStart w:id="16" w:name="OLE_LINK10"/>
      <w:r>
        <w:rPr>
          <w:rFonts w:hint="eastAsia" w:ascii="宋体" w:hAnsi="宋体" w:eastAsia="宋体" w:cs="宋体"/>
          <w:b/>
          <w:bCs w:val="0"/>
          <w:color w:val="auto"/>
          <w:sz w:val="22"/>
          <w:szCs w:val="22"/>
          <w:highlight w:val="none"/>
          <w:lang w:val="en-US" w:eastAsia="zh-CN"/>
        </w:rPr>
        <w:t>六</w:t>
      </w:r>
      <w:r>
        <w:rPr>
          <w:rFonts w:hint="eastAsia" w:ascii="宋体" w:hAnsi="宋体" w:eastAsia="宋体" w:cs="宋体"/>
          <w:b/>
          <w:bCs w:val="0"/>
          <w:color w:val="auto"/>
          <w:sz w:val="22"/>
          <w:szCs w:val="22"/>
          <w:highlight w:val="none"/>
        </w:rPr>
        <w:t>、申请人的资格要求：</w:t>
      </w:r>
    </w:p>
    <w:p w14:paraId="7DCC70AC">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1.满足</w:t>
      </w:r>
      <w:r>
        <w:rPr>
          <w:rFonts w:hint="eastAsia" w:ascii="宋体" w:hAnsi="宋体" w:eastAsia="宋体" w:cs="宋体"/>
          <w:color w:val="auto"/>
          <w:sz w:val="22"/>
          <w:szCs w:val="22"/>
          <w:highlight w:val="none"/>
          <w:lang w:eastAsia="zh-CN"/>
        </w:rPr>
        <w:t>《温州市市属国有企业采购管理办法》第十</w:t>
      </w:r>
      <w:r>
        <w:rPr>
          <w:rFonts w:hint="eastAsia" w:ascii="宋体" w:hAnsi="宋体" w:eastAsia="宋体" w:cs="宋体"/>
          <w:color w:val="auto"/>
          <w:sz w:val="22"/>
          <w:szCs w:val="22"/>
          <w:highlight w:val="none"/>
          <w:lang w:val="en-US" w:eastAsia="zh-CN"/>
        </w:rPr>
        <w:t>八</w:t>
      </w:r>
      <w:r>
        <w:rPr>
          <w:rFonts w:hint="eastAsia" w:ascii="宋体" w:hAnsi="宋体" w:eastAsia="宋体" w:cs="宋体"/>
          <w:color w:val="auto"/>
          <w:sz w:val="22"/>
          <w:szCs w:val="22"/>
          <w:highlight w:val="none"/>
          <w:lang w:eastAsia="zh-CN"/>
        </w:rPr>
        <w:t>条</w:t>
      </w:r>
      <w:r>
        <w:rPr>
          <w:rFonts w:hint="eastAsia" w:ascii="宋体" w:hAnsi="宋体" w:eastAsia="宋体" w:cs="宋体"/>
          <w:color w:val="auto"/>
          <w:sz w:val="22"/>
          <w:szCs w:val="22"/>
          <w:highlight w:val="none"/>
        </w:rPr>
        <w:t>规定；</w:t>
      </w:r>
    </w:p>
    <w:p w14:paraId="5EAD0905">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2.未被“信用中国”（www.creditchina.gov.cn)、中国政府采购网（www.ccgp.gov.cn）列入失信被执行人、重大税收违法案件当事人名单、政府采购严重违法失信行为记录名单；</w:t>
      </w:r>
    </w:p>
    <w:p w14:paraId="1BE6C0A9">
      <w:pPr>
        <w:keepNext w:val="0"/>
        <w:keepLines w:val="0"/>
        <w:pageBreakBefore w:val="0"/>
        <w:widowControl/>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本项目的特定资格要求</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kern w:val="0"/>
          <w:sz w:val="22"/>
          <w:szCs w:val="22"/>
          <w:highlight w:val="none"/>
          <w:lang w:eastAsia="zh-CN"/>
        </w:rPr>
        <w:t>无</w:t>
      </w:r>
      <w:r>
        <w:rPr>
          <w:rFonts w:hint="eastAsia" w:ascii="宋体" w:hAnsi="宋体" w:eastAsia="宋体" w:cs="宋体"/>
          <w:color w:val="auto"/>
          <w:sz w:val="22"/>
          <w:szCs w:val="22"/>
          <w:highlight w:val="none"/>
        </w:rPr>
        <w:t>；</w:t>
      </w:r>
    </w:p>
    <w:p w14:paraId="52A21A8F">
      <w:pPr>
        <w:keepNext w:val="0"/>
        <w:keepLines w:val="0"/>
        <w:pageBreakBefore w:val="0"/>
        <w:widowControl/>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4.本项目</w:t>
      </w:r>
      <w:r>
        <w:rPr>
          <w:rFonts w:hint="eastAsia" w:ascii="宋体" w:hAnsi="宋体" w:eastAsia="宋体" w:cs="宋体"/>
          <w:color w:val="auto"/>
          <w:sz w:val="22"/>
          <w:szCs w:val="22"/>
          <w:highlight w:val="none"/>
          <w:u w:val="single"/>
          <w:lang w:val="en-US" w:eastAsia="zh-CN"/>
        </w:rPr>
        <w:t>不接受</w:t>
      </w:r>
      <w:r>
        <w:rPr>
          <w:rFonts w:hint="eastAsia" w:ascii="宋体" w:hAnsi="宋体" w:eastAsia="宋体" w:cs="宋体"/>
          <w:color w:val="auto"/>
          <w:sz w:val="22"/>
          <w:szCs w:val="22"/>
          <w:highlight w:val="none"/>
          <w:lang w:val="en-US" w:eastAsia="zh-CN"/>
        </w:rPr>
        <w:t>联合体投标。</w:t>
      </w:r>
    </w:p>
    <w:bookmarkEnd w:id="16"/>
    <w:p w14:paraId="0B614790">
      <w:pPr>
        <w:keepNext w:val="0"/>
        <w:keepLines w:val="0"/>
        <w:pageBreakBefore w:val="0"/>
        <w:kinsoku/>
        <w:wordWrap/>
        <w:overflowPunct/>
        <w:topLinePunct w:val="0"/>
        <w:autoSpaceDE/>
        <w:autoSpaceDN/>
        <w:bidi w:val="0"/>
        <w:adjustRightInd/>
        <w:snapToGrid/>
        <w:spacing w:line="400" w:lineRule="exact"/>
        <w:textAlignment w:val="auto"/>
        <w:outlineLvl w:val="9"/>
        <w:rPr>
          <w:rFonts w:hint="eastAsia" w:ascii="宋体" w:hAnsi="宋体" w:eastAsia="宋体" w:cs="宋体"/>
          <w:b/>
          <w:bCs w:val="0"/>
          <w:color w:val="auto"/>
          <w:sz w:val="22"/>
          <w:szCs w:val="22"/>
          <w:highlight w:val="none"/>
          <w:lang w:eastAsia="zh-CN"/>
        </w:rPr>
      </w:pPr>
      <w:bookmarkStart w:id="17" w:name="_Toc35393792"/>
      <w:bookmarkStart w:id="18" w:name="_Toc35393623"/>
      <w:r>
        <w:rPr>
          <w:rFonts w:hint="eastAsia" w:ascii="宋体" w:hAnsi="宋体" w:eastAsia="宋体" w:cs="宋体"/>
          <w:b/>
          <w:bCs w:val="0"/>
          <w:color w:val="auto"/>
          <w:sz w:val="22"/>
          <w:szCs w:val="22"/>
          <w:highlight w:val="none"/>
          <w:lang w:val="en-US" w:eastAsia="zh-CN"/>
        </w:rPr>
        <w:t>七</w:t>
      </w:r>
      <w:r>
        <w:rPr>
          <w:rFonts w:hint="eastAsia" w:ascii="宋体" w:hAnsi="宋体" w:eastAsia="宋体" w:cs="宋体"/>
          <w:b/>
          <w:bCs w:val="0"/>
          <w:color w:val="auto"/>
          <w:sz w:val="22"/>
          <w:szCs w:val="22"/>
          <w:highlight w:val="none"/>
        </w:rPr>
        <w:t>、</w:t>
      </w:r>
      <w:bookmarkEnd w:id="17"/>
      <w:bookmarkEnd w:id="18"/>
      <w:r>
        <w:rPr>
          <w:rFonts w:hint="eastAsia" w:ascii="宋体" w:hAnsi="宋体" w:eastAsia="宋体" w:cs="宋体"/>
          <w:b/>
          <w:bCs w:val="0"/>
          <w:color w:val="auto"/>
          <w:sz w:val="22"/>
          <w:szCs w:val="22"/>
          <w:highlight w:val="none"/>
          <w:lang w:val="en-US" w:eastAsia="zh-CN"/>
        </w:rPr>
        <w:t>获取</w:t>
      </w:r>
      <w:r>
        <w:rPr>
          <w:rFonts w:hint="eastAsia" w:ascii="宋体" w:hAnsi="宋体" w:eastAsia="宋体" w:cs="宋体"/>
          <w:b/>
          <w:bCs w:val="0"/>
          <w:color w:val="auto"/>
          <w:sz w:val="22"/>
          <w:szCs w:val="22"/>
          <w:highlight w:val="none"/>
        </w:rPr>
        <w:t>招标文件的时间及地点等</w:t>
      </w:r>
      <w:r>
        <w:rPr>
          <w:rFonts w:hint="eastAsia" w:ascii="宋体" w:hAnsi="宋体" w:eastAsia="宋体" w:cs="宋体"/>
          <w:b/>
          <w:bCs w:val="0"/>
          <w:color w:val="auto"/>
          <w:sz w:val="22"/>
          <w:szCs w:val="22"/>
          <w:highlight w:val="none"/>
          <w:lang w:eastAsia="zh-CN"/>
        </w:rPr>
        <w:t>：</w:t>
      </w:r>
    </w:p>
    <w:p w14:paraId="7D6D59B0">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时间：</w:t>
      </w:r>
      <w:r>
        <w:rPr>
          <w:rFonts w:hint="eastAsia" w:ascii="宋体" w:hAnsi="宋体" w:cs="宋体"/>
          <w:color w:val="auto"/>
          <w:sz w:val="22"/>
          <w:szCs w:val="22"/>
          <w:highlight w:val="none"/>
          <w:u w:val="single"/>
          <w:lang w:val="en-US" w:eastAsia="zh-CN"/>
        </w:rPr>
        <w:t>公告发布之日起至投标截止时间</w:t>
      </w:r>
      <w:r>
        <w:rPr>
          <w:rFonts w:hint="eastAsia" w:ascii="宋体" w:hAnsi="宋体" w:eastAsia="宋体" w:cs="宋体"/>
          <w:color w:val="auto"/>
          <w:sz w:val="22"/>
          <w:szCs w:val="22"/>
          <w:highlight w:val="none"/>
        </w:rPr>
        <w:t>，每天上午00:00至12:00，下午12:00至23:59（北京时间，线上获取法定节假日均可，线下获取文件法定节假日除外</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未购买</w:t>
      </w:r>
      <w:r>
        <w:rPr>
          <w:rFonts w:hint="eastAsia" w:ascii="宋体" w:hAnsi="宋体" w:eastAsia="宋体" w:cs="宋体"/>
          <w:color w:val="auto"/>
          <w:sz w:val="22"/>
          <w:szCs w:val="22"/>
          <w:highlight w:val="none"/>
          <w:lang w:eastAsia="zh-CN"/>
        </w:rPr>
        <w:t>招标</w:t>
      </w:r>
      <w:r>
        <w:rPr>
          <w:rFonts w:hint="eastAsia" w:ascii="宋体" w:hAnsi="宋体" w:eastAsia="宋体" w:cs="宋体"/>
          <w:color w:val="auto"/>
          <w:sz w:val="22"/>
          <w:szCs w:val="22"/>
          <w:highlight w:val="none"/>
        </w:rPr>
        <w:t>文件的潜在供应商拒绝参加投标。）</w:t>
      </w:r>
      <w:r>
        <w:rPr>
          <w:rFonts w:hint="eastAsia" w:ascii="宋体" w:hAnsi="宋体" w:eastAsia="宋体" w:cs="宋体"/>
          <w:b w:val="0"/>
          <w:bCs/>
          <w:color w:val="auto"/>
          <w:sz w:val="22"/>
          <w:szCs w:val="22"/>
          <w:highlight w:val="none"/>
          <w:lang w:eastAsia="zh-CN"/>
        </w:rPr>
        <w:t>；</w:t>
      </w:r>
    </w:p>
    <w:p w14:paraId="6A3232F0">
      <w:pPr>
        <w:keepNext w:val="0"/>
        <w:keepLines w:val="0"/>
        <w:pageBreakBefore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方式：供应商登录乐采云平台https://www.lecaiyun.com/在线申请获取采购文件（进入“项目采购”应用，在获取采购文件菜单中选择项目，申请获取</w:t>
      </w:r>
      <w:r>
        <w:rPr>
          <w:rFonts w:hint="eastAsia" w:ascii="宋体" w:hAnsi="宋体" w:eastAsia="宋体" w:cs="宋体"/>
          <w:color w:val="auto"/>
          <w:sz w:val="22"/>
          <w:szCs w:val="22"/>
          <w:highlight w:val="none"/>
          <w:lang w:val="en-US" w:eastAsia="zh-CN"/>
        </w:rPr>
        <w:t>招标</w:t>
      </w:r>
      <w:r>
        <w:rPr>
          <w:rFonts w:hint="eastAsia" w:ascii="宋体" w:hAnsi="宋体" w:eastAsia="宋体" w:cs="宋体"/>
          <w:color w:val="auto"/>
          <w:sz w:val="22"/>
          <w:szCs w:val="22"/>
          <w:highlight w:val="none"/>
        </w:rPr>
        <w:t>文件）。</w:t>
      </w:r>
    </w:p>
    <w:p w14:paraId="251E43C7">
      <w:pPr>
        <w:keepNext w:val="0"/>
        <w:keepLines w:val="0"/>
        <w:pageBreakBefore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地点（网址）：</w:t>
      </w:r>
      <w:r>
        <w:rPr>
          <w:rFonts w:hint="eastAsia" w:ascii="宋体" w:hAnsi="宋体" w:eastAsia="宋体" w:cs="宋体"/>
          <w:color w:val="auto"/>
          <w:sz w:val="22"/>
          <w:szCs w:val="22"/>
          <w:highlight w:val="none"/>
          <w:u w:val="single"/>
          <w:lang w:eastAsia="zh-CN"/>
        </w:rPr>
        <w:t>乐采云平台（www.lecaiyun.com）；</w:t>
      </w:r>
    </w:p>
    <w:p w14:paraId="007D997F">
      <w:pPr>
        <w:keepNext w:val="0"/>
        <w:keepLines w:val="0"/>
        <w:pageBreakBefore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售价（元）：</w:t>
      </w:r>
      <w:r>
        <w:rPr>
          <w:rFonts w:hint="eastAsia" w:ascii="宋体" w:hAnsi="宋体" w:eastAsia="宋体" w:cs="宋体"/>
          <w:color w:val="auto"/>
          <w:sz w:val="22"/>
          <w:szCs w:val="22"/>
          <w:highlight w:val="none"/>
          <w:lang w:val="en-US" w:eastAsia="zh-CN"/>
        </w:rPr>
        <w:t>500</w:t>
      </w:r>
      <w:r>
        <w:rPr>
          <w:rFonts w:hint="eastAsia" w:ascii="宋体" w:hAnsi="宋体" w:eastAsia="宋体" w:cs="宋体"/>
          <w:color w:val="auto"/>
          <w:sz w:val="22"/>
          <w:szCs w:val="22"/>
          <w:highlight w:val="none"/>
        </w:rPr>
        <w:t>（售后不退）</w:t>
      </w:r>
    </w:p>
    <w:p w14:paraId="63EDCD6A">
      <w:pPr>
        <w:keepNext w:val="0"/>
        <w:keepLines w:val="0"/>
        <w:pageBreakBefore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"mailto:网上报名后，请将标书购买费汇入代理公司账户（缴纳报名费后将缴费截图、开票信息等资料发代理机构电子邮箱228967618@qq.com，并马上联系采购代理公司审核）。"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网上报名后，请将标书购买费汇入代理公司账户（缴纳报名费后将缴费截图、开票信息等资料发代理机构电子邮箱</w:t>
      </w:r>
      <w:r>
        <w:rPr>
          <w:rFonts w:hint="eastAsia" w:ascii="宋体" w:hAnsi="宋体" w:eastAsia="宋体" w:cs="宋体"/>
          <w:color w:val="auto"/>
          <w:sz w:val="22"/>
          <w:szCs w:val="22"/>
          <w:highlight w:val="none"/>
          <w:lang w:eastAsia="zh-CN"/>
        </w:rPr>
        <w:t>1589009783@qq.com</w:t>
      </w:r>
      <w:r>
        <w:rPr>
          <w:rFonts w:hint="eastAsia" w:ascii="宋体" w:hAnsi="宋体" w:eastAsia="宋体" w:cs="宋体"/>
          <w:color w:val="auto"/>
          <w:sz w:val="22"/>
          <w:szCs w:val="22"/>
          <w:highlight w:val="none"/>
        </w:rPr>
        <w:t>，并马上联系采购代理公司审核</w:t>
      </w:r>
      <w:r>
        <w:rPr>
          <w:rFonts w:hint="eastAsia" w:ascii="宋体" w:hAnsi="宋体" w:eastAsia="宋体" w:cs="宋体"/>
          <w:color w:val="auto"/>
          <w:sz w:val="22"/>
          <w:szCs w:val="22"/>
          <w:highlight w:val="none"/>
          <w:lang w:eastAsia="zh-CN"/>
        </w:rPr>
        <w:t>通过</w:t>
      </w:r>
      <w:r>
        <w:rPr>
          <w:rFonts w:hint="eastAsia" w:ascii="宋体" w:hAnsi="宋体" w:eastAsia="宋体" w:cs="宋体"/>
          <w:color w:val="auto"/>
          <w:sz w:val="22"/>
          <w:szCs w:val="22"/>
          <w:highlight w:val="none"/>
        </w:rPr>
        <w:t>）。</w:t>
      </w:r>
      <w:r>
        <w:rPr>
          <w:rFonts w:hint="eastAsia" w:ascii="宋体" w:hAnsi="宋体" w:eastAsia="宋体" w:cs="宋体"/>
          <w:color w:val="auto"/>
          <w:sz w:val="22"/>
          <w:szCs w:val="22"/>
          <w:highlight w:val="none"/>
        </w:rPr>
        <w:fldChar w:fldCharType="end"/>
      </w:r>
    </w:p>
    <w:p w14:paraId="6096BA21">
      <w:pPr>
        <w:keepNext w:val="0"/>
        <w:keepLines w:val="0"/>
        <w:pageBreakBefore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标书款汇入账户信息：</w:t>
      </w:r>
    </w:p>
    <w:p w14:paraId="3BFC1A0D">
      <w:pPr>
        <w:keepNext w:val="0"/>
        <w:keepLines w:val="0"/>
        <w:pageBreakBefore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宋体"/>
          <w:color w:val="auto"/>
          <w:sz w:val="22"/>
          <w:szCs w:val="22"/>
          <w:highlight w:val="none"/>
          <w:u w:val="none"/>
          <w:lang w:eastAsia="zh-CN"/>
        </w:rPr>
      </w:pPr>
      <w:r>
        <w:rPr>
          <w:rFonts w:hint="eastAsia" w:ascii="宋体" w:hAnsi="宋体" w:eastAsia="宋体" w:cs="宋体"/>
          <w:color w:val="auto"/>
          <w:sz w:val="22"/>
          <w:szCs w:val="22"/>
          <w:highlight w:val="none"/>
        </w:rPr>
        <w:t>单 位 名 称：</w:t>
      </w:r>
      <w:r>
        <w:rPr>
          <w:rFonts w:hint="eastAsia" w:ascii="宋体" w:hAnsi="宋体" w:eastAsia="宋体" w:cs="宋体"/>
          <w:color w:val="auto"/>
          <w:sz w:val="22"/>
          <w:szCs w:val="22"/>
          <w:highlight w:val="none"/>
          <w:u w:val="none"/>
          <w:lang w:eastAsia="zh-CN"/>
        </w:rPr>
        <w:t>温州市兴城工程造价审计咨询事务所（普通合伙）</w:t>
      </w:r>
    </w:p>
    <w:p w14:paraId="5DAA9392">
      <w:pPr>
        <w:keepNext w:val="0"/>
        <w:keepLines w:val="0"/>
        <w:pageBreakBefore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开 户 银 行：</w:t>
      </w:r>
      <w:r>
        <w:rPr>
          <w:rFonts w:hint="eastAsia" w:ascii="宋体" w:hAnsi="宋体" w:eastAsia="宋体" w:cs="宋体"/>
          <w:color w:val="auto"/>
          <w:sz w:val="22"/>
          <w:szCs w:val="22"/>
          <w:highlight w:val="none"/>
          <w:lang w:eastAsia="zh-CN"/>
        </w:rPr>
        <w:t>兴业银行股份有限公司温州鹿城支行</w:t>
      </w:r>
    </w:p>
    <w:p w14:paraId="76E6E246">
      <w:pPr>
        <w:keepNext w:val="0"/>
        <w:keepLines w:val="0"/>
        <w:pageBreakBefore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账 号：</w:t>
      </w:r>
      <w:r>
        <w:rPr>
          <w:rFonts w:hint="eastAsia" w:ascii="宋体" w:hAnsi="宋体" w:eastAsia="宋体" w:cs="宋体"/>
          <w:color w:val="auto"/>
          <w:sz w:val="22"/>
          <w:szCs w:val="22"/>
          <w:highlight w:val="none"/>
          <w:lang w:eastAsia="zh-CN"/>
        </w:rPr>
        <w:t>355 860 100 1000 51218</w:t>
      </w:r>
    </w:p>
    <w:p w14:paraId="1E6B5C3C">
      <w:pPr>
        <w:keepNext w:val="0"/>
        <w:keepLines w:val="0"/>
        <w:pageBreakBefore w:val="0"/>
        <w:kinsoku/>
        <w:wordWrap/>
        <w:overflowPunct/>
        <w:topLinePunct w:val="0"/>
        <w:autoSpaceDE/>
        <w:autoSpaceDN/>
        <w:bidi w:val="0"/>
        <w:adjustRightInd/>
        <w:snapToGrid/>
        <w:spacing w:line="400" w:lineRule="exact"/>
        <w:textAlignment w:val="auto"/>
        <w:outlineLvl w:val="9"/>
        <w:rPr>
          <w:rFonts w:hint="eastAsia" w:ascii="宋体" w:hAnsi="宋体" w:eastAsia="宋体" w:cs="宋体"/>
          <w:b/>
          <w:bCs w:val="0"/>
          <w:color w:val="auto"/>
          <w:sz w:val="22"/>
          <w:szCs w:val="22"/>
          <w:highlight w:val="none"/>
          <w:lang w:eastAsia="zh-CN"/>
        </w:rPr>
      </w:pPr>
      <w:bookmarkStart w:id="19" w:name="_Toc35393793"/>
      <w:bookmarkStart w:id="20" w:name="_Toc28359082"/>
      <w:bookmarkStart w:id="21" w:name="_Toc35393624"/>
      <w:bookmarkStart w:id="22" w:name="_Toc28359005"/>
      <w:r>
        <w:rPr>
          <w:rFonts w:hint="eastAsia" w:ascii="宋体" w:hAnsi="宋体" w:eastAsia="宋体" w:cs="宋体"/>
          <w:b/>
          <w:bCs w:val="0"/>
          <w:color w:val="auto"/>
          <w:sz w:val="22"/>
          <w:szCs w:val="22"/>
          <w:highlight w:val="none"/>
          <w:lang w:val="en-US" w:eastAsia="zh-CN"/>
        </w:rPr>
        <w:t>八</w:t>
      </w:r>
      <w:r>
        <w:rPr>
          <w:rFonts w:hint="eastAsia" w:ascii="宋体" w:hAnsi="宋体" w:eastAsia="宋体" w:cs="宋体"/>
          <w:b/>
          <w:bCs w:val="0"/>
          <w:color w:val="auto"/>
          <w:sz w:val="22"/>
          <w:szCs w:val="22"/>
          <w:highlight w:val="none"/>
        </w:rPr>
        <w:t>、</w:t>
      </w:r>
      <w:bookmarkEnd w:id="19"/>
      <w:bookmarkEnd w:id="20"/>
      <w:bookmarkEnd w:id="21"/>
      <w:bookmarkEnd w:id="22"/>
      <w:r>
        <w:rPr>
          <w:rFonts w:hint="eastAsia" w:ascii="宋体" w:hAnsi="宋体" w:eastAsia="宋体" w:cs="宋体"/>
          <w:b/>
          <w:bCs w:val="0"/>
          <w:color w:val="auto"/>
          <w:sz w:val="22"/>
          <w:szCs w:val="22"/>
          <w:highlight w:val="none"/>
        </w:rPr>
        <w:t>提交投标文件截止时间、开标时间和地点</w:t>
      </w:r>
      <w:r>
        <w:rPr>
          <w:rFonts w:hint="eastAsia" w:ascii="宋体" w:hAnsi="宋体" w:eastAsia="宋体" w:cs="宋体"/>
          <w:b/>
          <w:bCs w:val="0"/>
          <w:color w:val="auto"/>
          <w:sz w:val="22"/>
          <w:szCs w:val="22"/>
          <w:highlight w:val="none"/>
          <w:lang w:eastAsia="zh-CN"/>
        </w:rPr>
        <w:t>：</w:t>
      </w:r>
    </w:p>
    <w:p w14:paraId="5BA3CD69">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宋体"/>
          <w:bCs/>
          <w:color w:val="auto"/>
          <w:sz w:val="22"/>
          <w:szCs w:val="22"/>
          <w:highlight w:val="none"/>
          <w:u w:val="single"/>
          <w:lang w:eastAsia="zh-CN"/>
        </w:rPr>
      </w:pPr>
      <w:r>
        <w:rPr>
          <w:rFonts w:hint="eastAsia" w:ascii="宋体" w:hAnsi="宋体" w:eastAsia="宋体" w:cs="宋体"/>
          <w:bCs/>
          <w:color w:val="auto"/>
          <w:sz w:val="22"/>
          <w:szCs w:val="22"/>
          <w:highlight w:val="none"/>
        </w:rPr>
        <w:t>提交投标文件截止时间：</w:t>
      </w:r>
      <w:r>
        <w:rPr>
          <w:rFonts w:hint="eastAsia" w:ascii="宋体" w:hAnsi="宋体" w:cs="宋体"/>
          <w:bCs/>
          <w:color w:val="auto"/>
          <w:sz w:val="22"/>
          <w:szCs w:val="22"/>
          <w:highlight w:val="none"/>
          <w:lang w:val="en-US" w:eastAsia="zh-CN"/>
        </w:rPr>
        <w:t>2025年12月8日</w:t>
      </w:r>
      <w:r>
        <w:rPr>
          <w:rFonts w:hint="eastAsia" w:ascii="宋体" w:hAnsi="宋体" w:eastAsia="宋体" w:cs="宋体"/>
          <w:bCs/>
          <w:color w:val="auto"/>
          <w:sz w:val="22"/>
          <w:szCs w:val="22"/>
          <w:highlight w:val="none"/>
          <w:lang w:val="en-US" w:eastAsia="zh-CN"/>
        </w:rPr>
        <w:t>09:30止</w:t>
      </w:r>
      <w:r>
        <w:rPr>
          <w:rFonts w:hint="eastAsia" w:ascii="宋体" w:hAnsi="宋体" w:eastAsia="宋体" w:cs="宋体"/>
          <w:bCs/>
          <w:color w:val="auto"/>
          <w:sz w:val="22"/>
          <w:szCs w:val="22"/>
          <w:highlight w:val="none"/>
        </w:rPr>
        <w:t>（北京时间）</w:t>
      </w:r>
      <w:r>
        <w:rPr>
          <w:rFonts w:hint="eastAsia" w:ascii="宋体" w:hAnsi="宋体" w:eastAsia="宋体" w:cs="宋体"/>
          <w:bCs/>
          <w:color w:val="auto"/>
          <w:sz w:val="22"/>
          <w:szCs w:val="22"/>
          <w:highlight w:val="none"/>
          <w:lang w:eastAsia="zh-CN"/>
        </w:rPr>
        <w:t>；</w:t>
      </w:r>
    </w:p>
    <w:p w14:paraId="0256B24C">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宋体"/>
          <w:color w:val="auto"/>
          <w:sz w:val="22"/>
          <w:szCs w:val="22"/>
          <w:highlight w:val="none"/>
          <w:u w:val="single"/>
          <w:lang w:eastAsia="zh-CN"/>
        </w:rPr>
      </w:pPr>
      <w:r>
        <w:rPr>
          <w:rFonts w:hint="eastAsia" w:ascii="宋体" w:hAnsi="宋体" w:eastAsia="宋体" w:cs="宋体"/>
          <w:color w:val="auto"/>
          <w:sz w:val="22"/>
          <w:szCs w:val="22"/>
          <w:highlight w:val="none"/>
        </w:rPr>
        <w:t>投标地点：</w:t>
      </w:r>
      <w:r>
        <w:rPr>
          <w:rFonts w:hint="eastAsia" w:ascii="宋体" w:hAnsi="宋体" w:eastAsia="宋体" w:cs="宋体"/>
          <w:color w:val="auto"/>
          <w:sz w:val="22"/>
          <w:szCs w:val="22"/>
          <w:highlight w:val="none"/>
          <w:u w:val="single"/>
        </w:rPr>
        <w:t>通过“</w:t>
      </w:r>
      <w:r>
        <w:rPr>
          <w:rFonts w:hint="eastAsia" w:ascii="宋体" w:hAnsi="宋体" w:eastAsia="宋体" w:cs="宋体"/>
          <w:color w:val="auto"/>
          <w:sz w:val="22"/>
          <w:szCs w:val="22"/>
          <w:highlight w:val="none"/>
          <w:u w:val="single"/>
          <w:lang w:eastAsia="zh-CN"/>
        </w:rPr>
        <w:t>乐采云平台</w:t>
      </w:r>
      <w:r>
        <w:rPr>
          <w:rFonts w:hint="eastAsia" w:ascii="宋体" w:hAnsi="宋体" w:eastAsia="宋体" w:cs="宋体"/>
          <w:color w:val="auto"/>
          <w:sz w:val="22"/>
          <w:szCs w:val="22"/>
          <w:highlight w:val="none"/>
          <w:u w:val="single"/>
        </w:rPr>
        <w:t>（www.lecaiyun.com）”，实行在线投标响应（电子投标）。</w:t>
      </w:r>
    </w:p>
    <w:p w14:paraId="41A5F27D">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宋体"/>
          <w:bCs/>
          <w:color w:val="auto"/>
          <w:sz w:val="22"/>
          <w:szCs w:val="22"/>
          <w:highlight w:val="none"/>
          <w:u w:val="single"/>
          <w:lang w:val="en-US"/>
        </w:rPr>
      </w:pPr>
      <w:r>
        <w:rPr>
          <w:rFonts w:hint="eastAsia" w:ascii="宋体" w:hAnsi="宋体" w:eastAsia="宋体" w:cs="宋体"/>
          <w:bCs/>
          <w:color w:val="auto"/>
          <w:sz w:val="22"/>
          <w:szCs w:val="22"/>
          <w:highlight w:val="none"/>
        </w:rPr>
        <w:t>开标时间：</w:t>
      </w:r>
      <w:r>
        <w:rPr>
          <w:rFonts w:hint="eastAsia" w:ascii="宋体" w:hAnsi="宋体" w:cs="宋体"/>
          <w:bCs/>
          <w:color w:val="auto"/>
          <w:sz w:val="22"/>
          <w:szCs w:val="22"/>
          <w:highlight w:val="none"/>
          <w:lang w:val="en-US" w:eastAsia="zh-CN"/>
        </w:rPr>
        <w:t>2025年12月8日</w:t>
      </w:r>
      <w:r>
        <w:rPr>
          <w:rFonts w:hint="eastAsia" w:ascii="宋体" w:hAnsi="宋体" w:eastAsia="宋体" w:cs="宋体"/>
          <w:bCs/>
          <w:color w:val="auto"/>
          <w:sz w:val="22"/>
          <w:szCs w:val="22"/>
          <w:highlight w:val="none"/>
          <w:lang w:val="en-US" w:eastAsia="zh-CN"/>
        </w:rPr>
        <w:t>09:30；</w:t>
      </w:r>
    </w:p>
    <w:p w14:paraId="65697D60">
      <w:pPr>
        <w:pStyle w:val="183"/>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40" w:firstLineChars="200"/>
        <w:jc w:val="both"/>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开标地点：</w:t>
      </w:r>
      <w:r>
        <w:rPr>
          <w:rFonts w:hint="eastAsia" w:ascii="宋体" w:hAnsi="宋体" w:eastAsia="宋体" w:cs="宋体"/>
          <w:color w:val="auto"/>
          <w:sz w:val="22"/>
          <w:szCs w:val="22"/>
          <w:highlight w:val="none"/>
          <w:u w:val="single"/>
          <w:lang w:eastAsia="zh-CN"/>
        </w:rPr>
        <w:t>通过“乐采云平台（www.lecaiyun.com）”，实行在线投标响应（电子投标）。</w:t>
      </w:r>
    </w:p>
    <w:p w14:paraId="690483BE">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lang w:val="en-US" w:eastAsia="zh-CN"/>
        </w:rPr>
        <w:t>九、</w:t>
      </w:r>
      <w:r>
        <w:rPr>
          <w:rFonts w:hint="eastAsia" w:ascii="宋体" w:hAnsi="宋体" w:eastAsia="宋体" w:cs="宋体"/>
          <w:b/>
          <w:bCs/>
          <w:color w:val="auto"/>
          <w:sz w:val="22"/>
          <w:szCs w:val="22"/>
          <w:highlight w:val="none"/>
        </w:rPr>
        <w:t>投标保证金：</w:t>
      </w:r>
    </w:p>
    <w:p w14:paraId="70453809">
      <w:pPr>
        <w:keepNext w:val="0"/>
        <w:keepLines w:val="0"/>
        <w:pageBreakBefore w:val="0"/>
        <w:widowControl/>
        <w:kinsoku/>
        <w:wordWrap/>
        <w:overflowPunct/>
        <w:topLinePunct w:val="0"/>
        <w:autoSpaceDE/>
        <w:autoSpaceDN/>
        <w:bidi w:val="0"/>
        <w:adjustRightInd/>
        <w:snapToGrid/>
        <w:spacing w:before="60" w:after="60" w:line="400" w:lineRule="exact"/>
        <w:ind w:right="62" w:firstLine="440" w:firstLineChars="200"/>
        <w:jc w:val="left"/>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投标保证金：</w:t>
      </w:r>
      <w:r>
        <w:rPr>
          <w:rFonts w:hint="eastAsia" w:ascii="宋体" w:hAnsi="宋体" w:cs="宋体"/>
          <w:b/>
          <w:bCs/>
          <w:color w:val="auto"/>
          <w:kern w:val="0"/>
          <w:sz w:val="22"/>
          <w:szCs w:val="22"/>
          <w:highlight w:val="none"/>
          <w:u w:val="single"/>
          <w:lang w:val="en-US" w:eastAsia="zh-CN"/>
        </w:rPr>
        <w:t>15000</w:t>
      </w:r>
      <w:r>
        <w:rPr>
          <w:rFonts w:hint="eastAsia" w:ascii="宋体" w:hAnsi="宋体" w:eastAsia="宋体" w:cs="宋体"/>
          <w:color w:val="auto"/>
          <w:kern w:val="0"/>
          <w:sz w:val="22"/>
          <w:szCs w:val="22"/>
          <w:highlight w:val="none"/>
        </w:rPr>
        <w:t>元整，采用银行转账形式</w:t>
      </w:r>
      <w:r>
        <w:rPr>
          <w:rFonts w:hint="eastAsia" w:ascii="宋体" w:hAnsi="宋体" w:eastAsia="宋体" w:cs="宋体"/>
          <w:color w:val="auto"/>
          <w:sz w:val="22"/>
          <w:szCs w:val="22"/>
          <w:highlight w:val="none"/>
        </w:rPr>
        <w:t>，</w:t>
      </w:r>
      <w:r>
        <w:rPr>
          <w:rFonts w:hint="eastAsia" w:ascii="宋体" w:hAnsi="宋体" w:eastAsia="宋体" w:cs="宋体"/>
          <w:b/>
          <w:bCs/>
          <w:color w:val="auto"/>
          <w:kern w:val="0"/>
          <w:sz w:val="22"/>
          <w:szCs w:val="22"/>
          <w:highlight w:val="none"/>
          <w:u w:val="single"/>
        </w:rPr>
        <w:t>投标保证金要求从投标供应商的银行账号汇出，保证金缴纳时间以到账时间为准。</w:t>
      </w:r>
      <w:r>
        <w:rPr>
          <w:rFonts w:hint="eastAsia" w:ascii="宋体" w:hAnsi="宋体" w:eastAsia="宋体" w:cs="宋体"/>
          <w:color w:val="auto"/>
          <w:kern w:val="0"/>
          <w:sz w:val="22"/>
          <w:szCs w:val="22"/>
          <w:highlight w:val="none"/>
        </w:rPr>
        <w:t>保证金缴纳截止时间：与投标截止时间相同。</w:t>
      </w:r>
    </w:p>
    <w:p w14:paraId="2AB2F01C">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单 位 名 称：</w:t>
      </w:r>
      <w:r>
        <w:rPr>
          <w:rFonts w:hint="eastAsia" w:ascii="宋体" w:hAnsi="宋体" w:eastAsia="宋体" w:cs="宋体"/>
          <w:color w:val="auto"/>
          <w:sz w:val="22"/>
          <w:szCs w:val="22"/>
          <w:highlight w:val="none"/>
          <w:u w:val="none"/>
          <w:lang w:eastAsia="zh-CN"/>
        </w:rPr>
        <w:t>温州市兴城工程造价审计咨询事务所（普通合伙）</w:t>
      </w:r>
    </w:p>
    <w:p w14:paraId="41F3CA05">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开 户 银 行：温州银行股份有限公司市府路支行</w:t>
      </w:r>
    </w:p>
    <w:p w14:paraId="21328611">
      <w:pPr>
        <w:keepNext w:val="0"/>
        <w:keepLines w:val="0"/>
        <w:pageBreakBefore w:val="0"/>
        <w:kinsoku/>
        <w:wordWrap/>
        <w:overflowPunct/>
        <w:topLinePunct w:val="0"/>
        <w:autoSpaceDE/>
        <w:autoSpaceDN/>
        <w:bidi w:val="0"/>
        <w:adjustRightInd/>
        <w:snapToGrid w:val="0"/>
        <w:spacing w:beforeAutospacing="0" w:afterAutospacing="0" w:line="400" w:lineRule="exact"/>
        <w:ind w:left="420" w:leftChars="200"/>
        <w:textAlignment w:val="auto"/>
        <w:rPr>
          <w:rFonts w:hint="eastAsia" w:ascii="宋体" w:hAnsi="宋体" w:eastAsia="宋体" w:cs="宋体"/>
          <w:i w:val="0"/>
          <w:iCs w:val="0"/>
          <w:caps w:val="0"/>
          <w:color w:val="auto"/>
          <w:spacing w:val="0"/>
          <w:sz w:val="22"/>
          <w:szCs w:val="22"/>
          <w:highlight w:val="none"/>
          <w:shd w:val="clear" w:color="auto" w:fill="FFFFFF"/>
        </w:rPr>
      </w:pPr>
      <w:r>
        <w:rPr>
          <w:rFonts w:hint="eastAsia" w:ascii="宋体" w:hAnsi="宋体" w:eastAsia="宋体" w:cs="宋体"/>
          <w:color w:val="auto"/>
          <w:sz w:val="22"/>
          <w:szCs w:val="22"/>
          <w:highlight w:val="none"/>
          <w:lang w:eastAsia="zh-CN"/>
        </w:rPr>
        <w:t xml:space="preserve">账      </w:t>
      </w:r>
      <w:r>
        <w:rPr>
          <w:rFonts w:hint="eastAsia" w:ascii="宋体" w:hAnsi="宋体" w:eastAsia="宋体" w:cs="宋体"/>
          <w:color w:val="auto"/>
          <w:sz w:val="22"/>
          <w:szCs w:val="22"/>
          <w:highlight w:val="none"/>
          <w:lang w:val="en-US" w:eastAsia="zh-CN"/>
        </w:rPr>
        <w:t xml:space="preserve"> </w:t>
      </w:r>
      <w:r>
        <w:rPr>
          <w:rFonts w:hint="eastAsia" w:ascii="宋体" w:hAnsi="宋体" w:eastAsia="宋体" w:cs="宋体"/>
          <w:color w:val="auto"/>
          <w:sz w:val="22"/>
          <w:szCs w:val="22"/>
          <w:highlight w:val="none"/>
          <w:lang w:eastAsia="zh-CN"/>
        </w:rPr>
        <w:t>号：757000120190019985</w:t>
      </w:r>
      <w:r>
        <w:rPr>
          <w:rFonts w:hint="eastAsia" w:ascii="宋体" w:hAnsi="宋体" w:eastAsia="宋体" w:cs="宋体"/>
          <w:i w:val="0"/>
          <w:iCs w:val="0"/>
          <w:caps w:val="0"/>
          <w:color w:val="auto"/>
          <w:spacing w:val="0"/>
          <w:sz w:val="22"/>
          <w:szCs w:val="22"/>
          <w:highlight w:val="none"/>
          <w:shd w:val="clear" w:color="auto" w:fill="FFFFFF"/>
        </w:rPr>
        <w:t>。</w:t>
      </w:r>
    </w:p>
    <w:p w14:paraId="7A942A4B">
      <w:pPr>
        <w:keepNext w:val="0"/>
        <w:keepLines w:val="0"/>
        <w:pageBreakBefore w:val="0"/>
        <w:kinsoku/>
        <w:wordWrap/>
        <w:overflowPunct/>
        <w:topLinePunct w:val="0"/>
        <w:autoSpaceDE/>
        <w:autoSpaceDN/>
        <w:bidi w:val="0"/>
        <w:adjustRightInd/>
        <w:snapToGrid w:val="0"/>
        <w:spacing w:beforeAutospacing="0" w:afterAutospacing="0" w:line="400" w:lineRule="exact"/>
        <w:ind w:left="420" w:leftChars="200"/>
        <w:textAlignment w:val="auto"/>
        <w:rPr>
          <w:rFonts w:hint="eastAsia" w:ascii="宋体" w:hAnsi="宋体" w:eastAsia="宋体" w:cs="宋体"/>
          <w:b/>
          <w:bCs/>
          <w:color w:val="auto"/>
          <w:sz w:val="22"/>
          <w:szCs w:val="22"/>
          <w:highlight w:val="none"/>
        </w:rPr>
      </w:pPr>
      <w:r>
        <w:rPr>
          <w:rFonts w:hint="eastAsia" w:ascii="宋体" w:hAnsi="宋体" w:eastAsia="宋体" w:cs="宋体"/>
          <w:b/>
          <w:bCs/>
          <w:i w:val="0"/>
          <w:iCs w:val="0"/>
          <w:caps w:val="0"/>
          <w:color w:val="auto"/>
          <w:spacing w:val="0"/>
          <w:sz w:val="22"/>
          <w:szCs w:val="22"/>
          <w:highlight w:val="none"/>
          <w:shd w:val="clear" w:color="auto" w:fill="FFFFFF"/>
          <w:lang w:eastAsia="zh-CN"/>
        </w:rPr>
        <w:t>注：保证金缴纳须进行备注[格式：投标保证金-</w:t>
      </w:r>
      <w:r>
        <w:rPr>
          <w:rFonts w:hint="eastAsia" w:ascii="宋体" w:hAnsi="宋体" w:cs="宋体"/>
          <w:b/>
          <w:bCs/>
          <w:color w:val="auto"/>
          <w:sz w:val="22"/>
          <w:szCs w:val="22"/>
          <w:highlight w:val="none"/>
          <w:lang w:eastAsia="zh-CN"/>
        </w:rPr>
        <w:t>瓯窑产业化项目研发生产提效设备-陶艺工作室仪器设备</w:t>
      </w:r>
      <w:r>
        <w:rPr>
          <w:rFonts w:hint="eastAsia" w:ascii="宋体" w:hAnsi="宋体" w:eastAsia="宋体" w:cs="宋体"/>
          <w:b/>
          <w:bCs/>
          <w:i w:val="0"/>
          <w:iCs w:val="0"/>
          <w:caps w:val="0"/>
          <w:color w:val="auto"/>
          <w:spacing w:val="0"/>
          <w:sz w:val="22"/>
          <w:szCs w:val="22"/>
          <w:highlight w:val="none"/>
          <w:shd w:val="clear" w:color="auto" w:fill="FFFFFF"/>
          <w:lang w:eastAsia="zh-CN"/>
        </w:rPr>
        <w:t>]</w:t>
      </w:r>
      <w:r>
        <w:rPr>
          <w:rFonts w:hint="eastAsia" w:ascii="宋体" w:hAnsi="宋体" w:eastAsia="宋体" w:cs="宋体"/>
          <w:b/>
          <w:bCs/>
          <w:color w:val="auto"/>
          <w:sz w:val="22"/>
          <w:szCs w:val="22"/>
          <w:highlight w:val="none"/>
          <w:lang w:eastAsia="zh-CN"/>
        </w:rPr>
        <w:t>。</w:t>
      </w:r>
    </w:p>
    <w:p w14:paraId="2022AD35">
      <w:pPr>
        <w:keepNext w:val="0"/>
        <w:keepLines w:val="0"/>
        <w:pageBreakBefore w:val="0"/>
        <w:kinsoku/>
        <w:wordWrap/>
        <w:overflowPunct/>
        <w:topLinePunct w:val="0"/>
        <w:autoSpaceDE/>
        <w:autoSpaceDN/>
        <w:bidi w:val="0"/>
        <w:adjustRightInd/>
        <w:snapToGrid/>
        <w:spacing w:line="400" w:lineRule="exact"/>
        <w:textAlignment w:val="auto"/>
        <w:outlineLvl w:val="9"/>
        <w:rPr>
          <w:rFonts w:hint="eastAsia" w:ascii="宋体" w:hAnsi="宋体" w:eastAsia="宋体" w:cs="宋体"/>
          <w:b/>
          <w:bCs w:val="0"/>
          <w:color w:val="auto"/>
          <w:sz w:val="22"/>
          <w:szCs w:val="22"/>
          <w:highlight w:val="none"/>
          <w:lang w:eastAsia="zh-CN"/>
        </w:rPr>
      </w:pPr>
      <w:bookmarkStart w:id="23" w:name="_Toc35393795"/>
      <w:bookmarkStart w:id="24" w:name="_Toc35393626"/>
      <w:r>
        <w:rPr>
          <w:rFonts w:hint="eastAsia" w:ascii="宋体" w:hAnsi="宋体" w:eastAsia="宋体" w:cs="宋体"/>
          <w:b/>
          <w:bCs w:val="0"/>
          <w:color w:val="auto"/>
          <w:sz w:val="22"/>
          <w:szCs w:val="22"/>
          <w:highlight w:val="none"/>
          <w:lang w:val="en-US" w:eastAsia="zh-CN"/>
        </w:rPr>
        <w:t>十</w:t>
      </w:r>
      <w:r>
        <w:rPr>
          <w:rFonts w:hint="eastAsia" w:ascii="宋体" w:hAnsi="宋体" w:eastAsia="宋体" w:cs="宋体"/>
          <w:b/>
          <w:bCs w:val="0"/>
          <w:color w:val="auto"/>
          <w:sz w:val="22"/>
          <w:szCs w:val="22"/>
          <w:highlight w:val="none"/>
        </w:rPr>
        <w:t>、其他补充事宜</w:t>
      </w:r>
      <w:bookmarkEnd w:id="23"/>
      <w:bookmarkEnd w:id="24"/>
      <w:r>
        <w:rPr>
          <w:rFonts w:hint="eastAsia" w:ascii="宋体" w:hAnsi="宋体" w:eastAsia="宋体" w:cs="宋体"/>
          <w:b/>
          <w:bCs w:val="0"/>
          <w:color w:val="auto"/>
          <w:sz w:val="22"/>
          <w:szCs w:val="22"/>
          <w:highlight w:val="none"/>
          <w:lang w:eastAsia="zh-CN"/>
        </w:rPr>
        <w:t>：</w:t>
      </w:r>
    </w:p>
    <w:p w14:paraId="74CFD9E5">
      <w:pPr>
        <w:keepNext w:val="0"/>
        <w:keepLines w:val="0"/>
        <w:pageBreakBefore w:val="0"/>
        <w:widowControl/>
        <w:kinsoku/>
        <w:wordWrap/>
        <w:overflowPunct/>
        <w:topLinePunct w:val="0"/>
        <w:autoSpaceDE/>
        <w:autoSpaceDN/>
        <w:bidi w:val="0"/>
        <w:adjustRightInd/>
        <w:snapToGrid w:val="0"/>
        <w:spacing w:beforeAutospacing="0" w:afterAutospacing="0" w:line="400" w:lineRule="exact"/>
        <w:ind w:firstLine="420"/>
        <w:textAlignment w:val="auto"/>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kern w:val="0"/>
          <w:sz w:val="22"/>
          <w:szCs w:val="22"/>
          <w:highlight w:val="none"/>
          <w:lang w:eastAsia="zh-CN"/>
        </w:rPr>
        <w:t>1.采购公告期限：</w:t>
      </w:r>
      <w:r>
        <w:rPr>
          <w:rFonts w:hint="eastAsia" w:ascii="宋体" w:hAnsi="宋体" w:cs="宋体"/>
          <w:color w:val="auto"/>
          <w:sz w:val="22"/>
          <w:szCs w:val="22"/>
          <w:highlight w:val="none"/>
          <w:lang w:val="en-US" w:eastAsia="zh-CN"/>
        </w:rPr>
        <w:t>7日</w:t>
      </w:r>
      <w:r>
        <w:rPr>
          <w:rFonts w:hint="eastAsia" w:ascii="宋体" w:hAnsi="宋体" w:eastAsia="宋体" w:cs="宋体"/>
          <w:color w:val="auto"/>
          <w:sz w:val="22"/>
          <w:szCs w:val="22"/>
          <w:highlight w:val="none"/>
        </w:rPr>
        <w:t>，从本公告发布的次日起算；</w:t>
      </w:r>
    </w:p>
    <w:p w14:paraId="36B9968A">
      <w:pPr>
        <w:keepNext w:val="0"/>
        <w:keepLines w:val="0"/>
        <w:pageBreakBefore w:val="0"/>
        <w:widowControl/>
        <w:kinsoku/>
        <w:wordWrap/>
        <w:overflowPunct/>
        <w:topLinePunct w:val="0"/>
        <w:autoSpaceDE/>
        <w:autoSpaceDN/>
        <w:bidi w:val="0"/>
        <w:adjustRightInd/>
        <w:snapToGrid w:val="0"/>
        <w:spacing w:beforeAutospacing="0" w:afterAutospacing="0" w:line="400" w:lineRule="exact"/>
        <w:ind w:firstLine="420"/>
        <w:textAlignment w:val="auto"/>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kern w:val="0"/>
          <w:sz w:val="22"/>
          <w:szCs w:val="22"/>
          <w:highlight w:val="none"/>
          <w:lang w:eastAsia="zh-CN"/>
        </w:rPr>
        <w:t>2.供应商认为采购文件使自己的权益受到损害的，可以自采购公告期限届满之日内，以书面形式向采购人和采购代理机构提出质疑，逾期提出的，采购组织机构可以不予受理、答复。质疑供应商对采购人、采购代理机构的答复不满意或者采购人、采购代理机构未在规定的时间内作出答复的，可以在答复期满后15个工作日内</w:t>
      </w:r>
      <w:r>
        <w:rPr>
          <w:rFonts w:hint="eastAsia" w:ascii="宋体" w:hAnsi="宋体" w:cs="宋体"/>
          <w:color w:val="auto"/>
          <w:kern w:val="0"/>
          <w:sz w:val="22"/>
          <w:szCs w:val="22"/>
          <w:highlight w:val="none"/>
          <w:lang w:eastAsia="zh-CN"/>
        </w:rPr>
        <w:t>温州市工业与能源发展集团有限公司</w:t>
      </w:r>
      <w:r>
        <w:rPr>
          <w:rFonts w:hint="eastAsia" w:ascii="宋体" w:hAnsi="宋体" w:eastAsia="宋体" w:cs="宋体"/>
          <w:color w:val="auto"/>
          <w:kern w:val="0"/>
          <w:sz w:val="22"/>
          <w:szCs w:val="22"/>
          <w:highlight w:val="none"/>
          <w:lang w:eastAsia="zh-CN"/>
        </w:rPr>
        <w:t>投诉。</w:t>
      </w:r>
    </w:p>
    <w:p w14:paraId="2680C4BA">
      <w:pPr>
        <w:keepNext w:val="0"/>
        <w:keepLines w:val="0"/>
        <w:pageBreakBefore w:val="0"/>
        <w:widowControl/>
        <w:kinsoku/>
        <w:wordWrap/>
        <w:overflowPunct/>
        <w:topLinePunct w:val="0"/>
        <w:autoSpaceDE/>
        <w:autoSpaceDN/>
        <w:bidi w:val="0"/>
        <w:adjustRightInd/>
        <w:snapToGrid w:val="0"/>
        <w:spacing w:beforeAutospacing="0" w:afterAutospacing="0" w:line="400" w:lineRule="exact"/>
        <w:ind w:firstLine="420"/>
        <w:textAlignment w:val="auto"/>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kern w:val="0"/>
          <w:sz w:val="22"/>
          <w:szCs w:val="22"/>
          <w:highlight w:val="none"/>
          <w:lang w:eastAsia="zh-CN"/>
        </w:rPr>
        <w:t>3.</w:t>
      </w:r>
      <w:r>
        <w:rPr>
          <w:rFonts w:hint="eastAsia" w:ascii="宋体" w:hAnsi="宋体" w:cs="宋体"/>
          <w:color w:val="auto"/>
          <w:kern w:val="0"/>
          <w:sz w:val="22"/>
          <w:szCs w:val="22"/>
          <w:highlight w:val="none"/>
          <w:lang w:eastAsia="zh-CN"/>
        </w:rPr>
        <w:t>温州市工业与能源发展集团有限公司</w:t>
      </w:r>
      <w:r>
        <w:rPr>
          <w:rFonts w:hint="eastAsia" w:ascii="宋体" w:hAnsi="宋体" w:eastAsia="宋体" w:cs="宋体"/>
          <w:color w:val="auto"/>
          <w:kern w:val="0"/>
          <w:sz w:val="22"/>
          <w:szCs w:val="22"/>
          <w:highlight w:val="none"/>
          <w:lang w:eastAsia="zh-CN"/>
        </w:rPr>
        <w:t>负责对投标供应商反映的企业本部及所属企业在采购活动中出现的违法违规问题进行答疑回复。投标供应商认为答疑回复处理结果不合法的，可以采购人或代理机构为对象依法向人民法院提起诉讼。</w:t>
      </w:r>
    </w:p>
    <w:p w14:paraId="719FD842">
      <w:pPr>
        <w:keepNext w:val="0"/>
        <w:keepLines w:val="0"/>
        <w:pageBreakBefore w:val="0"/>
        <w:widowControl/>
        <w:kinsoku/>
        <w:wordWrap/>
        <w:overflowPunct/>
        <w:topLinePunct w:val="0"/>
        <w:autoSpaceDE/>
        <w:autoSpaceDN/>
        <w:bidi w:val="0"/>
        <w:adjustRightInd/>
        <w:snapToGrid w:val="0"/>
        <w:spacing w:beforeAutospacing="0" w:afterAutospacing="0" w:line="400" w:lineRule="exact"/>
        <w:ind w:firstLine="420"/>
        <w:textAlignment w:val="auto"/>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kern w:val="0"/>
          <w:sz w:val="22"/>
          <w:szCs w:val="22"/>
          <w:highlight w:val="none"/>
          <w:lang w:eastAsia="zh-CN"/>
        </w:rPr>
        <w:t>4.采购文件发售截止时间之后潜在供应商仍然可以购买采购文件，但该供应商如对采购文件有疑问应按采购文件规定的询疑截止时间前提出，逾期提出的，采购组织机构可以不予受理、答复。</w:t>
      </w:r>
    </w:p>
    <w:p w14:paraId="1CAAD2D6">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kern w:val="0"/>
          <w:sz w:val="22"/>
          <w:szCs w:val="22"/>
          <w:highlight w:val="none"/>
          <w:lang w:eastAsia="zh-CN"/>
        </w:rPr>
        <w:t>5.书面质疑与投诉受理地点与联系人见采购文件。</w:t>
      </w:r>
    </w:p>
    <w:p w14:paraId="3CF8E5DD">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auto"/>
          <w:sz w:val="22"/>
          <w:szCs w:val="22"/>
          <w:highlight w:val="none"/>
          <w:lang w:eastAsia="zh-CN"/>
        </w:rPr>
      </w:pPr>
      <w:r>
        <w:rPr>
          <w:rFonts w:hint="eastAsia" w:ascii="宋体" w:hAnsi="宋体" w:cs="宋体"/>
          <w:b/>
          <w:bCs w:val="0"/>
          <w:color w:val="auto"/>
          <w:sz w:val="22"/>
          <w:szCs w:val="22"/>
          <w:highlight w:val="none"/>
          <w:lang w:val="en-US" w:eastAsia="zh-CN"/>
        </w:rPr>
        <w:t>十一</w:t>
      </w:r>
      <w:r>
        <w:rPr>
          <w:rFonts w:hint="eastAsia" w:ascii="宋体" w:hAnsi="宋体" w:eastAsia="宋体" w:cs="宋体"/>
          <w:b/>
          <w:bCs w:val="0"/>
          <w:color w:val="auto"/>
          <w:sz w:val="22"/>
          <w:szCs w:val="22"/>
          <w:highlight w:val="none"/>
        </w:rPr>
        <w:t>、对本次招标提出询问、质疑，请按以下方式联系</w:t>
      </w:r>
      <w:r>
        <w:rPr>
          <w:rFonts w:hint="eastAsia" w:ascii="宋体" w:hAnsi="宋体" w:eastAsia="宋体" w:cs="宋体"/>
          <w:b/>
          <w:bCs w:val="0"/>
          <w:color w:val="auto"/>
          <w:sz w:val="22"/>
          <w:szCs w:val="22"/>
          <w:highlight w:val="none"/>
          <w:lang w:eastAsia="zh-CN"/>
        </w:rPr>
        <w:t>：</w:t>
      </w:r>
      <w:bookmarkStart w:id="25" w:name="_Toc35393786"/>
      <w:bookmarkStart w:id="26" w:name="_Toc28359075"/>
      <w:bookmarkStart w:id="27" w:name="_Toc28358998"/>
      <w:bookmarkStart w:id="28" w:name="_Toc35393617"/>
    </w:p>
    <w:p w14:paraId="1C3D0C44">
      <w:pPr>
        <w:keepNext w:val="0"/>
        <w:keepLines w:val="0"/>
        <w:pageBreakBefore w:val="0"/>
        <w:kinsoku/>
        <w:wordWrap/>
        <w:overflowPunct/>
        <w:topLinePunct w:val="0"/>
        <w:autoSpaceDE/>
        <w:autoSpaceDN/>
        <w:bidi w:val="0"/>
        <w:adjustRightInd/>
        <w:snapToGrid/>
        <w:spacing w:line="400" w:lineRule="exact"/>
        <w:ind w:firstLine="442" w:firstLineChars="200"/>
        <w:textAlignment w:val="auto"/>
        <w:rPr>
          <w:rFonts w:hint="eastAsia" w:ascii="宋体" w:hAnsi="宋体" w:eastAsia="宋体" w:cs="宋体"/>
          <w:color w:val="auto"/>
          <w:sz w:val="22"/>
          <w:szCs w:val="22"/>
          <w:highlight w:val="none"/>
          <w:lang w:eastAsia="zh-CN"/>
        </w:rPr>
      </w:pPr>
      <w:r>
        <w:rPr>
          <w:rFonts w:hint="eastAsia" w:ascii="宋体" w:hAnsi="宋体" w:eastAsia="宋体" w:cs="宋体"/>
          <w:b/>
          <w:color w:val="auto"/>
          <w:sz w:val="22"/>
          <w:szCs w:val="22"/>
          <w:highlight w:val="none"/>
        </w:rPr>
        <w:t>1.</w:t>
      </w:r>
      <w:r>
        <w:rPr>
          <w:rFonts w:hint="eastAsia" w:ascii="宋体" w:hAnsi="宋体" w:eastAsia="宋体" w:cs="宋体"/>
          <w:b/>
          <w:color w:val="auto"/>
          <w:sz w:val="22"/>
          <w:szCs w:val="22"/>
          <w:highlight w:val="none"/>
          <w:lang w:eastAsia="zh-CN"/>
        </w:rPr>
        <w:t>采购人</w:t>
      </w:r>
      <w:r>
        <w:rPr>
          <w:rFonts w:hint="eastAsia" w:ascii="宋体" w:hAnsi="宋体" w:eastAsia="宋体" w:cs="宋体"/>
          <w:b/>
          <w:color w:val="auto"/>
          <w:sz w:val="22"/>
          <w:szCs w:val="22"/>
          <w:highlight w:val="none"/>
        </w:rPr>
        <w:t>信息</w:t>
      </w:r>
      <w:bookmarkEnd w:id="25"/>
      <w:bookmarkEnd w:id="26"/>
      <w:bookmarkEnd w:id="27"/>
      <w:bookmarkEnd w:id="28"/>
    </w:p>
    <w:p w14:paraId="6ECF3811">
      <w:pPr>
        <w:keepNext w:val="0"/>
        <w:keepLines w:val="0"/>
        <w:pageBreakBefore w:val="0"/>
        <w:kinsoku/>
        <w:wordWrap/>
        <w:overflowPunct/>
        <w:topLinePunct w:val="0"/>
        <w:autoSpaceDE/>
        <w:autoSpaceDN/>
        <w:bidi w:val="0"/>
        <w:adjustRightInd/>
        <w:spacing w:line="400" w:lineRule="exact"/>
        <w:ind w:firstLine="440" w:firstLineChars="200"/>
        <w:jc w:val="lef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名</w:t>
      </w:r>
      <w:r>
        <w:rPr>
          <w:rFonts w:hint="eastAsia" w:ascii="宋体" w:hAnsi="宋体" w:eastAsia="宋体" w:cs="宋体"/>
          <w:color w:val="auto"/>
          <w:sz w:val="22"/>
          <w:szCs w:val="22"/>
          <w:highlight w:val="none"/>
        </w:rPr>
        <w:t xml:space="preserve">    </w:t>
      </w:r>
      <w:r>
        <w:rPr>
          <w:rFonts w:hint="eastAsia" w:ascii="宋体" w:hAnsi="宋体" w:eastAsia="宋体" w:cs="宋体"/>
          <w:color w:val="auto"/>
          <w:sz w:val="22"/>
          <w:szCs w:val="22"/>
          <w:highlight w:val="none"/>
          <w:lang w:val="en-US" w:eastAsia="zh-CN"/>
        </w:rPr>
        <w:t>称</w:t>
      </w:r>
      <w:r>
        <w:rPr>
          <w:rFonts w:hint="eastAsia" w:ascii="宋体" w:hAnsi="宋体" w:eastAsia="宋体" w:cs="宋体"/>
          <w:color w:val="auto"/>
          <w:sz w:val="22"/>
          <w:szCs w:val="22"/>
          <w:highlight w:val="none"/>
        </w:rPr>
        <w:t>：</w:t>
      </w:r>
      <w:r>
        <w:rPr>
          <w:rFonts w:hint="eastAsia" w:ascii="宋体" w:hAnsi="宋体" w:eastAsia="宋体" w:cs="宋体"/>
          <w:color w:val="auto"/>
          <w:sz w:val="22"/>
          <w:szCs w:val="22"/>
          <w:highlight w:val="none"/>
          <w:lang w:val="en-US" w:eastAsia="zh-CN"/>
        </w:rPr>
        <w:t>温州瓯瓷产业发展有限公司</w:t>
      </w:r>
    </w:p>
    <w:p w14:paraId="373CD9DD">
      <w:pPr>
        <w:keepNext w:val="0"/>
        <w:keepLines w:val="0"/>
        <w:pageBreakBefore w:val="0"/>
        <w:kinsoku/>
        <w:wordWrap/>
        <w:overflowPunct/>
        <w:topLinePunct w:val="0"/>
        <w:autoSpaceDE/>
        <w:autoSpaceDN/>
        <w:bidi w:val="0"/>
        <w:adjustRightInd/>
        <w:spacing w:line="400" w:lineRule="exact"/>
        <w:ind w:firstLine="440" w:firstLineChars="200"/>
        <w:jc w:val="left"/>
        <w:textAlignment w:val="auto"/>
        <w:rPr>
          <w:rFonts w:hint="eastAsia" w:ascii="宋体" w:hAnsi="宋体" w:eastAsia="宋体" w:cs="宋体"/>
          <w:color w:val="auto"/>
          <w:sz w:val="22"/>
          <w:szCs w:val="22"/>
          <w:highlight w:val="none"/>
          <w:u w:val="none"/>
          <w:lang w:val="en-US" w:eastAsia="zh-CN"/>
        </w:rPr>
      </w:pPr>
      <w:r>
        <w:rPr>
          <w:rFonts w:hint="eastAsia" w:ascii="宋体" w:hAnsi="宋体" w:eastAsia="宋体" w:cs="宋体"/>
          <w:color w:val="auto"/>
          <w:sz w:val="22"/>
          <w:szCs w:val="22"/>
          <w:highlight w:val="none"/>
          <w:lang w:val="en-US" w:eastAsia="zh-CN"/>
        </w:rPr>
        <w:t>地    址：浙江省温州市龙湾区蒲州街道文昌路166号创客小镇(A区)连廊第4层第401室</w:t>
      </w:r>
    </w:p>
    <w:p w14:paraId="040F0507">
      <w:pPr>
        <w:keepNext w:val="0"/>
        <w:keepLines w:val="0"/>
        <w:pageBreakBefore w:val="0"/>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u w:val="none"/>
          <w:lang w:val="en-US" w:eastAsia="zh-CN"/>
        </w:rPr>
      </w:pPr>
      <w:r>
        <w:rPr>
          <w:rFonts w:hint="eastAsia" w:ascii="宋体" w:hAnsi="宋体" w:eastAsia="宋体" w:cs="宋体"/>
          <w:color w:val="auto"/>
          <w:sz w:val="22"/>
          <w:szCs w:val="22"/>
          <w:highlight w:val="none"/>
          <w:u w:val="none"/>
        </w:rPr>
        <w:t>传    真：</w:t>
      </w:r>
      <w:r>
        <w:rPr>
          <w:rFonts w:hint="eastAsia" w:ascii="宋体" w:hAnsi="宋体" w:eastAsia="宋体" w:cs="宋体"/>
          <w:color w:val="auto"/>
          <w:sz w:val="22"/>
          <w:szCs w:val="22"/>
          <w:highlight w:val="none"/>
          <w:u w:val="none"/>
          <w:lang w:val="en-US" w:eastAsia="zh-CN"/>
        </w:rPr>
        <w:t>/</w:t>
      </w:r>
    </w:p>
    <w:p w14:paraId="6FB9EAA1">
      <w:pPr>
        <w:keepNext w:val="0"/>
        <w:keepLines w:val="0"/>
        <w:pageBreakBefore w:val="0"/>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u w:val="none"/>
          <w:lang w:val="en-US" w:eastAsia="zh-CN"/>
        </w:rPr>
      </w:pPr>
      <w:r>
        <w:rPr>
          <w:rFonts w:hint="eastAsia" w:ascii="宋体" w:hAnsi="宋体" w:eastAsia="宋体" w:cs="宋体"/>
          <w:color w:val="auto"/>
          <w:sz w:val="22"/>
          <w:szCs w:val="22"/>
          <w:highlight w:val="none"/>
          <w:u w:val="none"/>
        </w:rPr>
        <w:t>项目联系人（询问）：黄奔奔</w:t>
      </w:r>
    </w:p>
    <w:p w14:paraId="678AE244">
      <w:pPr>
        <w:keepNext w:val="0"/>
        <w:keepLines w:val="0"/>
        <w:pageBreakBefore w:val="0"/>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u w:val="none"/>
          <w:lang w:val="en-US" w:eastAsia="zh-CN"/>
        </w:rPr>
      </w:pPr>
      <w:r>
        <w:rPr>
          <w:rFonts w:hint="eastAsia" w:ascii="宋体" w:hAnsi="宋体" w:eastAsia="宋体" w:cs="宋体"/>
          <w:color w:val="auto"/>
          <w:sz w:val="22"/>
          <w:szCs w:val="22"/>
          <w:highlight w:val="none"/>
          <w:u w:val="none"/>
        </w:rPr>
        <w:t>项目联系方式（询问）：17357785655</w:t>
      </w:r>
    </w:p>
    <w:bookmarkEnd w:id="14"/>
    <w:p w14:paraId="422569E1">
      <w:pPr>
        <w:keepNext w:val="0"/>
        <w:keepLines w:val="0"/>
        <w:pageBreakBefore w:val="0"/>
        <w:kinsoku/>
        <w:wordWrap/>
        <w:overflowPunct/>
        <w:topLinePunct w:val="0"/>
        <w:autoSpaceDE/>
        <w:autoSpaceDN/>
        <w:bidi w:val="0"/>
        <w:adjustRightInd/>
        <w:snapToGrid/>
        <w:spacing w:line="400" w:lineRule="exact"/>
        <w:ind w:firstLine="442" w:firstLineChars="200"/>
        <w:textAlignment w:val="auto"/>
        <w:outlineLvl w:val="9"/>
        <w:rPr>
          <w:rFonts w:hint="eastAsia" w:ascii="宋体" w:hAnsi="宋体" w:eastAsia="宋体" w:cs="宋体"/>
          <w:b/>
          <w:color w:val="auto"/>
          <w:sz w:val="22"/>
          <w:szCs w:val="22"/>
          <w:highlight w:val="none"/>
        </w:rPr>
      </w:pPr>
      <w:bookmarkStart w:id="29" w:name="_Toc35393618"/>
      <w:bookmarkStart w:id="30" w:name="_Toc28359076"/>
      <w:bookmarkStart w:id="31" w:name="_Toc35393787"/>
      <w:bookmarkStart w:id="32" w:name="_Toc28358999"/>
      <w:r>
        <w:rPr>
          <w:rFonts w:hint="eastAsia" w:ascii="宋体" w:hAnsi="宋体" w:eastAsia="宋体" w:cs="宋体"/>
          <w:b/>
          <w:color w:val="auto"/>
          <w:sz w:val="22"/>
          <w:szCs w:val="22"/>
          <w:highlight w:val="none"/>
        </w:rPr>
        <w:t>2.</w:t>
      </w:r>
      <w:r>
        <w:rPr>
          <w:rFonts w:hint="eastAsia" w:ascii="宋体" w:hAnsi="宋体" w:eastAsia="宋体" w:cs="宋体"/>
          <w:b/>
          <w:color w:val="auto"/>
          <w:sz w:val="22"/>
          <w:szCs w:val="22"/>
          <w:highlight w:val="none"/>
          <w:lang w:eastAsia="zh-CN"/>
        </w:rPr>
        <w:t>招标代理机构</w:t>
      </w:r>
      <w:r>
        <w:rPr>
          <w:rFonts w:hint="eastAsia" w:ascii="宋体" w:hAnsi="宋体" w:eastAsia="宋体" w:cs="宋体"/>
          <w:b/>
          <w:color w:val="auto"/>
          <w:sz w:val="22"/>
          <w:szCs w:val="22"/>
          <w:highlight w:val="none"/>
        </w:rPr>
        <w:t>信息</w:t>
      </w:r>
      <w:bookmarkEnd w:id="29"/>
      <w:bookmarkEnd w:id="30"/>
      <w:bookmarkEnd w:id="31"/>
      <w:bookmarkEnd w:id="32"/>
    </w:p>
    <w:p w14:paraId="049E2F29">
      <w:pPr>
        <w:keepNext w:val="0"/>
        <w:keepLines w:val="0"/>
        <w:pageBreakBefore w:val="0"/>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u w:val="none"/>
          <w:lang w:eastAsia="zh-CN"/>
        </w:rPr>
      </w:pPr>
      <w:r>
        <w:rPr>
          <w:rFonts w:hint="eastAsia" w:ascii="宋体" w:hAnsi="宋体" w:eastAsia="宋体" w:cs="宋体"/>
          <w:color w:val="auto"/>
          <w:sz w:val="22"/>
          <w:szCs w:val="22"/>
          <w:highlight w:val="none"/>
          <w:u w:val="none"/>
        </w:rPr>
        <w:t>名    称：</w:t>
      </w:r>
      <w:r>
        <w:rPr>
          <w:rFonts w:hint="eastAsia" w:ascii="宋体" w:hAnsi="宋体" w:eastAsia="宋体" w:cs="宋体"/>
          <w:color w:val="auto"/>
          <w:sz w:val="22"/>
          <w:szCs w:val="22"/>
          <w:highlight w:val="none"/>
          <w:u w:val="none"/>
          <w:lang w:eastAsia="zh-CN"/>
        </w:rPr>
        <w:t>温州市兴城工程造价审计咨询事务所（普通合伙）</w:t>
      </w:r>
    </w:p>
    <w:p w14:paraId="761FA444">
      <w:pPr>
        <w:keepNext w:val="0"/>
        <w:keepLines w:val="0"/>
        <w:pageBreakBefore w:val="0"/>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u w:val="none"/>
          <w:lang w:eastAsia="zh-CN"/>
        </w:rPr>
      </w:pPr>
      <w:r>
        <w:rPr>
          <w:rFonts w:hint="eastAsia" w:ascii="宋体" w:hAnsi="宋体" w:eastAsia="宋体" w:cs="宋体"/>
          <w:color w:val="auto"/>
          <w:sz w:val="22"/>
          <w:szCs w:val="22"/>
          <w:highlight w:val="none"/>
          <w:u w:val="none"/>
        </w:rPr>
        <w:t>地    址：</w:t>
      </w:r>
      <w:r>
        <w:rPr>
          <w:rFonts w:hint="eastAsia" w:ascii="宋体" w:hAnsi="宋体" w:eastAsia="宋体" w:cs="宋体"/>
          <w:color w:val="auto"/>
          <w:sz w:val="22"/>
          <w:szCs w:val="22"/>
          <w:highlight w:val="none"/>
          <w:u w:val="none"/>
          <w:lang w:eastAsia="zh-CN"/>
        </w:rPr>
        <w:t>温州市车站大道大诚商厦E幢702室</w:t>
      </w:r>
    </w:p>
    <w:p w14:paraId="6363B390">
      <w:pPr>
        <w:keepNext w:val="0"/>
        <w:keepLines w:val="0"/>
        <w:pageBreakBefore w:val="0"/>
        <w:kinsoku/>
        <w:wordWrap/>
        <w:overflowPunct/>
        <w:topLinePunct w:val="0"/>
        <w:autoSpaceDE/>
        <w:autoSpaceDN/>
        <w:bidi w:val="0"/>
        <w:adjustRightInd/>
        <w:spacing w:line="400" w:lineRule="exact"/>
        <w:ind w:firstLine="440" w:firstLineChars="200"/>
        <w:jc w:val="lef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邮    箱：1589009783@qq.com</w:t>
      </w:r>
    </w:p>
    <w:p w14:paraId="24F13D36">
      <w:pPr>
        <w:keepNext w:val="0"/>
        <w:keepLines w:val="0"/>
        <w:pageBreakBefore w:val="0"/>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u w:val="none"/>
          <w:lang w:val="en-US" w:eastAsia="zh-CN"/>
        </w:rPr>
      </w:pPr>
      <w:r>
        <w:rPr>
          <w:rFonts w:hint="eastAsia" w:ascii="宋体" w:hAnsi="宋体" w:eastAsia="宋体" w:cs="宋体"/>
          <w:color w:val="auto"/>
          <w:sz w:val="22"/>
          <w:szCs w:val="22"/>
          <w:highlight w:val="none"/>
          <w:u w:val="none"/>
        </w:rPr>
        <w:t>项目联系人（询问）：</w:t>
      </w:r>
      <w:r>
        <w:rPr>
          <w:rFonts w:hint="eastAsia" w:ascii="宋体" w:hAnsi="宋体" w:eastAsia="宋体" w:cs="宋体"/>
          <w:color w:val="auto"/>
          <w:sz w:val="22"/>
          <w:szCs w:val="22"/>
          <w:highlight w:val="none"/>
          <w:u w:val="none"/>
          <w:lang w:eastAsia="zh-CN"/>
        </w:rPr>
        <w:t>金奇云、郑凯挺</w:t>
      </w:r>
    </w:p>
    <w:p w14:paraId="48D906EA">
      <w:pPr>
        <w:keepNext w:val="0"/>
        <w:keepLines w:val="0"/>
        <w:pageBreakBefore w:val="0"/>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u w:val="none"/>
          <w:lang w:val="en-US" w:eastAsia="zh-CN"/>
        </w:rPr>
      </w:pPr>
      <w:r>
        <w:rPr>
          <w:rFonts w:hint="eastAsia" w:ascii="宋体" w:hAnsi="宋体" w:eastAsia="宋体" w:cs="宋体"/>
          <w:color w:val="auto"/>
          <w:sz w:val="22"/>
          <w:szCs w:val="22"/>
          <w:highlight w:val="none"/>
          <w:u w:val="none"/>
        </w:rPr>
        <w:t>项目联系方式（询问）：</w:t>
      </w:r>
      <w:r>
        <w:rPr>
          <w:rFonts w:hint="eastAsia" w:ascii="宋体" w:hAnsi="宋体" w:eastAsia="宋体" w:cs="宋体"/>
          <w:color w:val="auto"/>
          <w:sz w:val="22"/>
          <w:szCs w:val="22"/>
          <w:highlight w:val="none"/>
          <w:u w:val="none"/>
          <w:lang w:val="en-US" w:eastAsia="zh-CN"/>
        </w:rPr>
        <w:t>0577-88370285、13634235000</w:t>
      </w:r>
    </w:p>
    <w:p w14:paraId="582E41E3">
      <w:pPr>
        <w:keepNext w:val="0"/>
        <w:keepLines w:val="0"/>
        <w:pageBreakBefore w:val="0"/>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u w:val="none"/>
          <w:lang w:val="en-US" w:eastAsia="zh-CN"/>
        </w:rPr>
      </w:pPr>
      <w:r>
        <w:rPr>
          <w:rFonts w:hint="eastAsia" w:ascii="宋体" w:hAnsi="宋体" w:eastAsia="宋体" w:cs="宋体"/>
          <w:color w:val="auto"/>
          <w:sz w:val="22"/>
          <w:szCs w:val="22"/>
          <w:highlight w:val="none"/>
          <w:u w:val="none"/>
        </w:rPr>
        <w:t>代理机构质疑联系人：</w:t>
      </w:r>
      <w:r>
        <w:rPr>
          <w:rFonts w:hint="eastAsia" w:ascii="宋体" w:hAnsi="宋体" w:eastAsia="宋体" w:cs="宋体"/>
          <w:color w:val="auto"/>
          <w:sz w:val="22"/>
          <w:szCs w:val="22"/>
          <w:highlight w:val="none"/>
          <w:u w:val="none"/>
          <w:lang w:val="en-US" w:eastAsia="zh-CN"/>
        </w:rPr>
        <w:t>金奇云</w:t>
      </w:r>
    </w:p>
    <w:p w14:paraId="37D87418">
      <w:pPr>
        <w:keepNext w:val="0"/>
        <w:keepLines w:val="0"/>
        <w:pageBreakBefore w:val="0"/>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b/>
          <w:bCs/>
          <w:color w:val="auto"/>
          <w:kern w:val="0"/>
          <w:sz w:val="22"/>
          <w:szCs w:val="22"/>
          <w:highlight w:val="none"/>
          <w:lang w:eastAsia="zh-CN"/>
        </w:rPr>
      </w:pPr>
      <w:r>
        <w:rPr>
          <w:rFonts w:hint="eastAsia" w:ascii="宋体" w:hAnsi="宋体" w:eastAsia="宋体" w:cs="宋体"/>
          <w:color w:val="auto"/>
          <w:sz w:val="22"/>
          <w:szCs w:val="22"/>
          <w:highlight w:val="none"/>
          <w:u w:val="none"/>
        </w:rPr>
        <w:t>代理机构质疑联系电话：</w:t>
      </w:r>
      <w:r>
        <w:rPr>
          <w:rFonts w:hint="eastAsia" w:ascii="宋体" w:hAnsi="宋体" w:eastAsia="宋体" w:cs="宋体"/>
          <w:color w:val="auto"/>
          <w:sz w:val="22"/>
          <w:szCs w:val="22"/>
          <w:highlight w:val="none"/>
          <w:u w:val="none"/>
          <w:lang w:eastAsia="zh-CN"/>
        </w:rPr>
        <w:t>0577-88370285</w:t>
      </w:r>
    </w:p>
    <w:p w14:paraId="6154CE7B">
      <w:pPr>
        <w:keepNext w:val="0"/>
        <w:keepLines w:val="0"/>
        <w:pageBreakBefore w:val="0"/>
        <w:kinsoku/>
        <w:wordWrap/>
        <w:overflowPunct/>
        <w:topLinePunct w:val="0"/>
        <w:autoSpaceDE/>
        <w:autoSpaceDN/>
        <w:bidi w:val="0"/>
        <w:adjustRightInd/>
        <w:spacing w:line="400" w:lineRule="exact"/>
        <w:ind w:firstLine="442" w:firstLineChars="200"/>
        <w:textAlignment w:val="auto"/>
        <w:rPr>
          <w:rFonts w:hint="eastAsia" w:ascii="宋体" w:hAnsi="宋体" w:eastAsia="宋体" w:cs="宋体"/>
          <w:b/>
          <w:color w:val="auto"/>
          <w:sz w:val="22"/>
          <w:szCs w:val="22"/>
          <w:highlight w:val="none"/>
          <w:lang w:val="en-US" w:eastAsia="zh-CN"/>
        </w:rPr>
      </w:pPr>
      <w:r>
        <w:rPr>
          <w:rFonts w:hint="eastAsia" w:ascii="宋体" w:hAnsi="宋体" w:eastAsia="宋体" w:cs="宋体"/>
          <w:b/>
          <w:color w:val="auto"/>
          <w:sz w:val="22"/>
          <w:szCs w:val="22"/>
          <w:highlight w:val="none"/>
          <w:lang w:val="en-US" w:eastAsia="zh-CN"/>
        </w:rPr>
        <w:t>3.</w:t>
      </w:r>
      <w:r>
        <w:rPr>
          <w:rFonts w:hint="eastAsia" w:ascii="宋体" w:hAnsi="宋体" w:eastAsia="宋体" w:cs="宋体"/>
          <w:b/>
          <w:color w:val="auto"/>
          <w:sz w:val="22"/>
          <w:szCs w:val="22"/>
          <w:highlight w:val="none"/>
        </w:rPr>
        <w:t>采购监督管理部门</w:t>
      </w:r>
    </w:p>
    <w:p w14:paraId="1626F926">
      <w:pPr>
        <w:keepNext w:val="0"/>
        <w:keepLines w:val="0"/>
        <w:pageBreakBefore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名    称：</w:t>
      </w:r>
      <w:r>
        <w:rPr>
          <w:rFonts w:hint="eastAsia" w:ascii="宋体" w:hAnsi="宋体" w:cs="宋体"/>
          <w:color w:val="auto"/>
          <w:sz w:val="22"/>
          <w:szCs w:val="22"/>
          <w:highlight w:val="none"/>
          <w:lang w:eastAsia="zh-CN"/>
        </w:rPr>
        <w:t>温州市工业与能源发展集团有限公司</w:t>
      </w:r>
    </w:p>
    <w:p w14:paraId="6BF12701">
      <w:pPr>
        <w:keepNext w:val="0"/>
        <w:keepLines w:val="0"/>
        <w:pageBreakBefore w:val="0"/>
        <w:kinsoku/>
        <w:wordWrap/>
        <w:overflowPunct/>
        <w:topLinePunct w:val="0"/>
        <w:autoSpaceDE/>
        <w:autoSpaceDN/>
        <w:bidi w:val="0"/>
        <w:adjustRightInd/>
        <w:spacing w:line="400" w:lineRule="exact"/>
        <w:ind w:firstLine="44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 w:val="22"/>
          <w:szCs w:val="22"/>
          <w:highlight w:val="none"/>
          <w:lang w:val="en-US" w:eastAsia="zh-CN"/>
        </w:rPr>
        <w:t>监督投诉电话</w:t>
      </w:r>
      <w:r>
        <w:rPr>
          <w:rFonts w:hint="eastAsia" w:ascii="宋体" w:hAnsi="宋体" w:eastAsia="宋体" w:cs="宋体"/>
          <w:color w:val="auto"/>
          <w:sz w:val="22"/>
          <w:szCs w:val="22"/>
          <w:highlight w:val="none"/>
        </w:rPr>
        <w:t>：</w:t>
      </w:r>
      <w:r>
        <w:rPr>
          <w:rFonts w:hint="eastAsia" w:ascii="宋体" w:hAnsi="宋体" w:cs="宋体"/>
          <w:color w:val="auto"/>
          <w:sz w:val="22"/>
          <w:szCs w:val="22"/>
          <w:highlight w:val="none"/>
          <w:lang w:eastAsia="zh-CN"/>
        </w:rPr>
        <w:t>0577-55598012</w:t>
      </w:r>
    </w:p>
    <w:p w14:paraId="3B653B7D">
      <w:pPr>
        <w:spacing w:line="440" w:lineRule="exact"/>
        <w:ind w:firstLine="420" w:firstLineChars="20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br w:type="page"/>
      </w:r>
    </w:p>
    <w:p w14:paraId="5418F849">
      <w:pPr>
        <w:widowControl/>
        <w:spacing w:before="156" w:after="156" w:line="242" w:lineRule="atLeast"/>
        <w:rPr>
          <w:rFonts w:hint="eastAsia" w:ascii="宋体" w:hAnsi="宋体" w:eastAsia="宋体" w:cs="宋体"/>
          <w:b/>
          <w:bCs/>
          <w:color w:val="auto"/>
          <w:kern w:val="0"/>
          <w:sz w:val="28"/>
          <w:szCs w:val="28"/>
          <w:highlight w:val="none"/>
        </w:rPr>
      </w:pPr>
    </w:p>
    <w:bookmarkEnd w:id="15"/>
    <w:p w14:paraId="79398EC4">
      <w:pPr>
        <w:keepNext w:val="0"/>
        <w:keepLines w:val="0"/>
        <w:pageBreakBefore w:val="0"/>
        <w:widowControl w:val="0"/>
        <w:kinsoku/>
        <w:wordWrap/>
        <w:overflowPunct/>
        <w:topLinePunct w:val="0"/>
        <w:autoSpaceDE/>
        <w:autoSpaceDN/>
        <w:bidi w:val="0"/>
        <w:adjustRightInd/>
        <w:snapToGrid w:val="0"/>
        <w:spacing w:afterAutospacing="0" w:line="360" w:lineRule="auto"/>
        <w:jc w:val="center"/>
        <w:textAlignment w:val="auto"/>
        <w:outlineLvl w:val="0"/>
        <w:rPr>
          <w:rFonts w:hint="eastAsia" w:ascii="宋体" w:hAnsi="宋体" w:eastAsia="宋体" w:cs="宋体"/>
          <w:color w:val="auto"/>
          <w:highlight w:val="none"/>
        </w:rPr>
      </w:pPr>
      <w:bookmarkStart w:id="33" w:name="_Toc16480"/>
      <w:r>
        <w:rPr>
          <w:rFonts w:hint="eastAsia" w:ascii="宋体" w:hAnsi="宋体" w:eastAsia="宋体" w:cs="宋体"/>
          <w:b/>
          <w:bCs/>
          <w:color w:val="auto"/>
          <w:spacing w:val="-6"/>
          <w:sz w:val="28"/>
          <w:szCs w:val="28"/>
          <w:highlight w:val="none"/>
          <w:lang w:eastAsia="zh-CN"/>
        </w:rPr>
        <w:t>温州市工业与能源集团所属温州瓯瓷产业发展有限公司</w:t>
      </w:r>
      <w:r>
        <w:rPr>
          <w:rFonts w:hint="eastAsia" w:ascii="宋体" w:hAnsi="宋体" w:eastAsia="宋体" w:cs="宋体"/>
          <w:b/>
          <w:bCs/>
          <w:color w:val="auto"/>
          <w:spacing w:val="-6"/>
          <w:sz w:val="28"/>
          <w:szCs w:val="28"/>
          <w:highlight w:val="none"/>
          <w:lang w:val="en-US" w:eastAsia="zh-CN"/>
        </w:rPr>
        <w:t>关于</w:t>
      </w:r>
      <w:r>
        <w:rPr>
          <w:rFonts w:hint="eastAsia" w:ascii="宋体" w:hAnsi="宋体" w:cs="宋体"/>
          <w:b/>
          <w:bCs/>
          <w:color w:val="auto"/>
          <w:sz w:val="28"/>
          <w:szCs w:val="28"/>
          <w:highlight w:val="none"/>
          <w:lang w:eastAsia="zh-CN"/>
        </w:rPr>
        <w:t>瓯窑产业化项目研发生产提效设备-陶艺工作室仪器设备</w:t>
      </w:r>
      <w:r>
        <w:rPr>
          <w:rFonts w:hint="eastAsia" w:hAnsi="宋体" w:cs="宋体"/>
          <w:b/>
          <w:bCs/>
          <w:color w:val="auto"/>
          <w:spacing w:val="-6"/>
          <w:sz w:val="28"/>
          <w:szCs w:val="28"/>
          <w:highlight w:val="none"/>
          <w:lang w:eastAsia="zh-CN"/>
        </w:rPr>
        <w:t>（自主）</w:t>
      </w:r>
      <w:r>
        <w:rPr>
          <w:rFonts w:hint="eastAsia" w:ascii="宋体" w:hAnsi="宋体" w:eastAsia="宋体" w:cs="宋体"/>
          <w:b/>
          <w:bCs/>
          <w:color w:val="auto"/>
          <w:spacing w:val="-6"/>
          <w:sz w:val="28"/>
          <w:szCs w:val="28"/>
          <w:highlight w:val="none"/>
          <w:lang w:eastAsia="zh-CN"/>
        </w:rPr>
        <w:t>的征求意</w:t>
      </w:r>
      <w:r>
        <w:rPr>
          <w:rFonts w:hint="eastAsia" w:ascii="宋体" w:hAnsi="宋体" w:eastAsia="宋体" w:cs="宋体"/>
          <w:b/>
          <w:bCs/>
          <w:color w:val="auto"/>
          <w:spacing w:val="-6"/>
          <w:sz w:val="28"/>
          <w:szCs w:val="28"/>
          <w:highlight w:val="none"/>
        </w:rPr>
        <w:t>见公示</w:t>
      </w:r>
      <w:bookmarkEnd w:id="33"/>
    </w:p>
    <w:p w14:paraId="602507BB">
      <w:pPr>
        <w:keepNext w:val="0"/>
        <w:keepLines w:val="0"/>
        <w:pageBreakBefore w:val="0"/>
        <w:widowControl/>
        <w:kinsoku/>
        <w:wordWrap/>
        <w:overflowPunct/>
        <w:topLinePunct w:val="0"/>
        <w:autoSpaceDE/>
        <w:autoSpaceDN/>
        <w:bidi w:val="0"/>
        <w:adjustRightInd/>
        <w:snapToGrid w:val="0"/>
        <w:spacing w:afterAutospacing="0" w:line="360" w:lineRule="auto"/>
        <w:ind w:left="62" w:right="62" w:firstLine="420" w:firstLineChars="200"/>
        <w:jc w:val="left"/>
        <w:textAlignment w:val="auto"/>
        <w:rPr>
          <w:rFonts w:hint="eastAsia" w:ascii="宋体" w:hAnsi="宋体" w:eastAsia="宋体" w:cs="宋体"/>
          <w:bCs/>
          <w:color w:val="auto"/>
          <w:kern w:val="0"/>
          <w:sz w:val="21"/>
          <w:szCs w:val="21"/>
          <w:highlight w:val="none"/>
          <w:u w:val="single"/>
          <w:lang w:eastAsia="zh-CN"/>
        </w:rPr>
      </w:pPr>
    </w:p>
    <w:p w14:paraId="02DA000F">
      <w:pPr>
        <w:keepNext w:val="0"/>
        <w:keepLines w:val="0"/>
        <w:pageBreakBefore w:val="0"/>
        <w:widowControl/>
        <w:kinsoku/>
        <w:wordWrap/>
        <w:overflowPunct/>
        <w:topLinePunct w:val="0"/>
        <w:autoSpaceDE/>
        <w:autoSpaceDN/>
        <w:bidi w:val="0"/>
        <w:adjustRightInd/>
        <w:snapToGrid w:val="0"/>
        <w:spacing w:afterAutospacing="0" w:line="360" w:lineRule="auto"/>
        <w:ind w:left="62" w:right="62" w:firstLine="420" w:firstLineChars="20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u w:val="single"/>
          <w:lang w:eastAsia="zh-CN"/>
        </w:rPr>
        <w:t>温州市兴城工程造价审计咨询事务所（普通合伙）</w:t>
      </w:r>
      <w:r>
        <w:rPr>
          <w:rFonts w:hint="eastAsia" w:ascii="宋体" w:hAnsi="宋体" w:eastAsia="宋体" w:cs="宋体"/>
          <w:bCs/>
          <w:color w:val="auto"/>
          <w:kern w:val="0"/>
          <w:sz w:val="21"/>
          <w:szCs w:val="21"/>
          <w:highlight w:val="none"/>
        </w:rPr>
        <w:t>受</w:t>
      </w:r>
      <w:r>
        <w:rPr>
          <w:rFonts w:hint="eastAsia" w:ascii="宋体" w:hAnsi="宋体" w:eastAsia="宋体" w:cs="宋体"/>
          <w:bCs/>
          <w:color w:val="auto"/>
          <w:kern w:val="0"/>
          <w:sz w:val="21"/>
          <w:szCs w:val="21"/>
          <w:highlight w:val="none"/>
          <w:u w:val="single"/>
          <w:lang w:eastAsia="zh-CN"/>
        </w:rPr>
        <w:t>温州瓯瓷产业发展有限公司</w:t>
      </w:r>
      <w:r>
        <w:rPr>
          <w:rFonts w:hint="eastAsia" w:ascii="宋体" w:hAnsi="宋体" w:eastAsia="宋体" w:cs="宋体"/>
          <w:bCs/>
          <w:color w:val="auto"/>
          <w:kern w:val="0"/>
          <w:sz w:val="21"/>
          <w:szCs w:val="21"/>
          <w:highlight w:val="none"/>
        </w:rPr>
        <w:t>委托就</w:t>
      </w:r>
      <w:r>
        <w:rPr>
          <w:rFonts w:hint="eastAsia" w:ascii="宋体" w:hAnsi="宋体" w:cs="宋体"/>
          <w:color w:val="auto"/>
          <w:sz w:val="21"/>
          <w:szCs w:val="21"/>
          <w:highlight w:val="none"/>
          <w:u w:val="single"/>
          <w:lang w:eastAsia="zh-CN"/>
        </w:rPr>
        <w:t>瓯窑产业化项目研发生产提效设备-陶艺工作室仪器设备</w:t>
      </w:r>
      <w:r>
        <w:rPr>
          <w:rFonts w:hint="eastAsia" w:ascii="宋体" w:hAnsi="宋体" w:eastAsia="宋体" w:cs="宋体"/>
          <w:bCs/>
          <w:color w:val="auto"/>
          <w:kern w:val="0"/>
          <w:sz w:val="21"/>
          <w:szCs w:val="21"/>
          <w:highlight w:val="none"/>
        </w:rPr>
        <w:t>以公开招标方式进行招标。现将</w:t>
      </w:r>
      <w:r>
        <w:rPr>
          <w:rFonts w:hint="eastAsia" w:ascii="宋体" w:hAnsi="宋体" w:eastAsia="宋体" w:cs="宋体"/>
          <w:bCs/>
          <w:color w:val="auto"/>
          <w:kern w:val="0"/>
          <w:sz w:val="21"/>
          <w:szCs w:val="21"/>
          <w:highlight w:val="none"/>
          <w:lang w:eastAsia="zh-CN"/>
        </w:rPr>
        <w:t>采购文件</w:t>
      </w:r>
      <w:r>
        <w:rPr>
          <w:rFonts w:hint="eastAsia" w:ascii="宋体" w:hAnsi="宋体" w:eastAsia="宋体" w:cs="宋体"/>
          <w:bCs/>
          <w:color w:val="auto"/>
          <w:kern w:val="0"/>
          <w:sz w:val="21"/>
          <w:szCs w:val="21"/>
          <w:highlight w:val="none"/>
        </w:rPr>
        <w:t>公布如下,并公开征求供应商及专家意见。</w:t>
      </w:r>
    </w:p>
    <w:p w14:paraId="10E1A6B1">
      <w:pPr>
        <w:keepNext w:val="0"/>
        <w:keepLines w:val="0"/>
        <w:pageBreakBefore w:val="0"/>
        <w:widowControl/>
        <w:kinsoku/>
        <w:wordWrap/>
        <w:overflowPunct/>
        <w:topLinePunct w:val="0"/>
        <w:autoSpaceDE/>
        <w:autoSpaceDN/>
        <w:bidi w:val="0"/>
        <w:adjustRightInd/>
        <w:snapToGrid w:val="0"/>
        <w:spacing w:afterAutospacing="0" w:line="360" w:lineRule="auto"/>
        <w:ind w:right="62"/>
        <w:jc w:val="left"/>
        <w:textAlignment w:val="auto"/>
        <w:outlineLvl w:val="1"/>
        <w:rPr>
          <w:rFonts w:hint="eastAsia" w:ascii="宋体" w:hAnsi="宋体" w:eastAsia="宋体" w:cs="宋体"/>
          <w:b/>
          <w:color w:val="auto"/>
          <w:kern w:val="0"/>
          <w:sz w:val="21"/>
          <w:szCs w:val="21"/>
          <w:highlight w:val="none"/>
        </w:rPr>
      </w:pPr>
      <w:bookmarkStart w:id="34" w:name="_Toc5206"/>
      <w:bookmarkStart w:id="35" w:name="_Toc10567"/>
      <w:r>
        <w:rPr>
          <w:rFonts w:hint="eastAsia" w:ascii="宋体" w:hAnsi="宋体" w:eastAsia="宋体" w:cs="宋体"/>
          <w:b/>
          <w:color w:val="auto"/>
          <w:kern w:val="0"/>
          <w:sz w:val="21"/>
          <w:szCs w:val="21"/>
          <w:highlight w:val="none"/>
        </w:rPr>
        <w:t>一、征求意见范围：</w:t>
      </w:r>
      <w:bookmarkEnd w:id="34"/>
      <w:bookmarkEnd w:id="35"/>
    </w:p>
    <w:p w14:paraId="35958F58">
      <w:pPr>
        <w:keepNext w:val="0"/>
        <w:keepLines w:val="0"/>
        <w:pageBreakBefore w:val="0"/>
        <w:widowControl/>
        <w:kinsoku/>
        <w:wordWrap/>
        <w:overflowPunct/>
        <w:topLinePunct w:val="0"/>
        <w:autoSpaceDE/>
        <w:autoSpaceDN/>
        <w:bidi w:val="0"/>
        <w:adjustRightInd/>
        <w:snapToGrid w:val="0"/>
        <w:spacing w:afterAutospacing="0" w:line="360" w:lineRule="auto"/>
        <w:ind w:left="62" w:right="62" w:firstLine="420" w:firstLineChars="20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1、是否出现明显的倾向性意见和特定的性能指标；</w:t>
      </w:r>
    </w:p>
    <w:p w14:paraId="5880810D">
      <w:pPr>
        <w:keepNext w:val="0"/>
        <w:keepLines w:val="0"/>
        <w:pageBreakBefore w:val="0"/>
        <w:widowControl/>
        <w:kinsoku/>
        <w:wordWrap/>
        <w:overflowPunct/>
        <w:topLinePunct w:val="0"/>
        <w:autoSpaceDE/>
        <w:autoSpaceDN/>
        <w:bidi w:val="0"/>
        <w:adjustRightInd/>
        <w:snapToGrid w:val="0"/>
        <w:spacing w:afterAutospacing="0" w:line="360" w:lineRule="auto"/>
        <w:ind w:left="62" w:right="62" w:firstLine="420" w:firstLineChars="20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2、投标供应商资格条件是否具有明显倾向性和歧视性；</w:t>
      </w:r>
    </w:p>
    <w:p w14:paraId="69D58517">
      <w:pPr>
        <w:keepNext w:val="0"/>
        <w:keepLines w:val="0"/>
        <w:pageBreakBefore w:val="0"/>
        <w:widowControl/>
        <w:kinsoku/>
        <w:wordWrap/>
        <w:overflowPunct/>
        <w:topLinePunct w:val="0"/>
        <w:autoSpaceDE/>
        <w:autoSpaceDN/>
        <w:bidi w:val="0"/>
        <w:adjustRightInd/>
        <w:snapToGrid w:val="0"/>
        <w:spacing w:afterAutospacing="0" w:line="360" w:lineRule="auto"/>
        <w:ind w:left="62" w:right="62" w:firstLine="420" w:firstLineChars="20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3、影响</w:t>
      </w:r>
      <w:r>
        <w:rPr>
          <w:rFonts w:hint="eastAsia" w:ascii="宋体" w:hAnsi="宋体" w:eastAsia="宋体" w:cs="宋体"/>
          <w:bCs/>
          <w:color w:val="auto"/>
          <w:kern w:val="0"/>
          <w:sz w:val="21"/>
          <w:szCs w:val="21"/>
          <w:highlight w:val="none"/>
          <w:lang w:eastAsia="zh-CN"/>
        </w:rPr>
        <w:t>招标</w:t>
      </w:r>
      <w:r>
        <w:rPr>
          <w:rFonts w:hint="eastAsia" w:ascii="宋体" w:hAnsi="宋体" w:eastAsia="宋体" w:cs="宋体"/>
          <w:bCs/>
          <w:color w:val="auto"/>
          <w:kern w:val="0"/>
          <w:sz w:val="21"/>
          <w:szCs w:val="21"/>
          <w:highlight w:val="none"/>
        </w:rPr>
        <w:t>“公开、公平、公正”原则的其他情况。</w:t>
      </w:r>
    </w:p>
    <w:p w14:paraId="72904485">
      <w:pPr>
        <w:keepNext w:val="0"/>
        <w:keepLines w:val="0"/>
        <w:pageBreakBefore w:val="0"/>
        <w:widowControl/>
        <w:kinsoku/>
        <w:wordWrap/>
        <w:overflowPunct/>
        <w:topLinePunct w:val="0"/>
        <w:autoSpaceDE/>
        <w:autoSpaceDN/>
        <w:bidi w:val="0"/>
        <w:adjustRightInd/>
        <w:snapToGrid w:val="0"/>
        <w:spacing w:afterAutospacing="0" w:line="360" w:lineRule="auto"/>
        <w:ind w:right="62"/>
        <w:jc w:val="left"/>
        <w:textAlignment w:val="auto"/>
        <w:outlineLvl w:val="1"/>
        <w:rPr>
          <w:rFonts w:hint="eastAsia" w:ascii="宋体" w:hAnsi="宋体" w:eastAsia="宋体" w:cs="宋体"/>
          <w:b/>
          <w:color w:val="auto"/>
          <w:kern w:val="0"/>
          <w:sz w:val="21"/>
          <w:szCs w:val="21"/>
          <w:highlight w:val="none"/>
        </w:rPr>
      </w:pPr>
      <w:bookmarkStart w:id="36" w:name="_Toc25362"/>
      <w:bookmarkStart w:id="37" w:name="_Toc25914"/>
      <w:r>
        <w:rPr>
          <w:rFonts w:hint="eastAsia" w:ascii="宋体" w:hAnsi="宋体" w:eastAsia="宋体" w:cs="宋体"/>
          <w:b/>
          <w:color w:val="auto"/>
          <w:kern w:val="0"/>
          <w:sz w:val="21"/>
          <w:szCs w:val="21"/>
          <w:highlight w:val="none"/>
        </w:rPr>
        <w:t>二、征求意见的回复：</w:t>
      </w:r>
      <w:bookmarkEnd w:id="36"/>
      <w:bookmarkEnd w:id="37"/>
    </w:p>
    <w:p w14:paraId="6FDC0859">
      <w:pPr>
        <w:keepNext w:val="0"/>
        <w:keepLines w:val="0"/>
        <w:pageBreakBefore w:val="0"/>
        <w:widowControl/>
        <w:kinsoku/>
        <w:wordWrap/>
        <w:overflowPunct/>
        <w:topLinePunct w:val="0"/>
        <w:autoSpaceDE/>
        <w:autoSpaceDN/>
        <w:bidi w:val="0"/>
        <w:adjustRightInd/>
        <w:snapToGrid w:val="0"/>
        <w:spacing w:afterAutospacing="0" w:line="360" w:lineRule="auto"/>
        <w:ind w:left="62" w:right="62" w:firstLine="420" w:firstLineChars="20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各供应商及专家提出修改理由和建议的，请于</w:t>
      </w:r>
      <w:r>
        <w:rPr>
          <w:rFonts w:hint="eastAsia" w:ascii="宋体" w:hAnsi="宋体" w:cs="宋体"/>
          <w:bCs/>
          <w:color w:val="auto"/>
          <w:kern w:val="0"/>
          <w:sz w:val="21"/>
          <w:szCs w:val="21"/>
          <w:highlight w:val="none"/>
          <w:lang w:eastAsia="zh-CN"/>
        </w:rPr>
        <w:t>2025年12月</w:t>
      </w:r>
      <w:r>
        <w:rPr>
          <w:rFonts w:hint="eastAsia" w:ascii="宋体" w:hAnsi="宋体" w:cs="宋体"/>
          <w:bCs/>
          <w:color w:val="auto"/>
          <w:kern w:val="0"/>
          <w:sz w:val="21"/>
          <w:szCs w:val="21"/>
          <w:highlight w:val="none"/>
          <w:lang w:val="en-US" w:eastAsia="zh-CN"/>
        </w:rPr>
        <w:t>2</w:t>
      </w:r>
      <w:r>
        <w:rPr>
          <w:rFonts w:hint="eastAsia" w:ascii="宋体" w:hAnsi="宋体" w:cs="宋体"/>
          <w:bCs/>
          <w:color w:val="auto"/>
          <w:kern w:val="0"/>
          <w:sz w:val="21"/>
          <w:szCs w:val="21"/>
          <w:highlight w:val="none"/>
          <w:lang w:eastAsia="zh-CN"/>
        </w:rPr>
        <w:t>日</w:t>
      </w:r>
      <w:r>
        <w:rPr>
          <w:rFonts w:hint="eastAsia" w:ascii="宋体" w:hAnsi="宋体" w:eastAsia="宋体" w:cs="宋体"/>
          <w:bCs/>
          <w:color w:val="auto"/>
          <w:kern w:val="0"/>
          <w:sz w:val="21"/>
          <w:szCs w:val="21"/>
          <w:highlight w:val="none"/>
        </w:rPr>
        <w:t>下午17:00前（节假日除外）将书面材料签字（盖公章）并密封后送至</w:t>
      </w:r>
      <w:r>
        <w:rPr>
          <w:rFonts w:hint="eastAsia" w:ascii="宋体" w:hAnsi="宋体" w:eastAsia="宋体" w:cs="宋体"/>
          <w:bCs/>
          <w:color w:val="auto"/>
          <w:kern w:val="0"/>
          <w:sz w:val="21"/>
          <w:szCs w:val="21"/>
          <w:highlight w:val="none"/>
          <w:lang w:eastAsia="zh-CN"/>
        </w:rPr>
        <w:t>温州市兴城工程造价审计咨询事务所（普通合伙）</w:t>
      </w:r>
      <w:r>
        <w:rPr>
          <w:rFonts w:hint="eastAsia" w:ascii="宋体" w:hAnsi="宋体" w:eastAsia="宋体" w:cs="宋体"/>
          <w:bCs/>
          <w:color w:val="auto"/>
          <w:kern w:val="0"/>
          <w:sz w:val="21"/>
          <w:szCs w:val="21"/>
          <w:highlight w:val="none"/>
        </w:rPr>
        <w:t>，外地可将电子文档（签章）发送至以下信箱：</w:t>
      </w:r>
      <w:r>
        <w:rPr>
          <w:rFonts w:hint="eastAsia" w:ascii="宋体" w:hAnsi="宋体" w:eastAsia="宋体" w:cs="宋体"/>
          <w:bCs/>
          <w:color w:val="auto"/>
          <w:kern w:val="0"/>
          <w:szCs w:val="21"/>
          <w:highlight w:val="none"/>
          <w:lang w:eastAsia="zh-CN"/>
        </w:rPr>
        <w:t>1589009783@qq.com</w:t>
      </w:r>
      <w:r>
        <w:rPr>
          <w:rFonts w:hint="eastAsia" w:ascii="宋体" w:hAnsi="宋体" w:eastAsia="宋体" w:cs="宋体"/>
          <w:bCs/>
          <w:color w:val="auto"/>
          <w:kern w:val="0"/>
          <w:sz w:val="21"/>
          <w:szCs w:val="21"/>
          <w:highlight w:val="none"/>
        </w:rPr>
        <w:t>或邮寄至我公司。</w:t>
      </w:r>
    </w:p>
    <w:p w14:paraId="309992BB">
      <w:pPr>
        <w:keepNext w:val="0"/>
        <w:keepLines w:val="0"/>
        <w:pageBreakBefore w:val="0"/>
        <w:widowControl/>
        <w:kinsoku/>
        <w:wordWrap/>
        <w:overflowPunct/>
        <w:topLinePunct w:val="0"/>
        <w:autoSpaceDE/>
        <w:autoSpaceDN/>
        <w:bidi w:val="0"/>
        <w:adjustRightInd/>
        <w:snapToGrid w:val="0"/>
        <w:spacing w:afterAutospacing="0" w:line="36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三、联系方式：</w:t>
      </w:r>
    </w:p>
    <w:p w14:paraId="6828672D">
      <w:pPr>
        <w:keepNext w:val="0"/>
        <w:keepLines w:val="0"/>
        <w:pageBreakBefore w:val="0"/>
        <w:widowControl/>
        <w:kinsoku/>
        <w:wordWrap/>
        <w:overflowPunct/>
        <w:topLinePunct w:val="0"/>
        <w:autoSpaceDE/>
        <w:autoSpaceDN/>
        <w:bidi w:val="0"/>
        <w:adjustRightInd/>
        <w:snapToGrid w:val="0"/>
        <w:spacing w:afterAutospacing="0" w:line="360" w:lineRule="auto"/>
        <w:ind w:firstLine="405" w:firstLineChars="193"/>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联系人：</w:t>
      </w:r>
      <w:r>
        <w:rPr>
          <w:rFonts w:hint="eastAsia" w:ascii="宋体" w:hAnsi="宋体" w:eastAsia="宋体" w:cs="宋体"/>
          <w:color w:val="auto"/>
          <w:sz w:val="21"/>
          <w:szCs w:val="21"/>
          <w:highlight w:val="none"/>
          <w:u w:val="none"/>
          <w:lang w:val="en-US" w:eastAsia="zh-CN"/>
        </w:rPr>
        <w:t>金奇云、郑凯挺</w:t>
      </w:r>
    </w:p>
    <w:p w14:paraId="38205D5E">
      <w:pPr>
        <w:keepNext w:val="0"/>
        <w:keepLines w:val="0"/>
        <w:pageBreakBefore w:val="0"/>
        <w:widowControl/>
        <w:kinsoku/>
        <w:wordWrap/>
        <w:overflowPunct/>
        <w:topLinePunct w:val="0"/>
        <w:autoSpaceDE/>
        <w:autoSpaceDN/>
        <w:bidi w:val="0"/>
        <w:adjustRightInd/>
        <w:snapToGrid w:val="0"/>
        <w:spacing w:afterAutospacing="0" w:line="360" w:lineRule="auto"/>
        <w:ind w:firstLine="405" w:firstLineChars="193"/>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联系电话：</w:t>
      </w:r>
      <w:r>
        <w:rPr>
          <w:rFonts w:hint="eastAsia" w:ascii="宋体" w:hAnsi="宋体" w:eastAsia="宋体" w:cs="宋体"/>
          <w:color w:val="auto"/>
          <w:sz w:val="21"/>
          <w:szCs w:val="21"/>
          <w:highlight w:val="none"/>
          <w:u w:val="none"/>
          <w:lang w:val="en-US" w:eastAsia="zh-CN"/>
        </w:rPr>
        <w:t>0577-88370285、13634235000</w:t>
      </w:r>
    </w:p>
    <w:p w14:paraId="7A4068DD">
      <w:pPr>
        <w:keepNext w:val="0"/>
        <w:keepLines w:val="0"/>
        <w:pageBreakBefore w:val="0"/>
        <w:widowControl/>
        <w:kinsoku/>
        <w:wordWrap/>
        <w:overflowPunct/>
        <w:topLinePunct w:val="0"/>
        <w:autoSpaceDE/>
        <w:autoSpaceDN/>
        <w:bidi w:val="0"/>
        <w:adjustRightInd/>
        <w:snapToGrid w:val="0"/>
        <w:spacing w:afterAutospacing="0" w:line="360" w:lineRule="auto"/>
        <w:ind w:firstLine="405" w:firstLineChars="193"/>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联系地址：</w:t>
      </w:r>
      <w:r>
        <w:rPr>
          <w:rFonts w:hint="eastAsia" w:ascii="宋体" w:hAnsi="宋体" w:eastAsia="宋体" w:cs="宋体"/>
          <w:color w:val="auto"/>
          <w:sz w:val="21"/>
          <w:szCs w:val="21"/>
          <w:highlight w:val="none"/>
          <w:u w:val="none"/>
          <w:lang w:eastAsia="zh-CN"/>
        </w:rPr>
        <w:t>温州市车站大道大诚商厦E幢702室</w:t>
      </w:r>
    </w:p>
    <w:p w14:paraId="680FD012">
      <w:pPr>
        <w:keepNext w:val="0"/>
        <w:keepLines w:val="0"/>
        <w:pageBreakBefore w:val="0"/>
        <w:widowControl/>
        <w:kinsoku/>
        <w:wordWrap/>
        <w:overflowPunct/>
        <w:topLinePunct w:val="0"/>
        <w:autoSpaceDE/>
        <w:autoSpaceDN/>
        <w:bidi w:val="0"/>
        <w:adjustRightInd/>
        <w:snapToGrid w:val="0"/>
        <w:spacing w:afterAutospacing="0" w:line="360" w:lineRule="auto"/>
        <w:ind w:firstLine="405" w:firstLineChars="193"/>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对逾期送达的意见、建议书恕不接受。</w:t>
      </w:r>
    </w:p>
    <w:p w14:paraId="01436895">
      <w:pPr>
        <w:keepNext w:val="0"/>
        <w:keepLines w:val="0"/>
        <w:pageBreakBefore w:val="0"/>
        <w:widowControl/>
        <w:kinsoku/>
        <w:wordWrap/>
        <w:overflowPunct/>
        <w:topLinePunct w:val="0"/>
        <w:autoSpaceDE/>
        <w:autoSpaceDN/>
        <w:bidi w:val="0"/>
        <w:adjustRightInd/>
        <w:snapToGrid w:val="0"/>
        <w:spacing w:afterAutospacing="0" w:line="36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四、附件：</w:t>
      </w:r>
    </w:p>
    <w:p w14:paraId="6761DEE1">
      <w:pPr>
        <w:keepNext w:val="0"/>
        <w:keepLines w:val="0"/>
        <w:pageBreakBefore w:val="0"/>
        <w:widowControl/>
        <w:kinsoku/>
        <w:wordWrap/>
        <w:overflowPunct/>
        <w:topLinePunct w:val="0"/>
        <w:autoSpaceDE/>
        <w:autoSpaceDN/>
        <w:bidi w:val="0"/>
        <w:adjustRightInd/>
        <w:snapToGrid w:val="0"/>
        <w:spacing w:afterAutospacing="0" w:line="360" w:lineRule="auto"/>
        <w:ind w:firstLine="407" w:firstLineChars="193"/>
        <w:jc w:val="lef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采购文件</w:t>
      </w:r>
    </w:p>
    <w:p w14:paraId="7EEE304D">
      <w:pPr>
        <w:keepNext w:val="0"/>
        <w:keepLines w:val="0"/>
        <w:pageBreakBefore w:val="0"/>
        <w:widowControl/>
        <w:kinsoku/>
        <w:wordWrap/>
        <w:overflowPunct/>
        <w:topLinePunct w:val="0"/>
        <w:autoSpaceDE/>
        <w:autoSpaceDN/>
        <w:bidi w:val="0"/>
        <w:adjustRightInd/>
        <w:snapToGrid w:val="0"/>
        <w:spacing w:afterAutospacing="0" w:line="360" w:lineRule="auto"/>
        <w:ind w:left="62" w:right="62" w:firstLine="420" w:firstLineChars="200"/>
        <w:jc w:val="right"/>
        <w:textAlignment w:val="auto"/>
        <w:rPr>
          <w:rFonts w:hint="eastAsia"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lang w:eastAsia="zh-CN"/>
        </w:rPr>
        <w:t>温州瓯瓷产业发展有限公司</w:t>
      </w:r>
    </w:p>
    <w:p w14:paraId="3131A7BD">
      <w:pPr>
        <w:keepNext w:val="0"/>
        <w:keepLines w:val="0"/>
        <w:pageBreakBefore w:val="0"/>
        <w:widowControl/>
        <w:kinsoku/>
        <w:wordWrap/>
        <w:overflowPunct/>
        <w:topLinePunct w:val="0"/>
        <w:autoSpaceDE/>
        <w:autoSpaceDN/>
        <w:bidi w:val="0"/>
        <w:adjustRightInd/>
        <w:snapToGrid w:val="0"/>
        <w:spacing w:afterAutospacing="0" w:line="360" w:lineRule="auto"/>
        <w:ind w:left="62" w:right="62" w:firstLine="420" w:firstLineChars="200"/>
        <w:jc w:val="right"/>
        <w:textAlignment w:val="auto"/>
        <w:rPr>
          <w:rFonts w:hint="eastAsia" w:ascii="宋体" w:hAnsi="宋体" w:eastAsia="宋体" w:cs="宋体"/>
          <w:bCs/>
          <w:color w:val="auto"/>
          <w:kern w:val="0"/>
          <w:sz w:val="21"/>
          <w:szCs w:val="21"/>
          <w:highlight w:val="none"/>
          <w:lang w:eastAsia="zh-CN"/>
        </w:rPr>
      </w:pPr>
      <w:r>
        <w:rPr>
          <w:rFonts w:hint="eastAsia" w:ascii="宋体" w:hAnsi="宋体" w:eastAsia="宋体" w:cs="宋体"/>
          <w:bCs/>
          <w:color w:val="auto"/>
          <w:kern w:val="0"/>
          <w:sz w:val="21"/>
          <w:szCs w:val="21"/>
          <w:highlight w:val="none"/>
          <w:lang w:eastAsia="zh-CN"/>
        </w:rPr>
        <w:t>温州市兴城工程造价审计咨询事务所（普通合伙）</w:t>
      </w:r>
    </w:p>
    <w:p w14:paraId="05AC174E">
      <w:pPr>
        <w:keepNext w:val="0"/>
        <w:keepLines w:val="0"/>
        <w:pageBreakBefore w:val="0"/>
        <w:widowControl/>
        <w:kinsoku/>
        <w:wordWrap/>
        <w:overflowPunct/>
        <w:topLinePunct w:val="0"/>
        <w:autoSpaceDE/>
        <w:autoSpaceDN/>
        <w:bidi w:val="0"/>
        <w:adjustRightInd/>
        <w:snapToGrid w:val="0"/>
        <w:spacing w:afterAutospacing="0" w:line="360" w:lineRule="auto"/>
        <w:ind w:firstLine="403" w:firstLineChars="192"/>
        <w:jc w:val="right"/>
        <w:textAlignment w:val="auto"/>
        <w:rPr>
          <w:rFonts w:hint="eastAsia" w:ascii="宋体" w:hAnsi="宋体" w:eastAsia="宋体" w:cs="宋体"/>
          <w:b/>
          <w:bCs/>
          <w:color w:val="auto"/>
          <w:sz w:val="36"/>
          <w:highlight w:val="none"/>
          <w:lang w:eastAsia="zh-CN"/>
        </w:rPr>
      </w:pPr>
      <w:r>
        <w:rPr>
          <w:rFonts w:hint="eastAsia" w:ascii="宋体" w:hAnsi="宋体" w:cs="宋体"/>
          <w:bCs/>
          <w:color w:val="auto"/>
          <w:kern w:val="0"/>
          <w:sz w:val="21"/>
          <w:szCs w:val="21"/>
          <w:highlight w:val="none"/>
          <w:lang w:eastAsia="zh-CN"/>
        </w:rPr>
        <w:t>2025年11月</w:t>
      </w:r>
      <w:r>
        <w:rPr>
          <w:rFonts w:hint="eastAsia" w:ascii="宋体" w:hAnsi="宋体" w:cs="宋体"/>
          <w:bCs/>
          <w:color w:val="auto"/>
          <w:kern w:val="0"/>
          <w:sz w:val="21"/>
          <w:szCs w:val="21"/>
          <w:highlight w:val="none"/>
          <w:lang w:val="en-US" w:eastAsia="zh-CN"/>
        </w:rPr>
        <w:t>28</w:t>
      </w:r>
      <w:r>
        <w:rPr>
          <w:rFonts w:hint="eastAsia" w:ascii="宋体" w:hAnsi="宋体" w:cs="宋体"/>
          <w:bCs/>
          <w:color w:val="auto"/>
          <w:kern w:val="0"/>
          <w:sz w:val="21"/>
          <w:szCs w:val="21"/>
          <w:highlight w:val="none"/>
          <w:lang w:eastAsia="zh-CN"/>
        </w:rPr>
        <w:t>日</w:t>
      </w:r>
    </w:p>
    <w:p w14:paraId="30AF1C0E">
      <w:pPr>
        <w:keepNext w:val="0"/>
        <w:keepLines w:val="0"/>
        <w:pageBreakBefore w:val="0"/>
        <w:kinsoku/>
        <w:topLinePunct w:val="0"/>
        <w:bidi w:val="0"/>
        <w:snapToGrid w:val="0"/>
        <w:spacing w:afterAutospacing="0" w:line="360" w:lineRule="auto"/>
        <w:rPr>
          <w:rFonts w:hint="eastAsia" w:ascii="宋体" w:hAnsi="宋体" w:eastAsia="宋体" w:cs="宋体"/>
          <w:color w:val="auto"/>
          <w:highlight w:val="none"/>
        </w:rPr>
      </w:pPr>
    </w:p>
    <w:p w14:paraId="2E4403BF">
      <w:pPr>
        <w:pStyle w:val="20"/>
        <w:spacing w:after="50" w:line="360" w:lineRule="auto"/>
        <w:ind w:firstLine="0"/>
        <w:jc w:val="center"/>
        <w:outlineLvl w:val="0"/>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br w:type="page"/>
      </w:r>
      <w:bookmarkStart w:id="38" w:name="_Toc24144"/>
      <w:bookmarkStart w:id="39" w:name="_Toc13123"/>
      <w:bookmarkStart w:id="40" w:name="_Toc20657"/>
      <w:bookmarkStart w:id="41" w:name="_Toc21914"/>
      <w:bookmarkStart w:id="42" w:name="_Toc31644"/>
      <w:r>
        <w:rPr>
          <w:rFonts w:hint="eastAsia" w:ascii="宋体" w:hAnsi="宋体" w:eastAsia="宋体" w:cs="宋体"/>
          <w:b/>
          <w:bCs/>
          <w:color w:val="auto"/>
          <w:szCs w:val="28"/>
          <w:highlight w:val="none"/>
        </w:rPr>
        <w:t>第二部分  投标须知及前附表</w:t>
      </w:r>
      <w:bookmarkEnd w:id="38"/>
      <w:bookmarkEnd w:id="39"/>
      <w:bookmarkEnd w:id="40"/>
    </w:p>
    <w:p w14:paraId="51A75705">
      <w:pPr>
        <w:pStyle w:val="20"/>
        <w:spacing w:after="50" w:line="360" w:lineRule="auto"/>
        <w:ind w:firstLine="0"/>
        <w:jc w:val="center"/>
        <w:outlineLvl w:val="1"/>
        <w:rPr>
          <w:rFonts w:hint="eastAsia" w:ascii="宋体" w:hAnsi="宋体" w:eastAsia="宋体" w:cs="宋体"/>
          <w:b/>
          <w:bCs/>
          <w:color w:val="auto"/>
          <w:sz w:val="24"/>
          <w:highlight w:val="none"/>
        </w:rPr>
      </w:pPr>
      <w:bookmarkStart w:id="43" w:name="_Toc11680"/>
      <w:r>
        <w:rPr>
          <w:rFonts w:hint="eastAsia" w:ascii="宋体" w:hAnsi="宋体" w:eastAsia="宋体" w:cs="宋体"/>
          <w:b/>
          <w:bCs/>
          <w:color w:val="auto"/>
          <w:sz w:val="24"/>
          <w:highlight w:val="none"/>
        </w:rPr>
        <w:t>（一）投标须知前附表</w:t>
      </w:r>
      <w:bookmarkEnd w:id="41"/>
      <w:bookmarkEnd w:id="42"/>
      <w:bookmarkEnd w:id="43"/>
    </w:p>
    <w:tbl>
      <w:tblPr>
        <w:tblStyle w:val="49"/>
        <w:tblW w:w="927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57" w:type="dxa"/>
          <w:left w:w="108" w:type="dxa"/>
          <w:bottom w:w="57" w:type="dxa"/>
          <w:right w:w="108" w:type="dxa"/>
        </w:tblCellMar>
      </w:tblPr>
      <w:tblGrid>
        <w:gridCol w:w="645"/>
        <w:gridCol w:w="2009"/>
        <w:gridCol w:w="6620"/>
      </w:tblGrid>
      <w:tr w14:paraId="137F99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30" w:hRule="atLeast"/>
          <w:jc w:val="center"/>
        </w:trPr>
        <w:tc>
          <w:tcPr>
            <w:tcW w:w="645" w:type="dxa"/>
            <w:vAlign w:val="center"/>
          </w:tcPr>
          <w:p w14:paraId="03D58463">
            <w:pPr>
              <w:spacing w:line="276"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项号</w:t>
            </w:r>
          </w:p>
        </w:tc>
        <w:tc>
          <w:tcPr>
            <w:tcW w:w="2009" w:type="dxa"/>
            <w:vAlign w:val="center"/>
          </w:tcPr>
          <w:p w14:paraId="00364678">
            <w:pPr>
              <w:spacing w:line="276"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6620" w:type="dxa"/>
            <w:vAlign w:val="center"/>
          </w:tcPr>
          <w:p w14:paraId="3BFC99D6">
            <w:pPr>
              <w:spacing w:line="276"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14:paraId="20568A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29" w:hRule="atLeast"/>
          <w:jc w:val="center"/>
        </w:trPr>
        <w:tc>
          <w:tcPr>
            <w:tcW w:w="645" w:type="dxa"/>
            <w:vAlign w:val="center"/>
          </w:tcPr>
          <w:p w14:paraId="223267CA">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2009" w:type="dxa"/>
            <w:vAlign w:val="center"/>
          </w:tcPr>
          <w:p w14:paraId="10E54CA5">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6620" w:type="dxa"/>
            <w:vAlign w:val="center"/>
          </w:tcPr>
          <w:p w14:paraId="46E726C8">
            <w:pPr>
              <w:spacing w:line="276" w:lineRule="auto"/>
              <w:rPr>
                <w:rFonts w:hint="eastAsia" w:ascii="宋体" w:hAnsi="宋体" w:eastAsia="宋体" w:cs="宋体"/>
                <w:color w:val="auto"/>
                <w:szCs w:val="21"/>
                <w:highlight w:val="none"/>
                <w:lang w:val="en-US"/>
              </w:rPr>
            </w:pPr>
            <w:r>
              <w:rPr>
                <w:rFonts w:hint="eastAsia" w:ascii="宋体" w:hAnsi="宋体" w:cs="宋体"/>
                <w:bCs/>
                <w:color w:val="auto"/>
                <w:kern w:val="0"/>
                <w:szCs w:val="21"/>
                <w:highlight w:val="none"/>
                <w:lang w:eastAsia="zh-CN"/>
              </w:rPr>
              <w:t>瓯窑产业化项目研发生产提效设备-陶艺工作室仪器设备</w:t>
            </w:r>
          </w:p>
        </w:tc>
      </w:tr>
      <w:tr w14:paraId="41E8D4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209" w:hRule="atLeast"/>
          <w:jc w:val="center"/>
        </w:trPr>
        <w:tc>
          <w:tcPr>
            <w:tcW w:w="645" w:type="dxa"/>
            <w:vAlign w:val="center"/>
          </w:tcPr>
          <w:p w14:paraId="5DDA5885">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2009" w:type="dxa"/>
            <w:vAlign w:val="center"/>
          </w:tcPr>
          <w:p w14:paraId="70A12D96">
            <w:pPr>
              <w:spacing w:line="276" w:lineRule="auto"/>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项目编号</w:t>
            </w:r>
          </w:p>
        </w:tc>
        <w:tc>
          <w:tcPr>
            <w:tcW w:w="6620" w:type="dxa"/>
            <w:vAlign w:val="center"/>
          </w:tcPr>
          <w:p w14:paraId="0EC7D82F">
            <w:pPr>
              <w:spacing w:line="276" w:lineRule="auto"/>
              <w:rPr>
                <w:rFonts w:hint="eastAsia" w:ascii="宋体" w:hAnsi="宋体" w:eastAsia="宋体" w:cs="宋体"/>
                <w:bCs/>
                <w:color w:val="auto"/>
                <w:kern w:val="0"/>
                <w:szCs w:val="21"/>
                <w:highlight w:val="none"/>
                <w:lang w:val="en-US" w:eastAsia="zh-CN"/>
              </w:rPr>
            </w:pPr>
            <w:r>
              <w:rPr>
                <w:rFonts w:hint="eastAsia" w:ascii="宋体" w:hAnsi="宋体" w:cs="宋体"/>
                <w:bCs/>
                <w:color w:val="auto"/>
                <w:kern w:val="0"/>
                <w:szCs w:val="21"/>
                <w:highlight w:val="none"/>
                <w:lang w:val="en-US" w:eastAsia="zh-CN"/>
              </w:rPr>
              <w:t>WGSS-GYNY-Z-2025022</w:t>
            </w:r>
          </w:p>
        </w:tc>
      </w:tr>
      <w:tr w14:paraId="67E314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1200" w:hRule="atLeast"/>
          <w:jc w:val="center"/>
        </w:trPr>
        <w:tc>
          <w:tcPr>
            <w:tcW w:w="645" w:type="dxa"/>
            <w:vAlign w:val="center"/>
          </w:tcPr>
          <w:p w14:paraId="415EA0B3">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2009" w:type="dxa"/>
            <w:vAlign w:val="center"/>
          </w:tcPr>
          <w:p w14:paraId="5424CEFD">
            <w:pPr>
              <w:adjustRightInd w:val="0"/>
              <w:spacing w:line="276" w:lineRule="auto"/>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采购人</w:t>
            </w:r>
          </w:p>
        </w:tc>
        <w:tc>
          <w:tcPr>
            <w:tcW w:w="6620" w:type="dxa"/>
            <w:vAlign w:val="center"/>
          </w:tcPr>
          <w:p w14:paraId="4DF8B472">
            <w:pPr>
              <w:spacing w:line="276" w:lineRule="auto"/>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rPr>
              <w:t>名称：</w:t>
            </w:r>
            <w:r>
              <w:rPr>
                <w:rFonts w:hint="eastAsia" w:ascii="宋体" w:hAnsi="宋体" w:eastAsia="宋体" w:cs="宋体"/>
                <w:color w:val="auto"/>
                <w:szCs w:val="21"/>
                <w:highlight w:val="none"/>
                <w:lang w:eastAsia="zh-CN"/>
              </w:rPr>
              <w:t>温州瓯瓷产业发展有限公司</w:t>
            </w:r>
          </w:p>
          <w:p w14:paraId="6D832A9F">
            <w:pPr>
              <w:spacing w:line="276" w:lineRule="auto"/>
              <w:jc w:val="left"/>
              <w:rPr>
                <w:rFonts w:hint="eastAsia" w:ascii="宋体" w:hAnsi="宋体" w:eastAsia="宋体" w:cs="宋体"/>
                <w:color w:val="auto"/>
                <w:kern w:val="0"/>
                <w:szCs w:val="21"/>
                <w:highlight w:val="none"/>
                <w:lang w:val="en-US"/>
              </w:rPr>
            </w:pPr>
            <w:r>
              <w:rPr>
                <w:rFonts w:hint="eastAsia" w:ascii="宋体" w:hAnsi="宋体" w:eastAsia="宋体" w:cs="宋体"/>
                <w:color w:val="auto"/>
                <w:kern w:val="0"/>
                <w:szCs w:val="21"/>
                <w:highlight w:val="none"/>
              </w:rPr>
              <w:t>联系人：黄奔奔</w:t>
            </w:r>
          </w:p>
          <w:p w14:paraId="1F27FEE1">
            <w:pPr>
              <w:spacing w:line="276"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kern w:val="0"/>
                <w:szCs w:val="21"/>
                <w:highlight w:val="none"/>
              </w:rPr>
              <w:t>联系电话：17357785655</w:t>
            </w:r>
          </w:p>
        </w:tc>
      </w:tr>
      <w:tr w14:paraId="34A776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30" w:hRule="atLeast"/>
          <w:jc w:val="center"/>
        </w:trPr>
        <w:tc>
          <w:tcPr>
            <w:tcW w:w="645" w:type="dxa"/>
            <w:vAlign w:val="center"/>
          </w:tcPr>
          <w:p w14:paraId="4C63A2FE">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4</w:t>
            </w:r>
          </w:p>
        </w:tc>
        <w:tc>
          <w:tcPr>
            <w:tcW w:w="2009" w:type="dxa"/>
            <w:vAlign w:val="center"/>
          </w:tcPr>
          <w:p w14:paraId="52E68219">
            <w:pPr>
              <w:adjustRightInd w:val="0"/>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招标代理机构</w:t>
            </w:r>
          </w:p>
        </w:tc>
        <w:tc>
          <w:tcPr>
            <w:tcW w:w="6620" w:type="dxa"/>
            <w:vAlign w:val="center"/>
          </w:tcPr>
          <w:p w14:paraId="01205091">
            <w:pPr>
              <w:adjustRightInd w:val="0"/>
              <w:spacing w:line="360" w:lineRule="auto"/>
              <w:rPr>
                <w:rFonts w:hint="eastAsia" w:ascii="宋体" w:hAnsi="宋体" w:eastAsia="宋体" w:cs="宋体"/>
                <w:bCs/>
                <w:color w:val="auto"/>
                <w:kern w:val="0"/>
                <w:szCs w:val="21"/>
                <w:highlight w:val="none"/>
                <w:lang w:eastAsia="zh-CN"/>
              </w:rPr>
            </w:pPr>
            <w:r>
              <w:rPr>
                <w:rFonts w:hint="eastAsia" w:ascii="宋体" w:hAnsi="宋体" w:eastAsia="宋体" w:cs="宋体"/>
                <w:bCs/>
                <w:color w:val="auto"/>
                <w:kern w:val="0"/>
                <w:szCs w:val="21"/>
                <w:highlight w:val="none"/>
              </w:rPr>
              <w:t>名称：</w:t>
            </w:r>
            <w:r>
              <w:rPr>
                <w:rFonts w:hint="eastAsia" w:ascii="宋体" w:hAnsi="宋体" w:eastAsia="宋体" w:cs="宋体"/>
                <w:bCs/>
                <w:color w:val="auto"/>
                <w:kern w:val="0"/>
                <w:szCs w:val="21"/>
                <w:highlight w:val="none"/>
                <w:lang w:eastAsia="zh-CN"/>
              </w:rPr>
              <w:t>温州市兴城工程造价审计咨询事务所（普通合伙）</w:t>
            </w:r>
          </w:p>
          <w:p w14:paraId="3D967237">
            <w:pPr>
              <w:adjustRightInd w:val="0"/>
              <w:spacing w:line="360" w:lineRule="auto"/>
              <w:rPr>
                <w:rFonts w:hint="eastAsia" w:ascii="宋体" w:hAnsi="宋体" w:eastAsia="宋体" w:cs="宋体"/>
                <w:bCs/>
                <w:color w:val="auto"/>
                <w:kern w:val="0"/>
                <w:szCs w:val="21"/>
                <w:highlight w:val="none"/>
                <w:lang w:eastAsia="zh-CN"/>
              </w:rPr>
            </w:pPr>
            <w:r>
              <w:rPr>
                <w:rFonts w:hint="eastAsia" w:ascii="宋体" w:hAnsi="宋体" w:eastAsia="宋体" w:cs="宋体"/>
                <w:bCs/>
                <w:color w:val="auto"/>
                <w:kern w:val="0"/>
                <w:szCs w:val="21"/>
                <w:highlight w:val="none"/>
              </w:rPr>
              <w:t>地址：</w:t>
            </w:r>
            <w:r>
              <w:rPr>
                <w:rFonts w:hint="eastAsia" w:ascii="宋体" w:hAnsi="宋体" w:eastAsia="宋体" w:cs="宋体"/>
                <w:color w:val="auto"/>
                <w:szCs w:val="21"/>
                <w:highlight w:val="none"/>
                <w:lang w:eastAsia="zh-CN"/>
              </w:rPr>
              <w:t>温州市车站大道大诚商厦E幢702室</w:t>
            </w:r>
          </w:p>
          <w:p w14:paraId="789CD051">
            <w:pPr>
              <w:spacing w:line="360" w:lineRule="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联系人：</w:t>
            </w:r>
            <w:r>
              <w:rPr>
                <w:rFonts w:hint="eastAsia" w:ascii="宋体" w:hAnsi="宋体" w:eastAsia="宋体" w:cs="宋体"/>
                <w:color w:val="auto"/>
                <w:szCs w:val="21"/>
                <w:highlight w:val="none"/>
                <w:lang w:val="en-US" w:eastAsia="zh-CN"/>
              </w:rPr>
              <w:t>金奇云、郑凯挺</w:t>
            </w:r>
          </w:p>
          <w:p w14:paraId="03A7AEBD">
            <w:pPr>
              <w:spacing w:line="276" w:lineRule="auto"/>
              <w:jc w:val="left"/>
              <w:rPr>
                <w:rFonts w:hint="eastAsia" w:ascii="宋体" w:hAnsi="宋体" w:eastAsia="宋体" w:cs="宋体"/>
                <w:bCs/>
                <w:color w:val="auto"/>
                <w:kern w:val="0"/>
                <w:szCs w:val="21"/>
                <w:highlight w:val="none"/>
                <w:lang w:val="en-US" w:eastAsia="zh-CN"/>
              </w:rPr>
            </w:pPr>
            <w:r>
              <w:rPr>
                <w:rFonts w:hint="eastAsia" w:ascii="宋体" w:hAnsi="宋体" w:eastAsia="宋体" w:cs="宋体"/>
                <w:color w:val="auto"/>
                <w:szCs w:val="21"/>
                <w:highlight w:val="none"/>
              </w:rPr>
              <w:t>联系电话：</w:t>
            </w:r>
            <w:r>
              <w:rPr>
                <w:rFonts w:hint="eastAsia" w:ascii="宋体" w:hAnsi="宋体" w:eastAsia="宋体" w:cs="宋体"/>
                <w:color w:val="auto"/>
                <w:sz w:val="21"/>
                <w:szCs w:val="21"/>
                <w:highlight w:val="none"/>
                <w:u w:val="none"/>
                <w:lang w:val="en-US" w:eastAsia="zh-CN"/>
              </w:rPr>
              <w:t>0577-88370285、13634235000</w:t>
            </w:r>
          </w:p>
        </w:tc>
      </w:tr>
      <w:tr w14:paraId="45FB31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284" w:hRule="atLeast"/>
          <w:jc w:val="center"/>
        </w:trPr>
        <w:tc>
          <w:tcPr>
            <w:tcW w:w="645" w:type="dxa"/>
            <w:vAlign w:val="center"/>
          </w:tcPr>
          <w:p w14:paraId="0B3CEC3C">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w:t>
            </w:r>
          </w:p>
        </w:tc>
        <w:tc>
          <w:tcPr>
            <w:tcW w:w="2009" w:type="dxa"/>
            <w:vAlign w:val="center"/>
          </w:tcPr>
          <w:p w14:paraId="51B3C54B">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采购</w:t>
            </w:r>
            <w:r>
              <w:rPr>
                <w:rFonts w:hint="eastAsia" w:ascii="宋体" w:hAnsi="宋体" w:eastAsia="宋体" w:cs="宋体"/>
                <w:color w:val="auto"/>
                <w:szCs w:val="21"/>
                <w:highlight w:val="none"/>
              </w:rPr>
              <w:t>内容</w:t>
            </w:r>
          </w:p>
        </w:tc>
        <w:tc>
          <w:tcPr>
            <w:tcW w:w="6620" w:type="dxa"/>
            <w:vAlign w:val="center"/>
          </w:tcPr>
          <w:p w14:paraId="1D9D0A77">
            <w:pPr>
              <w:spacing w:line="276" w:lineRule="auto"/>
              <w:jc w:val="left"/>
              <w:rPr>
                <w:rFonts w:hint="eastAsia" w:ascii="宋体" w:hAnsi="宋体" w:eastAsia="宋体" w:cs="宋体"/>
                <w:color w:val="auto"/>
                <w:spacing w:val="-2"/>
                <w:szCs w:val="21"/>
                <w:highlight w:val="none"/>
              </w:rPr>
            </w:pPr>
            <w:r>
              <w:rPr>
                <w:rFonts w:hint="eastAsia" w:ascii="宋体" w:hAnsi="宋体" w:cs="宋体"/>
                <w:color w:val="auto"/>
                <w:szCs w:val="21"/>
                <w:highlight w:val="none"/>
                <w:lang w:eastAsia="zh-CN"/>
              </w:rPr>
              <w:t>瓯窑产业化项目研发生产提效设备-陶艺工作室仪器设备</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详见本招标文件第三部分。</w:t>
            </w:r>
          </w:p>
        </w:tc>
      </w:tr>
      <w:tr w14:paraId="48C372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928" w:hRule="atLeast"/>
          <w:jc w:val="center"/>
        </w:trPr>
        <w:tc>
          <w:tcPr>
            <w:tcW w:w="645" w:type="dxa"/>
            <w:vAlign w:val="center"/>
          </w:tcPr>
          <w:p w14:paraId="7B1F16C9">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6</w:t>
            </w:r>
          </w:p>
        </w:tc>
        <w:tc>
          <w:tcPr>
            <w:tcW w:w="2009" w:type="dxa"/>
            <w:vAlign w:val="center"/>
          </w:tcPr>
          <w:p w14:paraId="69246152">
            <w:pPr>
              <w:spacing w:line="276" w:lineRule="auto"/>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投标供应商</w:t>
            </w:r>
          </w:p>
          <w:p w14:paraId="46E5788C">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资格要求</w:t>
            </w:r>
          </w:p>
        </w:tc>
        <w:tc>
          <w:tcPr>
            <w:tcW w:w="6620" w:type="dxa"/>
            <w:vAlign w:val="center"/>
          </w:tcPr>
          <w:p w14:paraId="28656BBF">
            <w:pPr>
              <w:spacing w:line="360" w:lineRule="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eastAsia="zh-CN"/>
              </w:rPr>
              <w:t>详见采购公告</w:t>
            </w:r>
          </w:p>
        </w:tc>
      </w:tr>
      <w:tr w14:paraId="50C15A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577" w:hRule="atLeast"/>
          <w:jc w:val="center"/>
        </w:trPr>
        <w:tc>
          <w:tcPr>
            <w:tcW w:w="645" w:type="dxa"/>
            <w:vAlign w:val="center"/>
          </w:tcPr>
          <w:p w14:paraId="6F89593D">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7</w:t>
            </w:r>
          </w:p>
        </w:tc>
        <w:tc>
          <w:tcPr>
            <w:tcW w:w="2009" w:type="dxa"/>
            <w:vAlign w:val="center"/>
          </w:tcPr>
          <w:p w14:paraId="0CFD96FD">
            <w:pPr>
              <w:adjustRightInd w:val="0"/>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是否接受联合体投标</w:t>
            </w:r>
          </w:p>
        </w:tc>
        <w:tc>
          <w:tcPr>
            <w:tcW w:w="6620" w:type="dxa"/>
            <w:vAlign w:val="center"/>
          </w:tcPr>
          <w:p w14:paraId="1CD0B360">
            <w:pPr>
              <w:adjustRightInd w:val="0"/>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fldChar w:fldCharType="begin"/>
            </w:r>
            <w:r>
              <w:rPr>
                <w:rFonts w:hint="eastAsia" w:ascii="宋体" w:hAnsi="宋体" w:eastAsia="宋体" w:cs="宋体"/>
                <w:bCs/>
                <w:color w:val="auto"/>
                <w:kern w:val="0"/>
                <w:szCs w:val="21"/>
                <w:highlight w:val="none"/>
              </w:rPr>
              <w:instrText xml:space="preserve"> eq \o\ac(□,√)</w:instrText>
            </w:r>
            <w:r>
              <w:rPr>
                <w:rFonts w:hint="eastAsia" w:ascii="宋体" w:hAnsi="宋体" w:eastAsia="宋体" w:cs="宋体"/>
                <w:bCs/>
                <w:color w:val="auto"/>
                <w:kern w:val="0"/>
                <w:szCs w:val="21"/>
                <w:highlight w:val="none"/>
              </w:rPr>
              <w:fldChar w:fldCharType="end"/>
            </w:r>
            <w:r>
              <w:rPr>
                <w:rFonts w:hint="eastAsia" w:ascii="宋体" w:hAnsi="宋体" w:eastAsia="宋体" w:cs="宋体"/>
                <w:bCs/>
                <w:color w:val="auto"/>
                <w:kern w:val="0"/>
                <w:szCs w:val="21"/>
                <w:highlight w:val="none"/>
              </w:rPr>
              <w:t>不接受</w:t>
            </w:r>
          </w:p>
          <w:p w14:paraId="4C5B67D8">
            <w:pPr>
              <w:adjustRightInd w:val="0"/>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□接受</w:t>
            </w:r>
          </w:p>
        </w:tc>
      </w:tr>
      <w:tr w14:paraId="1DF96C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533" w:hRule="atLeast"/>
          <w:jc w:val="center"/>
        </w:trPr>
        <w:tc>
          <w:tcPr>
            <w:tcW w:w="645" w:type="dxa"/>
            <w:vAlign w:val="center"/>
          </w:tcPr>
          <w:p w14:paraId="1CCD4CA3">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8</w:t>
            </w:r>
          </w:p>
        </w:tc>
        <w:tc>
          <w:tcPr>
            <w:tcW w:w="2009" w:type="dxa"/>
            <w:vAlign w:val="center"/>
          </w:tcPr>
          <w:p w14:paraId="7A19948A">
            <w:pPr>
              <w:adjustRightInd w:val="0"/>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踏勘现场</w:t>
            </w:r>
          </w:p>
        </w:tc>
        <w:tc>
          <w:tcPr>
            <w:tcW w:w="6620" w:type="dxa"/>
            <w:vAlign w:val="center"/>
          </w:tcPr>
          <w:p w14:paraId="2F8AA510">
            <w:pPr>
              <w:adjustRightInd w:val="0"/>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fldChar w:fldCharType="begin"/>
            </w:r>
            <w:r>
              <w:rPr>
                <w:rFonts w:hint="eastAsia" w:ascii="宋体" w:hAnsi="宋体" w:eastAsia="宋体" w:cs="宋体"/>
                <w:bCs/>
                <w:color w:val="auto"/>
                <w:kern w:val="0"/>
                <w:szCs w:val="21"/>
                <w:highlight w:val="none"/>
              </w:rPr>
              <w:instrText xml:space="preserve"> eq \o\ac(□,√)</w:instrText>
            </w:r>
            <w:r>
              <w:rPr>
                <w:rFonts w:hint="eastAsia" w:ascii="宋体" w:hAnsi="宋体" w:eastAsia="宋体" w:cs="宋体"/>
                <w:bCs/>
                <w:color w:val="auto"/>
                <w:kern w:val="0"/>
                <w:szCs w:val="21"/>
                <w:highlight w:val="none"/>
              </w:rPr>
              <w:fldChar w:fldCharType="end"/>
            </w:r>
            <w:r>
              <w:rPr>
                <w:rFonts w:hint="eastAsia" w:ascii="宋体" w:hAnsi="宋体" w:eastAsia="宋体" w:cs="宋体"/>
                <w:bCs/>
                <w:color w:val="auto"/>
                <w:kern w:val="0"/>
                <w:szCs w:val="21"/>
                <w:highlight w:val="none"/>
              </w:rPr>
              <w:t xml:space="preserve"> 自行组织</w:t>
            </w:r>
          </w:p>
          <w:p w14:paraId="0DFCB63B">
            <w:pPr>
              <w:adjustRightInd w:val="0"/>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 业主组织    踏勘时间：                 踏勘集中地点：</w:t>
            </w:r>
          </w:p>
        </w:tc>
      </w:tr>
      <w:tr w14:paraId="2CBEE3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637" w:hRule="atLeast"/>
          <w:jc w:val="center"/>
        </w:trPr>
        <w:tc>
          <w:tcPr>
            <w:tcW w:w="645" w:type="dxa"/>
            <w:vAlign w:val="center"/>
          </w:tcPr>
          <w:p w14:paraId="171F9F76">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9</w:t>
            </w:r>
          </w:p>
        </w:tc>
        <w:tc>
          <w:tcPr>
            <w:tcW w:w="2009" w:type="dxa"/>
            <w:vAlign w:val="center"/>
          </w:tcPr>
          <w:p w14:paraId="74BA47C1">
            <w:pPr>
              <w:adjustRightInd w:val="0"/>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是否允许递交备选投标方案</w:t>
            </w:r>
          </w:p>
        </w:tc>
        <w:tc>
          <w:tcPr>
            <w:tcW w:w="6620" w:type="dxa"/>
            <w:vAlign w:val="center"/>
          </w:tcPr>
          <w:p w14:paraId="18C35F85">
            <w:pPr>
              <w:adjustRightInd w:val="0"/>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fldChar w:fldCharType="begin"/>
            </w:r>
            <w:r>
              <w:rPr>
                <w:rFonts w:hint="eastAsia" w:ascii="宋体" w:hAnsi="宋体" w:eastAsia="宋体" w:cs="宋体"/>
                <w:bCs/>
                <w:color w:val="auto"/>
                <w:kern w:val="0"/>
                <w:szCs w:val="21"/>
                <w:highlight w:val="none"/>
              </w:rPr>
              <w:instrText xml:space="preserve"> eq \o\ac(□,√)</w:instrText>
            </w:r>
            <w:r>
              <w:rPr>
                <w:rFonts w:hint="eastAsia" w:ascii="宋体" w:hAnsi="宋体" w:eastAsia="宋体" w:cs="宋体"/>
                <w:bCs/>
                <w:color w:val="auto"/>
                <w:kern w:val="0"/>
                <w:szCs w:val="21"/>
                <w:highlight w:val="none"/>
              </w:rPr>
              <w:fldChar w:fldCharType="end"/>
            </w:r>
            <w:r>
              <w:rPr>
                <w:rFonts w:hint="eastAsia" w:ascii="宋体" w:hAnsi="宋体" w:eastAsia="宋体" w:cs="宋体"/>
                <w:bCs/>
                <w:color w:val="auto"/>
                <w:kern w:val="0"/>
                <w:szCs w:val="21"/>
                <w:highlight w:val="none"/>
              </w:rPr>
              <w:t xml:space="preserve"> 不允许</w:t>
            </w:r>
          </w:p>
          <w:p w14:paraId="098106BF">
            <w:pPr>
              <w:adjustRightInd w:val="0"/>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 允许</w:t>
            </w:r>
          </w:p>
        </w:tc>
      </w:tr>
      <w:tr w14:paraId="261CAF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281" w:hRule="atLeast"/>
          <w:jc w:val="center"/>
        </w:trPr>
        <w:tc>
          <w:tcPr>
            <w:tcW w:w="645" w:type="dxa"/>
            <w:vAlign w:val="center"/>
          </w:tcPr>
          <w:p w14:paraId="140FF470">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w:t>
            </w:r>
          </w:p>
        </w:tc>
        <w:tc>
          <w:tcPr>
            <w:tcW w:w="2009" w:type="dxa"/>
            <w:vAlign w:val="center"/>
          </w:tcPr>
          <w:p w14:paraId="4820051F">
            <w:pPr>
              <w:adjustRightInd w:val="0"/>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投标货币</w:t>
            </w:r>
          </w:p>
        </w:tc>
        <w:tc>
          <w:tcPr>
            <w:tcW w:w="6620" w:type="dxa"/>
            <w:vAlign w:val="center"/>
          </w:tcPr>
          <w:p w14:paraId="603F8F63">
            <w:pPr>
              <w:adjustRightInd w:val="0"/>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人民币</w:t>
            </w:r>
          </w:p>
        </w:tc>
      </w:tr>
      <w:tr w14:paraId="3C0C1D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112" w:hRule="atLeast"/>
          <w:jc w:val="center"/>
        </w:trPr>
        <w:tc>
          <w:tcPr>
            <w:tcW w:w="645" w:type="dxa"/>
            <w:vAlign w:val="center"/>
          </w:tcPr>
          <w:p w14:paraId="7F01D14C">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11</w:t>
            </w:r>
          </w:p>
        </w:tc>
        <w:tc>
          <w:tcPr>
            <w:tcW w:w="2009" w:type="dxa"/>
            <w:vAlign w:val="center"/>
          </w:tcPr>
          <w:p w14:paraId="10C9C516">
            <w:pPr>
              <w:adjustRightInd w:val="0"/>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投标语言</w:t>
            </w:r>
          </w:p>
        </w:tc>
        <w:tc>
          <w:tcPr>
            <w:tcW w:w="6620" w:type="dxa"/>
            <w:vAlign w:val="center"/>
          </w:tcPr>
          <w:p w14:paraId="37E7EDC8">
            <w:pPr>
              <w:adjustRightInd w:val="0"/>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中文</w:t>
            </w:r>
          </w:p>
        </w:tc>
      </w:tr>
      <w:tr w14:paraId="291C38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 w:hRule="atLeast"/>
          <w:jc w:val="center"/>
        </w:trPr>
        <w:tc>
          <w:tcPr>
            <w:tcW w:w="645" w:type="dxa"/>
            <w:vAlign w:val="center"/>
          </w:tcPr>
          <w:p w14:paraId="760CA90F">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12</w:t>
            </w:r>
          </w:p>
        </w:tc>
        <w:tc>
          <w:tcPr>
            <w:tcW w:w="2009" w:type="dxa"/>
            <w:vAlign w:val="center"/>
          </w:tcPr>
          <w:p w14:paraId="4983AAC8">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投标文件份数</w:t>
            </w:r>
          </w:p>
        </w:tc>
        <w:tc>
          <w:tcPr>
            <w:tcW w:w="6620" w:type="dxa"/>
            <w:vAlign w:val="center"/>
          </w:tcPr>
          <w:p w14:paraId="7FCF56BC">
            <w:pPr>
              <w:pStyle w:val="44"/>
              <w:tabs>
                <w:tab w:val="left" w:pos="6930"/>
              </w:tabs>
              <w:spacing w:before="0" w:beforeAutospacing="0" w:after="0" w:afterAutospacing="0" w:line="400" w:lineRule="exact"/>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zh-CN"/>
              </w:rPr>
              <w:t>投标文件的形式：电子投标文件（包括“电子加密投标文件”和“备份投标文件”，在投标文件编制完成后同时生成）。</w:t>
            </w:r>
          </w:p>
          <w:p w14:paraId="1A40B06F">
            <w:pPr>
              <w:pStyle w:val="44"/>
              <w:tabs>
                <w:tab w:val="left" w:pos="6930"/>
              </w:tabs>
              <w:spacing w:before="0" w:beforeAutospacing="0" w:after="0" w:afterAutospacing="0" w:line="400" w:lineRule="exact"/>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lang w:val="zh-CN"/>
              </w:rPr>
              <w:t>（1）“电子加密投标文件”是指通过“电子交易客户端”完成投标文件编制后生成并加密的数据电文形式的投标文件。</w:t>
            </w:r>
            <w:r>
              <w:rPr>
                <w:rFonts w:hint="eastAsia" w:ascii="宋体" w:hAnsi="宋体" w:eastAsia="宋体" w:cs="宋体"/>
                <w:b/>
                <w:bCs/>
                <w:color w:val="auto"/>
                <w:sz w:val="21"/>
                <w:szCs w:val="21"/>
                <w:highlight w:val="none"/>
                <w:u w:val="wave"/>
                <w:lang w:val="zh-CN"/>
              </w:rPr>
              <w:t>“电子加密</w:t>
            </w:r>
            <w:r>
              <w:rPr>
                <w:rFonts w:hint="eastAsia" w:ascii="宋体" w:hAnsi="宋体" w:eastAsia="宋体" w:cs="宋体"/>
                <w:b/>
                <w:bCs/>
                <w:color w:val="auto"/>
                <w:sz w:val="21"/>
                <w:szCs w:val="21"/>
                <w:highlight w:val="none"/>
                <w:u w:val="wave"/>
              </w:rPr>
              <w:t>响应文件</w:t>
            </w:r>
            <w:r>
              <w:rPr>
                <w:rFonts w:hint="eastAsia" w:ascii="宋体" w:hAnsi="宋体" w:eastAsia="宋体" w:cs="宋体"/>
                <w:b/>
                <w:bCs/>
                <w:color w:val="auto"/>
                <w:sz w:val="21"/>
                <w:szCs w:val="21"/>
                <w:highlight w:val="none"/>
                <w:u w:val="wave"/>
                <w:lang w:val="zh-CN"/>
              </w:rPr>
              <w:t>”</w:t>
            </w:r>
            <w:r>
              <w:rPr>
                <w:rFonts w:hint="eastAsia" w:ascii="宋体" w:hAnsi="宋体" w:eastAsia="宋体" w:cs="宋体"/>
                <w:b/>
                <w:bCs/>
                <w:color w:val="auto"/>
                <w:sz w:val="21"/>
                <w:szCs w:val="21"/>
                <w:highlight w:val="none"/>
                <w:u w:val="wave"/>
              </w:rPr>
              <w:t>文件格式为（.jmbs）。</w:t>
            </w:r>
          </w:p>
          <w:p w14:paraId="5F57E59D">
            <w:pPr>
              <w:pStyle w:val="44"/>
              <w:tabs>
                <w:tab w:val="left" w:pos="6930"/>
              </w:tabs>
              <w:spacing w:before="0" w:beforeAutospacing="0" w:after="0" w:afterAutospacing="0" w:line="400" w:lineRule="exact"/>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lang w:val="zh-CN"/>
              </w:rPr>
              <w:t>（2）“备份投标文件”是指与“电子加密投标文件”同时生成的数据电文形式的电子文件（备份标书），其他方式编制的备份投标文件视为无效备份投标文件。</w:t>
            </w:r>
            <w:r>
              <w:rPr>
                <w:rFonts w:hint="eastAsia" w:ascii="宋体" w:hAnsi="宋体" w:eastAsia="宋体" w:cs="宋体"/>
                <w:b/>
                <w:bCs/>
                <w:color w:val="auto"/>
                <w:sz w:val="21"/>
                <w:szCs w:val="21"/>
                <w:highlight w:val="none"/>
                <w:u w:val="wave"/>
                <w:lang w:val="zh-CN"/>
              </w:rPr>
              <w:t>“备份</w:t>
            </w:r>
            <w:r>
              <w:rPr>
                <w:rFonts w:hint="eastAsia" w:ascii="宋体" w:hAnsi="宋体" w:eastAsia="宋体" w:cs="宋体"/>
                <w:b/>
                <w:bCs/>
                <w:color w:val="auto"/>
                <w:sz w:val="21"/>
                <w:szCs w:val="21"/>
                <w:highlight w:val="none"/>
                <w:u w:val="wave"/>
              </w:rPr>
              <w:t>响应文件</w:t>
            </w:r>
            <w:r>
              <w:rPr>
                <w:rFonts w:hint="eastAsia" w:ascii="宋体" w:hAnsi="宋体" w:eastAsia="宋体" w:cs="宋体"/>
                <w:b/>
                <w:bCs/>
                <w:color w:val="auto"/>
                <w:sz w:val="21"/>
                <w:szCs w:val="21"/>
                <w:highlight w:val="none"/>
                <w:u w:val="wave"/>
                <w:lang w:val="zh-CN"/>
              </w:rPr>
              <w:t>”</w:t>
            </w:r>
            <w:r>
              <w:rPr>
                <w:rFonts w:hint="eastAsia" w:ascii="宋体" w:hAnsi="宋体" w:eastAsia="宋体" w:cs="宋体"/>
                <w:b/>
                <w:bCs/>
                <w:color w:val="auto"/>
                <w:sz w:val="21"/>
                <w:szCs w:val="21"/>
                <w:highlight w:val="none"/>
                <w:u w:val="wave"/>
              </w:rPr>
              <w:t>文件格式为（.bfbs）。</w:t>
            </w:r>
          </w:p>
          <w:p w14:paraId="5649D597">
            <w:pPr>
              <w:pStyle w:val="44"/>
              <w:tabs>
                <w:tab w:val="left" w:pos="6930"/>
              </w:tabs>
              <w:spacing w:before="0" w:beforeAutospacing="0" w:after="0" w:afterAutospacing="0" w:line="40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2.投标文件由资格审查文件、商务技术文件和报价文件三部分组成</w:t>
            </w:r>
            <w:r>
              <w:rPr>
                <w:rFonts w:hint="eastAsia" w:ascii="宋体" w:hAnsi="宋体" w:eastAsia="宋体" w:cs="宋体"/>
                <w:color w:val="auto"/>
                <w:sz w:val="21"/>
                <w:szCs w:val="21"/>
                <w:highlight w:val="none"/>
                <w:lang w:eastAsia="zh-CN"/>
              </w:rPr>
              <w:t>。</w:t>
            </w:r>
          </w:p>
          <w:p w14:paraId="06F2A024">
            <w:pPr>
              <w:pStyle w:val="34"/>
              <w:tabs>
                <w:tab w:val="right" w:leader="middleDot" w:pos="8948"/>
              </w:tabs>
              <w:spacing w:before="0" w:after="0" w:line="400" w:lineRule="exact"/>
              <w:ind w:left="0" w:leftChars="0" w:firstLine="0" w:firstLine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3.电子加密投标文件制作：</w:t>
            </w:r>
            <w:r>
              <w:rPr>
                <w:rFonts w:hint="eastAsia" w:ascii="宋体" w:hAnsi="宋体" w:eastAsia="宋体" w:cs="宋体"/>
                <w:b w:val="0"/>
                <w:bCs w:val="0"/>
                <w:color w:val="auto"/>
                <w:sz w:val="21"/>
                <w:szCs w:val="21"/>
                <w:highlight w:val="none"/>
              </w:rPr>
              <w:t>应按</w:t>
            </w:r>
            <w:r>
              <w:rPr>
                <w:rFonts w:hint="eastAsia" w:ascii="宋体" w:hAnsi="宋体" w:eastAsia="宋体" w:cs="宋体"/>
                <w:b w:val="0"/>
                <w:bCs w:val="0"/>
                <w:color w:val="auto"/>
                <w:sz w:val="21"/>
                <w:szCs w:val="21"/>
                <w:highlight w:val="none"/>
                <w:lang w:eastAsia="zh-CN"/>
              </w:rPr>
              <w:t>乐采云</w:t>
            </w:r>
            <w:r>
              <w:rPr>
                <w:rFonts w:hint="eastAsia" w:ascii="宋体" w:hAnsi="宋体" w:eastAsia="宋体" w:cs="宋体"/>
                <w:b w:val="0"/>
                <w:bCs w:val="0"/>
                <w:color w:val="auto"/>
                <w:sz w:val="21"/>
                <w:szCs w:val="21"/>
                <w:highlight w:val="none"/>
              </w:rPr>
              <w:t>平台供应商项目采购-电子招投标操作指南、加密并递交。</w:t>
            </w:r>
          </w:p>
          <w:p w14:paraId="6879435D">
            <w:pPr>
              <w:spacing w:line="276" w:lineRule="auto"/>
              <w:rPr>
                <w:rFonts w:hint="eastAsia" w:ascii="宋体" w:hAnsi="宋体" w:eastAsia="宋体" w:cs="宋体"/>
                <w:color w:val="auto"/>
                <w:spacing w:val="-2"/>
                <w:szCs w:val="21"/>
                <w:highlight w:val="none"/>
                <w:lang w:val="en-US" w:eastAsia="zh-CN"/>
              </w:rPr>
            </w:pPr>
            <w:r>
              <w:rPr>
                <w:rFonts w:hint="eastAsia" w:ascii="宋体" w:hAnsi="宋体" w:eastAsia="宋体" w:cs="宋体"/>
                <w:color w:val="auto"/>
                <w:highlight w:val="none"/>
                <w:lang w:val="zh-CN"/>
              </w:rPr>
              <w:t>注：</w:t>
            </w:r>
            <w:r>
              <w:rPr>
                <w:rFonts w:hint="eastAsia" w:ascii="宋体" w:hAnsi="宋体" w:eastAsia="宋体" w:cs="宋体"/>
                <w:bCs/>
                <w:color w:val="auto"/>
                <w:highlight w:val="none"/>
              </w:rPr>
              <w:t>如投标供应商多次发送邮件，以</w:t>
            </w:r>
            <w:r>
              <w:rPr>
                <w:rFonts w:hint="eastAsia" w:ascii="宋体" w:hAnsi="宋体" w:eastAsia="宋体" w:cs="宋体"/>
                <w:bCs/>
                <w:color w:val="auto"/>
                <w:highlight w:val="none"/>
                <w:lang w:eastAsia="zh-CN"/>
              </w:rPr>
              <w:t>招标代理机构</w:t>
            </w:r>
            <w:r>
              <w:rPr>
                <w:rFonts w:hint="eastAsia" w:ascii="宋体" w:hAnsi="宋体" w:eastAsia="宋体" w:cs="宋体"/>
                <w:bCs/>
                <w:color w:val="auto"/>
                <w:highlight w:val="none"/>
              </w:rPr>
              <w:t>最近时间收到的备份投标文件为准。</w:t>
            </w:r>
          </w:p>
        </w:tc>
      </w:tr>
      <w:tr w14:paraId="435081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280" w:hRule="atLeast"/>
          <w:jc w:val="center"/>
        </w:trPr>
        <w:tc>
          <w:tcPr>
            <w:tcW w:w="645" w:type="dxa"/>
            <w:vAlign w:val="center"/>
          </w:tcPr>
          <w:p w14:paraId="5C66A108">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13</w:t>
            </w:r>
          </w:p>
        </w:tc>
        <w:tc>
          <w:tcPr>
            <w:tcW w:w="2009" w:type="dxa"/>
            <w:vAlign w:val="center"/>
          </w:tcPr>
          <w:p w14:paraId="57C274EF">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投标有效期</w:t>
            </w:r>
          </w:p>
        </w:tc>
        <w:tc>
          <w:tcPr>
            <w:tcW w:w="6620" w:type="dxa"/>
            <w:vAlign w:val="center"/>
          </w:tcPr>
          <w:p w14:paraId="29443CC2">
            <w:pPr>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投标截止时间起90日历天内有效</w:t>
            </w:r>
          </w:p>
        </w:tc>
      </w:tr>
      <w:tr w14:paraId="764A5C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1016" w:hRule="atLeast"/>
          <w:jc w:val="center"/>
        </w:trPr>
        <w:tc>
          <w:tcPr>
            <w:tcW w:w="645" w:type="dxa"/>
            <w:vAlign w:val="center"/>
          </w:tcPr>
          <w:p w14:paraId="288865A1">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14</w:t>
            </w:r>
          </w:p>
        </w:tc>
        <w:tc>
          <w:tcPr>
            <w:tcW w:w="2009" w:type="dxa"/>
            <w:vAlign w:val="center"/>
          </w:tcPr>
          <w:p w14:paraId="65652997">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签字或盖章要求</w:t>
            </w:r>
          </w:p>
        </w:tc>
        <w:tc>
          <w:tcPr>
            <w:tcW w:w="6620" w:type="dxa"/>
            <w:vAlign w:val="center"/>
          </w:tcPr>
          <w:p w14:paraId="192874FB">
            <w:pPr>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响应文件中所须加盖公章部分需加盖投标供应商单位全称的公章（电子签章），法定代表人和授权代表签字或盖章可书面签字或盖章后扫描至电子加密响应文件中上传。</w:t>
            </w:r>
          </w:p>
        </w:tc>
      </w:tr>
      <w:tr w14:paraId="65D5F1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26" w:hRule="atLeast"/>
          <w:jc w:val="center"/>
        </w:trPr>
        <w:tc>
          <w:tcPr>
            <w:tcW w:w="645" w:type="dxa"/>
            <w:vAlign w:val="center"/>
          </w:tcPr>
          <w:p w14:paraId="2E149CA3">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15</w:t>
            </w:r>
          </w:p>
        </w:tc>
        <w:tc>
          <w:tcPr>
            <w:tcW w:w="2009" w:type="dxa"/>
            <w:vAlign w:val="center"/>
          </w:tcPr>
          <w:p w14:paraId="7830CD85">
            <w:pPr>
              <w:spacing w:line="276"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投标样品</w:t>
            </w:r>
          </w:p>
        </w:tc>
        <w:tc>
          <w:tcPr>
            <w:tcW w:w="6620" w:type="dxa"/>
            <w:vAlign w:val="center"/>
          </w:tcPr>
          <w:p w14:paraId="385AC223">
            <w:pPr>
              <w:spacing w:line="276" w:lineRule="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 xml:space="preserve"> 不需要</w:t>
            </w:r>
          </w:p>
          <w:p w14:paraId="21947AE5">
            <w:pPr>
              <w:numPr>
                <w:ilvl w:val="0"/>
                <w:numId w:val="0"/>
              </w:numPr>
              <w:spacing w:line="276" w:lineRule="auto"/>
              <w:rPr>
                <w:rFonts w:hint="eastAsia"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 xml:space="preserve"> 需要</w:t>
            </w:r>
            <w:r>
              <w:rPr>
                <w:rFonts w:hint="eastAsia" w:ascii="宋体" w:hAnsi="宋体" w:eastAsia="宋体" w:cs="宋体"/>
                <w:bCs/>
                <w:color w:val="auto"/>
                <w:kern w:val="0"/>
                <w:sz w:val="21"/>
                <w:szCs w:val="21"/>
                <w:highlight w:val="none"/>
                <w:lang w:val="en-US" w:eastAsia="zh-CN"/>
              </w:rPr>
              <w:t xml:space="preserve"> </w:t>
            </w:r>
          </w:p>
        </w:tc>
      </w:tr>
      <w:tr w14:paraId="288A0F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219" w:hRule="atLeast"/>
          <w:jc w:val="center"/>
        </w:trPr>
        <w:tc>
          <w:tcPr>
            <w:tcW w:w="645" w:type="dxa"/>
            <w:vAlign w:val="center"/>
          </w:tcPr>
          <w:p w14:paraId="39AA8DC6">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16</w:t>
            </w:r>
          </w:p>
        </w:tc>
        <w:tc>
          <w:tcPr>
            <w:tcW w:w="2009" w:type="dxa"/>
            <w:vAlign w:val="center"/>
          </w:tcPr>
          <w:p w14:paraId="2CADC8C0">
            <w:pPr>
              <w:adjustRightInd w:val="0"/>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w:t>
            </w:r>
          </w:p>
        </w:tc>
        <w:tc>
          <w:tcPr>
            <w:tcW w:w="6620" w:type="dxa"/>
            <w:vAlign w:val="center"/>
          </w:tcPr>
          <w:p w14:paraId="0D35D46F">
            <w:pPr>
              <w:keepNext w:val="0"/>
              <w:keepLines w:val="0"/>
              <w:pageBreakBefore w:val="0"/>
              <w:widowControl/>
              <w:kinsoku/>
              <w:overflowPunct/>
              <w:topLinePunct w:val="0"/>
              <w:autoSpaceDE/>
              <w:autoSpaceDN/>
              <w:bidi w:val="0"/>
              <w:adjustRightInd/>
              <w:snapToGrid/>
              <w:spacing w:before="60" w:after="60" w:line="360" w:lineRule="auto"/>
              <w:ind w:right="62"/>
              <w:jc w:val="both"/>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投标保证金：</w:t>
            </w:r>
            <w:r>
              <w:rPr>
                <w:rFonts w:hint="eastAsia" w:ascii="宋体" w:hAnsi="宋体" w:cs="宋体"/>
                <w:b/>
                <w:bCs/>
                <w:color w:val="auto"/>
                <w:kern w:val="0"/>
                <w:sz w:val="21"/>
                <w:szCs w:val="21"/>
                <w:highlight w:val="none"/>
                <w:u w:val="single"/>
                <w:lang w:val="en-US" w:eastAsia="zh-CN"/>
              </w:rPr>
              <w:t>15000</w:t>
            </w:r>
            <w:r>
              <w:rPr>
                <w:rFonts w:hint="eastAsia" w:ascii="宋体" w:hAnsi="宋体" w:eastAsia="宋体" w:cs="宋体"/>
                <w:color w:val="auto"/>
                <w:kern w:val="0"/>
                <w:sz w:val="21"/>
                <w:szCs w:val="21"/>
                <w:highlight w:val="none"/>
              </w:rPr>
              <w:t>元整，采用银行转账形式</w:t>
            </w:r>
            <w:r>
              <w:rPr>
                <w:rFonts w:hint="eastAsia" w:ascii="宋体" w:hAnsi="宋体" w:eastAsia="宋体" w:cs="宋体"/>
                <w:color w:val="auto"/>
                <w:sz w:val="21"/>
                <w:szCs w:val="21"/>
                <w:highlight w:val="none"/>
              </w:rPr>
              <w:t>，</w:t>
            </w:r>
            <w:r>
              <w:rPr>
                <w:rFonts w:hint="eastAsia" w:ascii="宋体" w:hAnsi="宋体" w:eastAsia="宋体" w:cs="宋体"/>
                <w:b/>
                <w:bCs/>
                <w:color w:val="auto"/>
                <w:kern w:val="0"/>
                <w:sz w:val="21"/>
                <w:szCs w:val="21"/>
                <w:highlight w:val="none"/>
                <w:u w:val="single"/>
              </w:rPr>
              <w:t>投标保证金要求从投标供应商的银行账号汇出，保证金缴纳时间以到账时间为准。</w:t>
            </w:r>
            <w:r>
              <w:rPr>
                <w:rFonts w:hint="eastAsia" w:ascii="宋体" w:hAnsi="宋体" w:eastAsia="宋体" w:cs="宋体"/>
                <w:color w:val="auto"/>
                <w:kern w:val="0"/>
                <w:sz w:val="21"/>
                <w:szCs w:val="21"/>
                <w:highlight w:val="none"/>
              </w:rPr>
              <w:t>保证金缴纳截止时间：与投标截止时间相同。</w:t>
            </w:r>
          </w:p>
          <w:p w14:paraId="6DA46CA3">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单 位 名 称：</w:t>
            </w:r>
            <w:r>
              <w:rPr>
                <w:rFonts w:hint="eastAsia" w:ascii="宋体" w:hAnsi="宋体" w:eastAsia="宋体" w:cs="宋体"/>
                <w:color w:val="auto"/>
                <w:sz w:val="21"/>
                <w:szCs w:val="21"/>
                <w:highlight w:val="none"/>
                <w:u w:val="none"/>
                <w:lang w:eastAsia="zh-CN"/>
              </w:rPr>
              <w:t>温州市兴城工程造价审计咨询事务所（普通合伙）</w:t>
            </w:r>
          </w:p>
          <w:p w14:paraId="25BD77A5">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开 户 银 行：</w:t>
            </w:r>
            <w:r>
              <w:rPr>
                <w:rFonts w:hint="eastAsia" w:ascii="宋体" w:hAnsi="宋体" w:eastAsia="宋体" w:cs="宋体"/>
                <w:color w:val="auto"/>
                <w:szCs w:val="21"/>
                <w:highlight w:val="none"/>
                <w:lang w:eastAsia="zh-CN"/>
              </w:rPr>
              <w:t>温州银行股份有限公司市府路支行</w:t>
            </w:r>
          </w:p>
          <w:p w14:paraId="55BEADE5">
            <w:pPr>
              <w:keepNext w:val="0"/>
              <w:keepLines w:val="0"/>
              <w:pageBreakBefore w:val="0"/>
              <w:kinsoku/>
              <w:wordWrap/>
              <w:overflowPunct/>
              <w:topLinePunct w:val="0"/>
              <w:autoSpaceDE/>
              <w:autoSpaceDN/>
              <w:bidi w:val="0"/>
              <w:adjustRightInd/>
              <w:snapToGrid w:val="0"/>
              <w:spacing w:beforeAutospacing="0" w:afterAutospacing="0" w:line="360" w:lineRule="auto"/>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xml:space="preserve">账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lang w:eastAsia="zh-CN"/>
              </w:rPr>
              <w:t xml:space="preserve"> 号：757000120190019985</w:t>
            </w:r>
          </w:p>
          <w:p w14:paraId="4F321C01">
            <w:pPr>
              <w:keepNext w:val="0"/>
              <w:keepLines w:val="0"/>
              <w:pageBreakBefore w:val="0"/>
              <w:kinsoku/>
              <w:wordWrap/>
              <w:overflowPunct/>
              <w:topLinePunct w:val="0"/>
              <w:autoSpaceDE/>
              <w:autoSpaceDN/>
              <w:bidi w:val="0"/>
              <w:adjustRightInd/>
              <w:snapToGrid w:val="0"/>
              <w:spacing w:beforeAutospacing="0" w:afterAutospacing="0" w:line="360" w:lineRule="auto"/>
              <w:textAlignment w:val="auto"/>
              <w:rPr>
                <w:rFonts w:hint="eastAsia" w:ascii="宋体" w:hAnsi="宋体" w:eastAsia="宋体" w:cs="宋体"/>
                <w:color w:val="auto"/>
                <w:szCs w:val="21"/>
                <w:highlight w:val="none"/>
              </w:rPr>
            </w:pPr>
            <w:r>
              <w:rPr>
                <w:rFonts w:hint="eastAsia" w:ascii="宋体" w:hAnsi="宋体" w:eastAsia="宋体" w:cs="宋体"/>
                <w:b/>
                <w:bCs/>
                <w:i w:val="0"/>
                <w:iCs w:val="0"/>
                <w:caps w:val="0"/>
                <w:color w:val="auto"/>
                <w:spacing w:val="0"/>
                <w:sz w:val="21"/>
                <w:szCs w:val="21"/>
                <w:highlight w:val="none"/>
                <w:shd w:val="clear" w:color="auto" w:fill="FFFFFF"/>
                <w:lang w:eastAsia="zh-CN"/>
              </w:rPr>
              <w:t>注：保证金缴纳须进行备注[格式：投标保证金-</w:t>
            </w:r>
            <w:r>
              <w:rPr>
                <w:rFonts w:hint="eastAsia" w:ascii="宋体" w:hAnsi="宋体" w:cs="宋体"/>
                <w:b/>
                <w:bCs/>
                <w:color w:val="auto"/>
                <w:sz w:val="21"/>
                <w:szCs w:val="21"/>
                <w:highlight w:val="none"/>
                <w:lang w:eastAsia="zh-CN"/>
              </w:rPr>
              <w:t>瓯窑产业化项目研发生产提效设备-陶艺工作室仪器设备</w:t>
            </w:r>
            <w:r>
              <w:rPr>
                <w:rFonts w:hint="eastAsia" w:ascii="宋体" w:hAnsi="宋体" w:eastAsia="宋体" w:cs="宋体"/>
                <w:b/>
                <w:bCs/>
                <w:i w:val="0"/>
                <w:iCs w:val="0"/>
                <w:caps w:val="0"/>
                <w:color w:val="auto"/>
                <w:spacing w:val="0"/>
                <w:sz w:val="21"/>
                <w:szCs w:val="21"/>
                <w:highlight w:val="none"/>
                <w:shd w:val="clear" w:color="auto" w:fill="FFFFFF"/>
                <w:lang w:eastAsia="zh-CN"/>
              </w:rPr>
              <w:t>]</w:t>
            </w:r>
            <w:r>
              <w:rPr>
                <w:rFonts w:hint="eastAsia" w:ascii="宋体" w:hAnsi="宋体" w:eastAsia="宋体" w:cs="宋体"/>
                <w:b/>
                <w:bCs/>
                <w:color w:val="auto"/>
                <w:sz w:val="21"/>
                <w:szCs w:val="21"/>
                <w:highlight w:val="none"/>
                <w:lang w:eastAsia="zh-CN"/>
              </w:rPr>
              <w:t>。</w:t>
            </w:r>
          </w:p>
        </w:tc>
      </w:tr>
      <w:tr w14:paraId="378519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219" w:hRule="atLeast"/>
          <w:jc w:val="center"/>
        </w:trPr>
        <w:tc>
          <w:tcPr>
            <w:tcW w:w="645" w:type="dxa"/>
            <w:vAlign w:val="center"/>
          </w:tcPr>
          <w:p w14:paraId="5CDB1CFA">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17</w:t>
            </w:r>
          </w:p>
        </w:tc>
        <w:tc>
          <w:tcPr>
            <w:tcW w:w="2009" w:type="dxa"/>
            <w:vAlign w:val="center"/>
          </w:tcPr>
          <w:p w14:paraId="1A2D94F7">
            <w:pPr>
              <w:adjustRightInd w:val="0"/>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履约担保</w:t>
            </w:r>
          </w:p>
        </w:tc>
        <w:tc>
          <w:tcPr>
            <w:tcW w:w="6620" w:type="dxa"/>
            <w:vAlign w:val="center"/>
          </w:tcPr>
          <w:p w14:paraId="533BC55F">
            <w:pPr>
              <w:autoSpaceDE w:val="0"/>
              <w:autoSpaceDN w:val="0"/>
              <w:adjustRightInd w:val="0"/>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履约担保的提交期限：合同协议书签署前5</w:t>
            </w:r>
            <w:r>
              <w:rPr>
                <w:rFonts w:hint="eastAsia" w:ascii="宋体" w:hAnsi="宋体" w:eastAsia="宋体" w:cs="宋体"/>
                <w:color w:val="auto"/>
                <w:szCs w:val="21"/>
                <w:highlight w:val="none"/>
                <w:lang w:eastAsia="zh-CN"/>
              </w:rPr>
              <w:t>个工作日</w:t>
            </w:r>
            <w:r>
              <w:rPr>
                <w:rFonts w:hint="eastAsia" w:ascii="宋体" w:hAnsi="宋体" w:eastAsia="宋体" w:cs="宋体"/>
                <w:color w:val="auto"/>
                <w:szCs w:val="21"/>
                <w:highlight w:val="none"/>
              </w:rPr>
              <w:t>内；</w:t>
            </w:r>
          </w:p>
          <w:p w14:paraId="2C73C649">
            <w:pPr>
              <w:autoSpaceDE w:val="0"/>
              <w:autoSpaceDN w:val="0"/>
              <w:adjustRightInd w:val="0"/>
              <w:spacing w:line="276"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1、履约保证金金额：合同总价的</w:t>
            </w:r>
            <w:r>
              <w:rPr>
                <w:rFonts w:hint="eastAsia" w:ascii="宋体" w:hAnsi="宋体" w:eastAsia="宋体" w:cs="宋体"/>
                <w:b w:val="0"/>
                <w:bCs w:val="0"/>
                <w:color w:val="auto"/>
                <w:szCs w:val="21"/>
                <w:highlight w:val="none"/>
                <w:u w:val="single"/>
              </w:rPr>
              <w:t xml:space="preserve">   </w:t>
            </w:r>
            <w:r>
              <w:rPr>
                <w:rFonts w:hint="eastAsia" w:ascii="宋体" w:hAnsi="宋体" w:eastAsia="宋体" w:cs="宋体"/>
                <w:b w:val="0"/>
                <w:bCs w:val="0"/>
                <w:color w:val="auto"/>
                <w:szCs w:val="21"/>
                <w:highlight w:val="none"/>
                <w:u w:val="single"/>
                <w:lang w:val="en-US" w:eastAsia="zh-CN"/>
              </w:rPr>
              <w:t>5</w:t>
            </w:r>
            <w:r>
              <w:rPr>
                <w:rFonts w:hint="eastAsia" w:ascii="宋体" w:hAnsi="宋体" w:eastAsia="宋体" w:cs="宋体"/>
                <w:b w:val="0"/>
                <w:bCs w:val="0"/>
                <w:color w:val="auto"/>
                <w:szCs w:val="21"/>
                <w:highlight w:val="none"/>
                <w:u w:val="single"/>
              </w:rPr>
              <w:t xml:space="preserve">   </w:t>
            </w:r>
            <w:r>
              <w:rPr>
                <w:rFonts w:hint="eastAsia" w:ascii="宋体" w:hAnsi="宋体" w:eastAsia="宋体" w:cs="宋体"/>
                <w:b w:val="0"/>
                <w:bCs w:val="0"/>
                <w:color w:val="auto"/>
                <w:szCs w:val="21"/>
                <w:highlight w:val="none"/>
              </w:rPr>
              <w:t>%；</w:t>
            </w:r>
          </w:p>
          <w:p w14:paraId="0D511626">
            <w:pPr>
              <w:autoSpaceDE w:val="0"/>
              <w:autoSpaceDN w:val="0"/>
              <w:adjustRightInd w:val="0"/>
              <w:spacing w:line="276"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本项目履约保证金应当以支票、汇票、本票或者金融机构、担保机构出具的保函等非现金形式在签订政府采购合同时提交，采用以上方式出具的保函，须为不可撤销的、无条件先行赔付保函，保函有效期12个月。</w:t>
            </w:r>
          </w:p>
          <w:p w14:paraId="7E153B31">
            <w:pPr>
              <w:autoSpaceDE w:val="0"/>
              <w:autoSpaceDN w:val="0"/>
              <w:adjustRightInd w:val="0"/>
              <w:spacing w:line="276"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2、履约保证金的退还：自所有货物产品交付采购人并经过验收合格之日起至质量保证期期满壹年止。项目无履约质量问题，经采购人确认同意后，中标供应商按要求提交履约保证金退还申请表（保函），15日内予以退还履约保证金。</w:t>
            </w:r>
          </w:p>
          <w:p w14:paraId="6DC4375C">
            <w:pPr>
              <w:autoSpaceDE w:val="0"/>
              <w:autoSpaceDN w:val="0"/>
              <w:adjustRightInd w:val="0"/>
              <w:spacing w:line="276"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3、履约保证金不予退还情形：中标（成交）供应商未能全部履行政府采购合同的；相关法律、法规或采购文件规定的其他情形。</w:t>
            </w:r>
          </w:p>
          <w:p w14:paraId="488121ED">
            <w:pPr>
              <w:autoSpaceDE w:val="0"/>
              <w:autoSpaceDN w:val="0"/>
              <w:adjustRightInd w:val="0"/>
              <w:spacing w:line="276" w:lineRule="auto"/>
              <w:rPr>
                <w:rFonts w:hint="eastAsia" w:ascii="宋体" w:hAnsi="宋体" w:eastAsia="宋体" w:cs="宋体"/>
                <w:color w:val="auto"/>
                <w:szCs w:val="21"/>
                <w:highlight w:val="none"/>
                <w:lang w:eastAsia="zh-CN"/>
              </w:rPr>
            </w:pPr>
            <w:r>
              <w:rPr>
                <w:rFonts w:hint="eastAsia" w:ascii="宋体" w:hAnsi="宋体" w:eastAsia="宋体" w:cs="宋体"/>
                <w:b w:val="0"/>
                <w:bCs w:val="0"/>
                <w:color w:val="auto"/>
                <w:szCs w:val="21"/>
                <w:highlight w:val="none"/>
              </w:rPr>
              <w:t>4、逾期退还履约保证金违约责任：逾期退还履约保证金的处理。采购人逾期退还履约保证金的，除应当退还履约保证金本金外，还应当按中国人民银行同期贷款基准利率上浮20%后的利率支付超期资金占用费，但因投标人自身原因导致无法及时退还的除外。采购人未按照规定退还履约保证金的，由财政部门依照《中华人民共和国政府采购法》等有关规定处理。</w:t>
            </w:r>
          </w:p>
        </w:tc>
      </w:tr>
      <w:tr w14:paraId="6681D2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919" w:hRule="atLeast"/>
          <w:jc w:val="center"/>
        </w:trPr>
        <w:tc>
          <w:tcPr>
            <w:tcW w:w="645" w:type="dxa"/>
            <w:vAlign w:val="center"/>
          </w:tcPr>
          <w:p w14:paraId="41BE09F7">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18</w:t>
            </w:r>
          </w:p>
        </w:tc>
        <w:tc>
          <w:tcPr>
            <w:tcW w:w="2009" w:type="dxa"/>
            <w:vAlign w:val="center"/>
          </w:tcPr>
          <w:p w14:paraId="721F95D8">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招标文件</w:t>
            </w:r>
            <w:r>
              <w:rPr>
                <w:rFonts w:hint="eastAsia" w:ascii="宋体" w:hAnsi="宋体" w:eastAsia="宋体" w:cs="宋体"/>
                <w:color w:val="auto"/>
                <w:szCs w:val="21"/>
                <w:highlight w:val="none"/>
                <w:lang w:val="en-US" w:eastAsia="zh-CN"/>
              </w:rPr>
              <w:t>获取</w:t>
            </w:r>
            <w:r>
              <w:rPr>
                <w:rFonts w:hint="eastAsia" w:ascii="宋体" w:hAnsi="宋体" w:eastAsia="宋体" w:cs="宋体"/>
                <w:color w:val="auto"/>
                <w:szCs w:val="21"/>
                <w:highlight w:val="none"/>
              </w:rPr>
              <w:t>时间及获取方式</w:t>
            </w:r>
          </w:p>
        </w:tc>
        <w:tc>
          <w:tcPr>
            <w:tcW w:w="6620" w:type="dxa"/>
            <w:vAlign w:val="center"/>
          </w:tcPr>
          <w:p w14:paraId="0F864BBB">
            <w:pPr>
              <w:widowControl w:val="0"/>
              <w:spacing w:line="400" w:lineRule="exac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时间：</w:t>
            </w:r>
            <w:r>
              <w:rPr>
                <w:rFonts w:hint="eastAsia" w:ascii="宋体" w:hAnsi="宋体" w:cs="宋体"/>
                <w:bCs/>
                <w:color w:val="auto"/>
                <w:szCs w:val="21"/>
                <w:highlight w:val="none"/>
                <w:lang w:eastAsia="zh-CN"/>
              </w:rPr>
              <w:t>公告发布之日起至投标截止时间</w:t>
            </w:r>
            <w:r>
              <w:rPr>
                <w:rFonts w:hint="eastAsia" w:ascii="宋体" w:hAnsi="宋体" w:eastAsia="宋体" w:cs="宋体"/>
                <w:bCs/>
                <w:color w:val="auto"/>
                <w:szCs w:val="21"/>
                <w:highlight w:val="none"/>
              </w:rPr>
              <w:t>，每天上午00:00至12:00，下午12:00至23:59（北京时间，线上获取法定节假日均可，线下获取文件法定节假日除外</w:t>
            </w:r>
            <w:r>
              <w:rPr>
                <w:rFonts w:hint="eastAsia" w:ascii="宋体" w:hAnsi="宋体" w:eastAsia="宋体" w:cs="宋体"/>
                <w:bCs/>
                <w:color w:val="auto"/>
                <w:szCs w:val="21"/>
                <w:highlight w:val="none"/>
                <w:lang w:eastAsia="zh-CN"/>
              </w:rPr>
              <w:t>，</w:t>
            </w:r>
            <w:r>
              <w:rPr>
                <w:rFonts w:hint="eastAsia" w:ascii="宋体" w:hAnsi="宋体" w:eastAsia="宋体" w:cs="宋体"/>
                <w:color w:val="auto"/>
                <w:sz w:val="21"/>
                <w:szCs w:val="21"/>
                <w:highlight w:val="none"/>
              </w:rPr>
              <w:t>未购买</w:t>
            </w:r>
            <w:r>
              <w:rPr>
                <w:rFonts w:hint="eastAsia" w:ascii="宋体" w:hAnsi="宋体" w:eastAsia="宋体" w:cs="宋体"/>
                <w:color w:val="auto"/>
                <w:sz w:val="21"/>
                <w:szCs w:val="21"/>
                <w:highlight w:val="none"/>
                <w:lang w:eastAsia="zh-CN"/>
              </w:rPr>
              <w:t>招标</w:t>
            </w:r>
            <w:r>
              <w:rPr>
                <w:rFonts w:hint="eastAsia" w:ascii="宋体" w:hAnsi="宋体" w:eastAsia="宋体" w:cs="宋体"/>
                <w:color w:val="auto"/>
                <w:sz w:val="21"/>
                <w:szCs w:val="21"/>
                <w:highlight w:val="none"/>
              </w:rPr>
              <w:t>文件的潜在供应商拒绝参加投标。</w:t>
            </w:r>
            <w:r>
              <w:rPr>
                <w:rFonts w:hint="eastAsia" w:ascii="宋体" w:hAnsi="宋体" w:eastAsia="宋体" w:cs="宋体"/>
                <w:bCs/>
                <w:color w:val="auto"/>
                <w:szCs w:val="21"/>
                <w:highlight w:val="none"/>
              </w:rPr>
              <w:t>）。</w:t>
            </w:r>
          </w:p>
          <w:p w14:paraId="23E8719A">
            <w:pPr>
              <w:widowControl w:val="0"/>
              <w:spacing w:line="400" w:lineRule="exac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地点（网址）：</w:t>
            </w:r>
            <w:r>
              <w:rPr>
                <w:rFonts w:hint="eastAsia" w:ascii="宋体" w:hAnsi="宋体" w:eastAsia="宋体" w:cs="宋体"/>
                <w:b w:val="0"/>
                <w:color w:val="auto"/>
                <w:sz w:val="21"/>
                <w:szCs w:val="21"/>
                <w:highlight w:val="none"/>
              </w:rPr>
              <w:t>乐采云平台（www.lecaiyun.com）</w:t>
            </w:r>
            <w:r>
              <w:rPr>
                <w:rFonts w:hint="eastAsia" w:ascii="宋体" w:hAnsi="宋体" w:eastAsia="宋体" w:cs="宋体"/>
                <w:bCs/>
                <w:color w:val="auto"/>
                <w:szCs w:val="21"/>
                <w:highlight w:val="none"/>
              </w:rPr>
              <w:t>。</w:t>
            </w:r>
          </w:p>
          <w:p w14:paraId="006CFE4D">
            <w:pPr>
              <w:widowControl w:val="0"/>
              <w:spacing w:line="400" w:lineRule="exact"/>
              <w:rPr>
                <w:rFonts w:hint="eastAsia" w:ascii="宋体" w:hAnsi="宋体" w:eastAsia="宋体" w:cs="宋体"/>
                <w:color w:val="auto"/>
                <w:szCs w:val="21"/>
                <w:highlight w:val="none"/>
              </w:rPr>
            </w:pPr>
            <w:r>
              <w:rPr>
                <w:rFonts w:hint="eastAsia" w:ascii="宋体" w:hAnsi="宋体" w:eastAsia="宋体" w:cs="宋体"/>
                <w:bCs/>
                <w:color w:val="auto"/>
                <w:szCs w:val="21"/>
                <w:highlight w:val="none"/>
              </w:rPr>
              <w:t>方式：供应商登录</w:t>
            </w:r>
            <w:r>
              <w:rPr>
                <w:rFonts w:hint="eastAsia" w:ascii="宋体" w:hAnsi="宋体" w:eastAsia="宋体" w:cs="宋体"/>
                <w:b w:val="0"/>
                <w:color w:val="auto"/>
                <w:sz w:val="21"/>
                <w:szCs w:val="21"/>
                <w:highlight w:val="none"/>
              </w:rPr>
              <w:t>乐采云平台（www.lecaiyun.com）</w:t>
            </w:r>
            <w:r>
              <w:rPr>
                <w:rFonts w:hint="eastAsia" w:ascii="宋体" w:hAnsi="宋体" w:eastAsia="宋体" w:cs="宋体"/>
                <w:bCs/>
                <w:color w:val="auto"/>
                <w:szCs w:val="21"/>
                <w:highlight w:val="none"/>
              </w:rPr>
              <w:t>在线申请获取</w:t>
            </w:r>
            <w:r>
              <w:rPr>
                <w:rFonts w:hint="eastAsia" w:ascii="宋体" w:hAnsi="宋体" w:eastAsia="宋体" w:cs="宋体"/>
                <w:bCs/>
                <w:color w:val="auto"/>
                <w:szCs w:val="21"/>
                <w:highlight w:val="none"/>
                <w:lang w:eastAsia="zh-CN"/>
              </w:rPr>
              <w:t>招标文件</w:t>
            </w:r>
            <w:r>
              <w:rPr>
                <w:rFonts w:hint="eastAsia" w:ascii="宋体" w:hAnsi="宋体" w:eastAsia="宋体" w:cs="宋体"/>
                <w:bCs/>
                <w:color w:val="auto"/>
                <w:szCs w:val="21"/>
                <w:highlight w:val="none"/>
              </w:rPr>
              <w:t>（进入“项目采购”应用，在获取</w:t>
            </w:r>
            <w:r>
              <w:rPr>
                <w:rFonts w:hint="eastAsia" w:ascii="宋体" w:hAnsi="宋体" w:eastAsia="宋体" w:cs="宋体"/>
                <w:bCs/>
                <w:color w:val="auto"/>
                <w:szCs w:val="21"/>
                <w:highlight w:val="none"/>
                <w:lang w:eastAsia="zh-CN"/>
              </w:rPr>
              <w:t>招标文件</w:t>
            </w:r>
            <w:r>
              <w:rPr>
                <w:rFonts w:hint="eastAsia" w:ascii="宋体" w:hAnsi="宋体" w:eastAsia="宋体" w:cs="宋体"/>
                <w:bCs/>
                <w:color w:val="auto"/>
                <w:szCs w:val="21"/>
                <w:highlight w:val="none"/>
              </w:rPr>
              <w:t>菜单中选择项目，申请获取</w:t>
            </w:r>
            <w:r>
              <w:rPr>
                <w:rFonts w:hint="eastAsia" w:ascii="宋体" w:hAnsi="宋体" w:eastAsia="宋体" w:cs="宋体"/>
                <w:bCs/>
                <w:color w:val="auto"/>
                <w:szCs w:val="21"/>
                <w:highlight w:val="none"/>
                <w:lang w:eastAsia="zh-CN"/>
              </w:rPr>
              <w:t>招标文件</w:t>
            </w:r>
            <w:r>
              <w:rPr>
                <w:rFonts w:hint="eastAsia" w:ascii="宋体" w:hAnsi="宋体" w:eastAsia="宋体" w:cs="宋体"/>
                <w:bCs/>
                <w:color w:val="auto"/>
                <w:szCs w:val="21"/>
                <w:highlight w:val="none"/>
              </w:rPr>
              <w:t>）。</w:t>
            </w:r>
            <w:r>
              <w:rPr>
                <w:rFonts w:hint="eastAsia" w:ascii="宋体" w:hAnsi="宋体" w:eastAsia="宋体" w:cs="宋体"/>
                <w:color w:val="auto"/>
                <w:szCs w:val="21"/>
                <w:highlight w:val="none"/>
                <w:lang w:val="en-US" w:eastAsia="zh-CN"/>
              </w:rPr>
              <w:t>第一步：选择本期招标项目；第二步：填写报名信息。投标供应商报名审核通过后即可在乐采云系统中编制响应文件，在投标截止时间前进行投标</w:t>
            </w:r>
            <w:r>
              <w:rPr>
                <w:rFonts w:hint="eastAsia" w:ascii="宋体" w:hAnsi="宋体" w:eastAsia="宋体" w:cs="宋体"/>
                <w:color w:val="auto"/>
                <w:kern w:val="0"/>
                <w:szCs w:val="21"/>
                <w:highlight w:val="none"/>
                <w:lang w:eastAsia="zh-CN"/>
              </w:rPr>
              <w:t>。</w:t>
            </w:r>
          </w:p>
        </w:tc>
      </w:tr>
      <w:tr w14:paraId="3746F2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25" w:hRule="atLeast"/>
          <w:jc w:val="center"/>
        </w:trPr>
        <w:tc>
          <w:tcPr>
            <w:tcW w:w="645" w:type="dxa"/>
            <w:vAlign w:val="center"/>
          </w:tcPr>
          <w:p w14:paraId="36BA00FE">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19</w:t>
            </w:r>
          </w:p>
        </w:tc>
        <w:tc>
          <w:tcPr>
            <w:tcW w:w="2009" w:type="dxa"/>
            <w:vAlign w:val="center"/>
          </w:tcPr>
          <w:p w14:paraId="7EB96D86">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投标截止时间</w:t>
            </w:r>
          </w:p>
        </w:tc>
        <w:tc>
          <w:tcPr>
            <w:tcW w:w="6620" w:type="dxa"/>
            <w:vAlign w:val="center"/>
          </w:tcPr>
          <w:p w14:paraId="6DE175D8">
            <w:pPr>
              <w:spacing w:line="276" w:lineRule="auto"/>
              <w:rPr>
                <w:rFonts w:hint="eastAsia" w:ascii="宋体" w:hAnsi="宋体" w:eastAsia="宋体" w:cs="宋体"/>
                <w:bCs/>
                <w:color w:val="auto"/>
                <w:kern w:val="0"/>
                <w:szCs w:val="21"/>
                <w:highlight w:val="none"/>
              </w:rPr>
            </w:pPr>
            <w:r>
              <w:rPr>
                <w:rFonts w:hint="eastAsia" w:ascii="宋体" w:hAnsi="宋体" w:cs="宋体"/>
                <w:b/>
                <w:bCs/>
                <w:color w:val="auto"/>
                <w:kern w:val="0"/>
                <w:szCs w:val="21"/>
                <w:highlight w:val="none"/>
                <w:lang w:eastAsia="zh-CN"/>
              </w:rPr>
              <w:t>2025年12月8日</w:t>
            </w:r>
            <w:r>
              <w:rPr>
                <w:rFonts w:hint="eastAsia" w:ascii="宋体" w:hAnsi="宋体" w:eastAsia="宋体" w:cs="宋体"/>
                <w:b/>
                <w:bCs/>
                <w:color w:val="auto"/>
                <w:kern w:val="0"/>
                <w:szCs w:val="21"/>
                <w:highlight w:val="none"/>
                <w:lang w:val="en-US" w:eastAsia="zh-CN"/>
              </w:rPr>
              <w:t>09：30</w:t>
            </w:r>
            <w:r>
              <w:rPr>
                <w:rFonts w:hint="eastAsia" w:ascii="宋体" w:hAnsi="宋体" w:eastAsia="宋体" w:cs="宋体"/>
                <w:b/>
                <w:bCs/>
                <w:color w:val="auto"/>
                <w:kern w:val="0"/>
                <w:szCs w:val="21"/>
                <w:highlight w:val="none"/>
              </w:rPr>
              <w:t>止</w:t>
            </w:r>
            <w:r>
              <w:rPr>
                <w:rFonts w:hint="eastAsia" w:ascii="宋体" w:hAnsi="宋体" w:eastAsia="宋体" w:cs="宋体"/>
                <w:bCs/>
                <w:color w:val="auto"/>
                <w:kern w:val="0"/>
                <w:szCs w:val="21"/>
                <w:highlight w:val="none"/>
              </w:rPr>
              <w:t>(北京时间)</w:t>
            </w:r>
          </w:p>
        </w:tc>
      </w:tr>
      <w:tr w14:paraId="17193B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25" w:hRule="atLeast"/>
          <w:jc w:val="center"/>
        </w:trPr>
        <w:tc>
          <w:tcPr>
            <w:tcW w:w="645" w:type="dxa"/>
            <w:vAlign w:val="center"/>
          </w:tcPr>
          <w:p w14:paraId="73F0DC28">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20</w:t>
            </w:r>
          </w:p>
        </w:tc>
        <w:tc>
          <w:tcPr>
            <w:tcW w:w="2009" w:type="dxa"/>
            <w:vAlign w:val="center"/>
          </w:tcPr>
          <w:p w14:paraId="592ECE33">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投标文件递交</w:t>
            </w:r>
          </w:p>
        </w:tc>
        <w:tc>
          <w:tcPr>
            <w:tcW w:w="6620" w:type="dxa"/>
            <w:vAlign w:val="center"/>
          </w:tcPr>
          <w:p w14:paraId="37C68899">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（1）电子加密投标文件：应按乐采云平台项目采购-电子交易操作指南及本招标文件要求进行编制、加密并递交，供应商应于投标截止时间前将电子加密投标文件上传到乐采云系统中（不准时上传视为不参加）。</w:t>
            </w:r>
          </w:p>
          <w:p w14:paraId="15F2A068">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（2）备份投标文件：投标截止时间前以压缩文件形式加密发送至招标代理机构邮箱，并在接到在线解密通知后30分钟内发送压缩文件密码至招标代理机构邮箱。（邮箱号码：</w:t>
            </w:r>
            <w:r>
              <w:rPr>
                <w:rFonts w:hint="eastAsia" w:ascii="宋体" w:hAnsi="宋体" w:eastAsia="宋体" w:cs="宋体"/>
                <w:color w:val="auto"/>
                <w:szCs w:val="21"/>
                <w:highlight w:val="none"/>
                <w:lang w:val="en-US" w:eastAsia="zh-CN"/>
              </w:rPr>
              <w:t>1589009783@qq.com</w:t>
            </w:r>
            <w:r>
              <w:rPr>
                <w:rFonts w:hint="eastAsia" w:ascii="宋体" w:hAnsi="宋体" w:eastAsia="宋体" w:cs="宋体"/>
                <w:color w:val="auto"/>
                <w:szCs w:val="21"/>
                <w:highlight w:val="none"/>
              </w:rPr>
              <w:t>）。</w:t>
            </w:r>
          </w:p>
          <w:p w14:paraId="4A639B24">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（3）中标后，中标供应商需提供纸质投标文件一式肆份。</w:t>
            </w:r>
          </w:p>
        </w:tc>
      </w:tr>
      <w:tr w14:paraId="2FACB4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278" w:hRule="atLeast"/>
          <w:jc w:val="center"/>
        </w:trPr>
        <w:tc>
          <w:tcPr>
            <w:tcW w:w="645" w:type="dxa"/>
            <w:vAlign w:val="center"/>
          </w:tcPr>
          <w:p w14:paraId="7505E1CA">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21</w:t>
            </w:r>
          </w:p>
        </w:tc>
        <w:tc>
          <w:tcPr>
            <w:tcW w:w="2009" w:type="dxa"/>
            <w:vAlign w:val="center"/>
          </w:tcPr>
          <w:p w14:paraId="6FD43B15">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开标时间</w:t>
            </w:r>
          </w:p>
          <w:p w14:paraId="46BFD66C">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开标地点</w:t>
            </w:r>
          </w:p>
        </w:tc>
        <w:tc>
          <w:tcPr>
            <w:tcW w:w="6620" w:type="dxa"/>
            <w:vAlign w:val="center"/>
          </w:tcPr>
          <w:p w14:paraId="261D7D90">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开标时间：</w:t>
            </w:r>
            <w:r>
              <w:rPr>
                <w:rFonts w:hint="eastAsia" w:ascii="宋体" w:hAnsi="宋体" w:cs="宋体"/>
                <w:b/>
                <w:bCs/>
                <w:color w:val="auto"/>
                <w:kern w:val="0"/>
                <w:szCs w:val="21"/>
                <w:highlight w:val="none"/>
                <w:lang w:eastAsia="zh-CN"/>
              </w:rPr>
              <w:t>2025年12月8日</w:t>
            </w:r>
            <w:r>
              <w:rPr>
                <w:rFonts w:hint="eastAsia" w:ascii="宋体" w:hAnsi="宋体" w:eastAsia="宋体" w:cs="宋体"/>
                <w:b/>
                <w:bCs/>
                <w:color w:val="auto"/>
                <w:kern w:val="0"/>
                <w:szCs w:val="21"/>
                <w:highlight w:val="none"/>
                <w:lang w:val="en-US" w:eastAsia="zh-CN"/>
              </w:rPr>
              <w:t>09:30</w:t>
            </w:r>
            <w:r>
              <w:rPr>
                <w:rFonts w:hint="eastAsia" w:ascii="宋体" w:hAnsi="宋体" w:eastAsia="宋体" w:cs="宋体"/>
                <w:color w:val="auto"/>
                <w:szCs w:val="21"/>
                <w:highlight w:val="none"/>
              </w:rPr>
              <w:t>(北京时间)</w:t>
            </w:r>
          </w:p>
          <w:p w14:paraId="412FA148">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开标地点：</w:t>
            </w:r>
            <w:r>
              <w:rPr>
                <w:rFonts w:hint="eastAsia" w:ascii="宋体" w:hAnsi="宋体" w:eastAsia="宋体" w:cs="宋体"/>
                <w:b w:val="0"/>
                <w:color w:val="auto"/>
                <w:sz w:val="21"/>
                <w:szCs w:val="21"/>
                <w:highlight w:val="none"/>
              </w:rPr>
              <w:t>乐采云平台（www.lecaiyun.com）</w:t>
            </w:r>
          </w:p>
        </w:tc>
      </w:tr>
      <w:tr w14:paraId="698EF9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452" w:hRule="atLeast"/>
          <w:jc w:val="center"/>
        </w:trPr>
        <w:tc>
          <w:tcPr>
            <w:tcW w:w="645" w:type="dxa"/>
            <w:vAlign w:val="center"/>
          </w:tcPr>
          <w:p w14:paraId="0445FEE8">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22</w:t>
            </w:r>
          </w:p>
        </w:tc>
        <w:tc>
          <w:tcPr>
            <w:tcW w:w="2009" w:type="dxa"/>
            <w:vAlign w:val="center"/>
          </w:tcPr>
          <w:p w14:paraId="727899B1">
            <w:pPr>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电子加密响应文件的解密和异常情况处理</w:t>
            </w:r>
          </w:p>
        </w:tc>
        <w:tc>
          <w:tcPr>
            <w:tcW w:w="6620" w:type="dxa"/>
            <w:vAlign w:val="center"/>
          </w:tcPr>
          <w:p w14:paraId="0F9BB93E">
            <w:pPr>
              <w:spacing w:line="36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（1）开标后，采购组织机构将向各供应商发出“电子加密响应文件”的解密通知，各供应商代表应当在接到解密通知后</w:t>
            </w:r>
            <w:r>
              <w:rPr>
                <w:rFonts w:hint="eastAsia" w:ascii="宋体" w:hAnsi="宋体" w:eastAsia="宋体" w:cs="宋体"/>
                <w:color w:val="auto"/>
                <w:szCs w:val="21"/>
                <w:highlight w:val="none"/>
                <w:u w:val="single"/>
              </w:rPr>
              <w:t>30分钟内</w:t>
            </w:r>
            <w:r>
              <w:rPr>
                <w:rFonts w:hint="eastAsia" w:ascii="宋体" w:hAnsi="宋体" w:eastAsia="宋体" w:cs="宋体"/>
                <w:color w:val="auto"/>
                <w:szCs w:val="21"/>
                <w:highlight w:val="none"/>
              </w:rPr>
              <w:t>自行完成“电子加密响应文件”的在线解密。</w:t>
            </w:r>
          </w:p>
          <w:p w14:paraId="63D24300">
            <w:pPr>
              <w:spacing w:line="36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（2）通过“</w:t>
            </w:r>
            <w:r>
              <w:rPr>
                <w:rFonts w:hint="eastAsia" w:ascii="宋体" w:hAnsi="宋体" w:cs="宋体"/>
                <w:color w:val="auto"/>
                <w:szCs w:val="21"/>
                <w:highlight w:val="none"/>
                <w:lang w:eastAsia="zh-CN"/>
              </w:rPr>
              <w:t>乐采云平台</w:t>
            </w:r>
            <w:r>
              <w:rPr>
                <w:rFonts w:hint="eastAsia" w:ascii="宋体" w:hAnsi="宋体" w:eastAsia="宋体" w:cs="宋体"/>
                <w:color w:val="auto"/>
                <w:szCs w:val="21"/>
                <w:highlight w:val="none"/>
              </w:rPr>
              <w:t>”成功上传递交的“电子加密响应文件”无法按时解密，供应商如按规定递交了“备份响应文件”的，以“备份响应文件”为依据（由采购组织机构按“</w:t>
            </w:r>
            <w:r>
              <w:rPr>
                <w:rFonts w:hint="eastAsia" w:ascii="宋体" w:hAnsi="宋体" w:cs="宋体"/>
                <w:color w:val="auto"/>
                <w:szCs w:val="21"/>
                <w:highlight w:val="none"/>
                <w:lang w:eastAsia="zh-CN"/>
              </w:rPr>
              <w:t>乐采云平台</w:t>
            </w:r>
            <w:r>
              <w:rPr>
                <w:rFonts w:hint="eastAsia" w:ascii="宋体" w:hAnsi="宋体" w:eastAsia="宋体" w:cs="宋体"/>
                <w:color w:val="auto"/>
                <w:szCs w:val="21"/>
                <w:highlight w:val="none"/>
              </w:rPr>
              <w:t>”操作规范将“备份响应文件”上传至“</w:t>
            </w:r>
            <w:r>
              <w:rPr>
                <w:rFonts w:hint="eastAsia" w:ascii="宋体" w:hAnsi="宋体" w:cs="宋体"/>
                <w:color w:val="auto"/>
                <w:szCs w:val="21"/>
                <w:highlight w:val="none"/>
                <w:lang w:eastAsia="zh-CN"/>
              </w:rPr>
              <w:t>乐采云平台</w:t>
            </w:r>
            <w:r>
              <w:rPr>
                <w:rFonts w:hint="eastAsia" w:ascii="宋体" w:hAnsi="宋体" w:eastAsia="宋体" w:cs="宋体"/>
                <w:color w:val="auto"/>
                <w:szCs w:val="21"/>
                <w:highlight w:val="none"/>
              </w:rPr>
              <w:t>”，上传成功后，“电子加密响应文件”自动失效），否则视为响应文件撤回。</w:t>
            </w:r>
          </w:p>
          <w:p w14:paraId="060DAA3F">
            <w:pPr>
              <w:spacing w:line="360" w:lineRule="exact"/>
              <w:rPr>
                <w:rFonts w:hint="eastAsia" w:ascii="宋体" w:hAnsi="宋体" w:eastAsia="宋体" w:cs="宋体"/>
                <w:bCs/>
                <w:color w:val="auto"/>
                <w:kern w:val="0"/>
                <w:szCs w:val="21"/>
                <w:highlight w:val="none"/>
              </w:rPr>
            </w:pPr>
            <w:r>
              <w:rPr>
                <w:rFonts w:hint="eastAsia" w:ascii="宋体" w:hAnsi="宋体" w:eastAsia="宋体" w:cs="宋体"/>
                <w:color w:val="auto"/>
                <w:szCs w:val="21"/>
                <w:highlight w:val="none"/>
              </w:rPr>
              <w:t>（3）投标截止时间止，供应商仅递交了“备份响应文件”而未将电子加密响应文件上传至“</w:t>
            </w:r>
            <w:r>
              <w:rPr>
                <w:rFonts w:hint="eastAsia" w:ascii="宋体" w:hAnsi="宋体" w:cs="宋体"/>
                <w:color w:val="auto"/>
                <w:szCs w:val="21"/>
                <w:highlight w:val="none"/>
                <w:lang w:eastAsia="zh-CN"/>
              </w:rPr>
              <w:t>乐采云平台</w:t>
            </w:r>
            <w:r>
              <w:rPr>
                <w:rFonts w:hint="eastAsia" w:ascii="宋体" w:hAnsi="宋体" w:eastAsia="宋体" w:cs="宋体"/>
                <w:color w:val="auto"/>
                <w:szCs w:val="21"/>
                <w:highlight w:val="none"/>
              </w:rPr>
              <w:t>”的，投标无效。</w:t>
            </w:r>
          </w:p>
        </w:tc>
      </w:tr>
      <w:tr w14:paraId="009F81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452" w:hRule="atLeast"/>
          <w:jc w:val="center"/>
        </w:trPr>
        <w:tc>
          <w:tcPr>
            <w:tcW w:w="645" w:type="dxa"/>
            <w:vAlign w:val="center"/>
          </w:tcPr>
          <w:p w14:paraId="48254146">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23</w:t>
            </w:r>
          </w:p>
        </w:tc>
        <w:tc>
          <w:tcPr>
            <w:tcW w:w="2009" w:type="dxa"/>
            <w:vAlign w:val="center"/>
          </w:tcPr>
          <w:p w14:paraId="715753EC">
            <w:pPr>
              <w:spacing w:line="276" w:lineRule="auto"/>
              <w:jc w:val="center"/>
              <w:rPr>
                <w:rFonts w:hint="eastAsia" w:ascii="宋体" w:hAnsi="宋体" w:eastAsia="宋体" w:cs="宋体"/>
                <w:color w:val="auto"/>
                <w:szCs w:val="21"/>
                <w:highlight w:val="none"/>
              </w:rPr>
            </w:pPr>
            <w:r>
              <w:rPr>
                <w:rFonts w:hint="eastAsia" w:ascii="宋体" w:hAnsi="宋体" w:eastAsia="宋体" w:cs="宋体"/>
                <w:strike w:val="0"/>
                <w:dstrike w:val="0"/>
                <w:color w:val="auto"/>
                <w:szCs w:val="21"/>
                <w:highlight w:val="none"/>
              </w:rPr>
              <w:t>开标程序</w:t>
            </w:r>
          </w:p>
        </w:tc>
        <w:tc>
          <w:tcPr>
            <w:tcW w:w="6620" w:type="dxa"/>
            <w:vAlign w:val="center"/>
          </w:tcPr>
          <w:p w14:paraId="05056DE5">
            <w:pPr>
              <w:spacing w:line="276" w:lineRule="auto"/>
              <w:rPr>
                <w:rFonts w:hint="eastAsia" w:ascii="宋体" w:hAnsi="宋体" w:eastAsia="宋体" w:cs="宋体"/>
                <w:bCs/>
                <w:strike w:val="0"/>
                <w:dstrike w:val="0"/>
                <w:color w:val="auto"/>
                <w:kern w:val="0"/>
                <w:szCs w:val="21"/>
                <w:highlight w:val="none"/>
              </w:rPr>
            </w:pPr>
            <w:r>
              <w:rPr>
                <w:rFonts w:hint="eastAsia" w:ascii="宋体" w:hAnsi="宋体" w:eastAsia="宋体" w:cs="宋体"/>
                <w:bCs/>
                <w:strike w:val="0"/>
                <w:dstrike w:val="0"/>
                <w:color w:val="auto"/>
                <w:kern w:val="0"/>
                <w:szCs w:val="21"/>
                <w:highlight w:val="none"/>
              </w:rPr>
              <w:t>1．</w:t>
            </w:r>
            <w:r>
              <w:rPr>
                <w:rFonts w:hint="eastAsia" w:ascii="宋体" w:hAnsi="宋体" w:eastAsia="宋体" w:cs="宋体"/>
                <w:bCs/>
                <w:strike w:val="0"/>
                <w:dstrike w:val="0"/>
                <w:color w:val="auto"/>
                <w:kern w:val="0"/>
                <w:szCs w:val="21"/>
                <w:highlight w:val="none"/>
                <w:lang w:val="en-US" w:eastAsia="zh-CN"/>
              </w:rPr>
              <w:t>招标</w:t>
            </w:r>
            <w:r>
              <w:rPr>
                <w:rFonts w:hint="eastAsia" w:ascii="宋体" w:hAnsi="宋体" w:eastAsia="宋体" w:cs="宋体"/>
                <w:bCs/>
                <w:strike w:val="0"/>
                <w:dstrike w:val="0"/>
                <w:color w:val="auto"/>
                <w:kern w:val="0"/>
                <w:szCs w:val="21"/>
                <w:highlight w:val="none"/>
              </w:rPr>
              <w:t>代理机构按照</w:t>
            </w:r>
            <w:r>
              <w:rPr>
                <w:rFonts w:hint="eastAsia" w:ascii="宋体" w:hAnsi="宋体" w:eastAsia="宋体" w:cs="宋体"/>
                <w:bCs/>
                <w:strike w:val="0"/>
                <w:dstrike w:val="0"/>
                <w:color w:val="auto"/>
                <w:kern w:val="0"/>
                <w:szCs w:val="21"/>
                <w:highlight w:val="none"/>
                <w:lang w:val="en-US" w:eastAsia="zh-CN"/>
              </w:rPr>
              <w:t>招标</w:t>
            </w:r>
            <w:r>
              <w:rPr>
                <w:rFonts w:hint="eastAsia" w:ascii="宋体" w:hAnsi="宋体" w:eastAsia="宋体" w:cs="宋体"/>
                <w:bCs/>
                <w:strike w:val="0"/>
                <w:dstrike w:val="0"/>
                <w:color w:val="auto"/>
                <w:kern w:val="0"/>
                <w:szCs w:val="21"/>
                <w:highlight w:val="none"/>
              </w:rPr>
              <w:t>文件规定的时间通过乐采云平台组织开标，所有供应商准时在线参加。</w:t>
            </w:r>
          </w:p>
          <w:p w14:paraId="01D6D18F">
            <w:pPr>
              <w:spacing w:line="276" w:lineRule="auto"/>
              <w:rPr>
                <w:rFonts w:hint="eastAsia" w:ascii="宋体" w:hAnsi="宋体" w:eastAsia="宋体" w:cs="宋体"/>
                <w:bCs/>
                <w:strike w:val="0"/>
                <w:dstrike w:val="0"/>
                <w:color w:val="auto"/>
                <w:kern w:val="0"/>
                <w:szCs w:val="21"/>
                <w:highlight w:val="none"/>
              </w:rPr>
            </w:pPr>
            <w:r>
              <w:rPr>
                <w:rFonts w:hint="eastAsia" w:ascii="宋体" w:hAnsi="宋体" w:eastAsia="宋体" w:cs="宋体"/>
                <w:bCs/>
                <w:strike w:val="0"/>
                <w:dstrike w:val="0"/>
                <w:color w:val="auto"/>
                <w:kern w:val="0"/>
                <w:szCs w:val="21"/>
                <w:highlight w:val="none"/>
              </w:rPr>
              <w:t>2．“电子加密响应文件”在线解密；</w:t>
            </w:r>
          </w:p>
          <w:p w14:paraId="3B5DC4C6">
            <w:pPr>
              <w:spacing w:line="276" w:lineRule="auto"/>
              <w:rPr>
                <w:rFonts w:hint="eastAsia" w:ascii="宋体" w:hAnsi="宋体" w:eastAsia="宋体" w:cs="宋体"/>
                <w:bCs/>
                <w:strike w:val="0"/>
                <w:dstrike w:val="0"/>
                <w:color w:val="auto"/>
                <w:kern w:val="0"/>
                <w:szCs w:val="21"/>
                <w:highlight w:val="none"/>
              </w:rPr>
            </w:pPr>
            <w:r>
              <w:rPr>
                <w:rFonts w:hint="eastAsia" w:ascii="宋体" w:hAnsi="宋体" w:eastAsia="宋体" w:cs="宋体"/>
                <w:bCs/>
                <w:strike w:val="0"/>
                <w:dstrike w:val="0"/>
                <w:color w:val="auto"/>
                <w:kern w:val="0"/>
                <w:szCs w:val="21"/>
                <w:highlight w:val="none"/>
              </w:rPr>
              <w:t>3．响应文件解密结束后，各供应商签署《国企采购活动现场确认声明书》，并在15分钟内以扫描件方式发送至代理机构邮箱：</w:t>
            </w:r>
            <w:r>
              <w:rPr>
                <w:rFonts w:hint="eastAsia" w:ascii="宋体" w:hAnsi="宋体" w:eastAsia="宋体" w:cs="宋体"/>
                <w:bCs/>
                <w:strike w:val="0"/>
                <w:dstrike w:val="0"/>
                <w:color w:val="auto"/>
                <w:kern w:val="0"/>
                <w:szCs w:val="21"/>
                <w:highlight w:val="none"/>
                <w:lang w:eastAsia="zh-CN"/>
              </w:rPr>
              <w:t>1589009783@qq.com</w:t>
            </w:r>
            <w:r>
              <w:rPr>
                <w:rFonts w:hint="eastAsia" w:ascii="宋体" w:hAnsi="宋体" w:eastAsia="宋体" w:cs="宋体"/>
                <w:bCs/>
                <w:strike w:val="0"/>
                <w:dstrike w:val="0"/>
                <w:color w:val="auto"/>
                <w:kern w:val="0"/>
                <w:szCs w:val="21"/>
                <w:highlight w:val="none"/>
              </w:rPr>
              <w:t>；</w:t>
            </w:r>
          </w:p>
          <w:p w14:paraId="1A7AD2B5">
            <w:pPr>
              <w:spacing w:line="276" w:lineRule="auto"/>
              <w:rPr>
                <w:rFonts w:hint="eastAsia" w:ascii="宋体" w:hAnsi="宋体" w:eastAsia="宋体" w:cs="宋体"/>
                <w:bCs/>
                <w:strike w:val="0"/>
                <w:dstrike w:val="0"/>
                <w:color w:val="auto"/>
                <w:kern w:val="0"/>
                <w:szCs w:val="21"/>
                <w:highlight w:val="none"/>
              </w:rPr>
            </w:pPr>
            <w:r>
              <w:rPr>
                <w:rFonts w:hint="eastAsia" w:ascii="宋体" w:hAnsi="宋体" w:eastAsia="宋体" w:cs="宋体"/>
                <w:bCs/>
                <w:strike w:val="0"/>
                <w:dstrike w:val="0"/>
                <w:color w:val="auto"/>
                <w:kern w:val="0"/>
                <w:szCs w:val="21"/>
                <w:highlight w:val="none"/>
              </w:rPr>
              <w:t>4．由</w:t>
            </w:r>
            <w:r>
              <w:rPr>
                <w:rFonts w:hint="eastAsia" w:ascii="宋体" w:hAnsi="宋体" w:eastAsia="宋体" w:cs="宋体"/>
                <w:bCs/>
                <w:strike w:val="0"/>
                <w:dstrike w:val="0"/>
                <w:color w:val="auto"/>
                <w:kern w:val="0"/>
                <w:szCs w:val="21"/>
                <w:highlight w:val="none"/>
                <w:lang w:eastAsia="zh-CN"/>
              </w:rPr>
              <w:t>资格审查小组</w:t>
            </w:r>
            <w:r>
              <w:rPr>
                <w:rFonts w:hint="eastAsia" w:ascii="宋体" w:hAnsi="宋体" w:eastAsia="宋体" w:cs="宋体"/>
                <w:bCs/>
                <w:strike w:val="0"/>
                <w:dstrike w:val="0"/>
                <w:color w:val="auto"/>
                <w:kern w:val="0"/>
                <w:szCs w:val="21"/>
                <w:highlight w:val="none"/>
              </w:rPr>
              <w:t>评审</w:t>
            </w:r>
            <w:r>
              <w:rPr>
                <w:rFonts w:hint="eastAsia" w:ascii="宋体" w:hAnsi="宋体" w:eastAsia="宋体" w:cs="宋体"/>
                <w:bCs/>
                <w:strike w:val="0"/>
                <w:dstrike w:val="0"/>
                <w:color w:val="auto"/>
                <w:kern w:val="0"/>
                <w:szCs w:val="21"/>
                <w:highlight w:val="none"/>
                <w:lang w:eastAsia="zh-CN"/>
              </w:rPr>
              <w:t>资格审查文件</w:t>
            </w:r>
            <w:r>
              <w:rPr>
                <w:rFonts w:hint="eastAsia" w:ascii="宋体" w:hAnsi="宋体" w:eastAsia="宋体" w:cs="宋体"/>
                <w:bCs/>
                <w:strike w:val="0"/>
                <w:dstrike w:val="0"/>
                <w:color w:val="auto"/>
                <w:kern w:val="0"/>
                <w:szCs w:val="21"/>
                <w:highlight w:val="none"/>
              </w:rPr>
              <w:t>；</w:t>
            </w:r>
          </w:p>
          <w:p w14:paraId="1F2020CC">
            <w:pPr>
              <w:spacing w:line="276" w:lineRule="auto"/>
              <w:rPr>
                <w:rFonts w:hint="eastAsia" w:ascii="宋体" w:hAnsi="宋体" w:eastAsia="宋体" w:cs="宋体"/>
                <w:bCs/>
                <w:strike w:val="0"/>
                <w:dstrike w:val="0"/>
                <w:color w:val="auto"/>
                <w:kern w:val="0"/>
                <w:szCs w:val="21"/>
                <w:highlight w:val="none"/>
              </w:rPr>
            </w:pPr>
            <w:r>
              <w:rPr>
                <w:rFonts w:hint="eastAsia" w:ascii="宋体" w:hAnsi="宋体" w:eastAsia="宋体" w:cs="宋体"/>
                <w:bCs/>
                <w:strike w:val="0"/>
                <w:dstrike w:val="0"/>
                <w:color w:val="auto"/>
                <w:kern w:val="0"/>
                <w:szCs w:val="21"/>
                <w:highlight w:val="none"/>
              </w:rPr>
              <w:t>5．评标委员会对商务技术响应文件进行评审；</w:t>
            </w:r>
          </w:p>
          <w:p w14:paraId="6CC1B9BC">
            <w:pPr>
              <w:spacing w:line="276" w:lineRule="auto"/>
              <w:rPr>
                <w:rFonts w:hint="eastAsia" w:ascii="宋体" w:hAnsi="宋体" w:eastAsia="宋体" w:cs="宋体"/>
                <w:bCs/>
                <w:strike w:val="0"/>
                <w:dstrike w:val="0"/>
                <w:color w:val="auto"/>
                <w:kern w:val="0"/>
                <w:szCs w:val="21"/>
                <w:highlight w:val="none"/>
              </w:rPr>
            </w:pPr>
            <w:r>
              <w:rPr>
                <w:rFonts w:hint="eastAsia" w:ascii="宋体" w:hAnsi="宋体" w:eastAsia="宋体" w:cs="宋体"/>
                <w:bCs/>
                <w:strike w:val="0"/>
                <w:dstrike w:val="0"/>
                <w:color w:val="auto"/>
                <w:kern w:val="0"/>
                <w:szCs w:val="21"/>
                <w:highlight w:val="none"/>
                <w:lang w:val="en-US" w:eastAsia="zh-CN"/>
              </w:rPr>
              <w:t>6</w:t>
            </w:r>
            <w:r>
              <w:rPr>
                <w:rFonts w:hint="eastAsia" w:ascii="宋体" w:hAnsi="宋体" w:eastAsia="宋体" w:cs="宋体"/>
                <w:bCs/>
                <w:strike w:val="0"/>
                <w:dstrike w:val="0"/>
                <w:color w:val="auto"/>
                <w:kern w:val="0"/>
                <w:szCs w:val="21"/>
                <w:highlight w:val="none"/>
              </w:rPr>
              <w:t>．由评标委员会采用综合评分法对供应商的报价进行综合评分；</w:t>
            </w:r>
          </w:p>
          <w:p w14:paraId="02DDF270">
            <w:pPr>
              <w:spacing w:line="276" w:lineRule="auto"/>
              <w:rPr>
                <w:rFonts w:hint="eastAsia" w:ascii="宋体" w:hAnsi="宋体" w:eastAsia="宋体" w:cs="宋体"/>
                <w:bCs/>
                <w:strike w:val="0"/>
                <w:dstrike w:val="0"/>
                <w:color w:val="auto"/>
                <w:kern w:val="0"/>
                <w:szCs w:val="21"/>
                <w:highlight w:val="none"/>
              </w:rPr>
            </w:pPr>
            <w:r>
              <w:rPr>
                <w:rFonts w:hint="eastAsia" w:ascii="宋体" w:hAnsi="宋体" w:eastAsia="宋体" w:cs="宋体"/>
                <w:bCs/>
                <w:strike w:val="0"/>
                <w:dstrike w:val="0"/>
                <w:color w:val="auto"/>
                <w:kern w:val="0"/>
                <w:szCs w:val="21"/>
                <w:highlight w:val="none"/>
                <w:lang w:val="en-US" w:eastAsia="zh-CN"/>
              </w:rPr>
              <w:t>7</w:t>
            </w:r>
            <w:r>
              <w:rPr>
                <w:rFonts w:hint="eastAsia" w:ascii="宋体" w:hAnsi="宋体" w:eastAsia="宋体" w:cs="宋体"/>
                <w:bCs/>
                <w:strike w:val="0"/>
                <w:dstrike w:val="0"/>
                <w:color w:val="auto"/>
                <w:kern w:val="0"/>
                <w:szCs w:val="21"/>
                <w:highlight w:val="none"/>
              </w:rPr>
              <w:t>．评标委员会根据综合评分情况，按照评审得分由高到低顺序推荐成交候选供应商；</w:t>
            </w:r>
          </w:p>
          <w:p w14:paraId="4BE25F0A">
            <w:pPr>
              <w:spacing w:line="276" w:lineRule="auto"/>
              <w:rPr>
                <w:rFonts w:hint="eastAsia" w:ascii="宋体" w:hAnsi="宋体" w:eastAsia="宋体" w:cs="宋体"/>
                <w:bCs/>
                <w:color w:val="auto"/>
                <w:kern w:val="0"/>
                <w:szCs w:val="21"/>
                <w:highlight w:val="none"/>
              </w:rPr>
            </w:pPr>
            <w:r>
              <w:rPr>
                <w:rFonts w:hint="eastAsia" w:ascii="宋体" w:hAnsi="宋体" w:eastAsia="宋体" w:cs="宋体"/>
                <w:bCs/>
                <w:strike w:val="0"/>
                <w:dstrike w:val="0"/>
                <w:color w:val="auto"/>
                <w:kern w:val="0"/>
                <w:szCs w:val="21"/>
                <w:highlight w:val="none"/>
                <w:lang w:val="en-US" w:eastAsia="zh-CN"/>
              </w:rPr>
              <w:t>8.</w:t>
            </w:r>
            <w:r>
              <w:rPr>
                <w:rFonts w:hint="eastAsia" w:ascii="宋体" w:hAnsi="宋体" w:eastAsia="宋体" w:cs="宋体"/>
                <w:bCs/>
                <w:strike w:val="0"/>
                <w:dstrike w:val="0"/>
                <w:color w:val="auto"/>
                <w:kern w:val="0"/>
                <w:szCs w:val="21"/>
                <w:highlight w:val="none"/>
              </w:rPr>
              <w:t>在系统上公布评审结果。</w:t>
            </w:r>
          </w:p>
        </w:tc>
      </w:tr>
      <w:tr w14:paraId="6B59A2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824" w:hRule="atLeast"/>
          <w:jc w:val="center"/>
        </w:trPr>
        <w:tc>
          <w:tcPr>
            <w:tcW w:w="645" w:type="dxa"/>
            <w:vAlign w:val="center"/>
          </w:tcPr>
          <w:p w14:paraId="64BC1C2E">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24</w:t>
            </w:r>
          </w:p>
        </w:tc>
        <w:tc>
          <w:tcPr>
            <w:tcW w:w="2009" w:type="dxa"/>
            <w:vAlign w:val="center"/>
          </w:tcPr>
          <w:p w14:paraId="31BDD627">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评标委员会的组建</w:t>
            </w:r>
          </w:p>
        </w:tc>
        <w:tc>
          <w:tcPr>
            <w:tcW w:w="6620" w:type="dxa"/>
            <w:vAlign w:val="center"/>
          </w:tcPr>
          <w:p w14:paraId="29AD89E7">
            <w:pPr>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评标委员会构成：由</w:t>
            </w:r>
            <w:r>
              <w:rPr>
                <w:rFonts w:hint="eastAsia" w:ascii="宋体" w:hAnsi="宋体" w:eastAsia="宋体" w:cs="宋体"/>
                <w:bCs/>
                <w:color w:val="auto"/>
                <w:kern w:val="0"/>
                <w:szCs w:val="21"/>
                <w:highlight w:val="none"/>
                <w:lang w:eastAsia="zh-CN"/>
              </w:rPr>
              <w:t>采购人</w:t>
            </w:r>
            <w:r>
              <w:rPr>
                <w:rFonts w:hint="eastAsia" w:ascii="宋体" w:hAnsi="宋体" w:eastAsia="宋体" w:cs="宋体"/>
                <w:bCs/>
                <w:color w:val="auto"/>
                <w:kern w:val="0"/>
                <w:szCs w:val="21"/>
                <w:highlight w:val="none"/>
              </w:rPr>
              <w:t>代表以及有关技术、经济等方面的专家组成，成员为</w:t>
            </w:r>
            <w:r>
              <w:rPr>
                <w:rFonts w:hint="eastAsia" w:ascii="宋体" w:hAnsi="宋体" w:eastAsia="宋体" w:cs="宋体"/>
                <w:bCs/>
                <w:color w:val="auto"/>
                <w:kern w:val="0"/>
                <w:szCs w:val="21"/>
                <w:highlight w:val="none"/>
                <w:lang w:val="en-US" w:eastAsia="zh-CN"/>
              </w:rPr>
              <w:t>5</w:t>
            </w:r>
            <w:r>
              <w:rPr>
                <w:rFonts w:hint="eastAsia" w:ascii="宋体" w:hAnsi="宋体" w:eastAsia="宋体" w:cs="宋体"/>
                <w:bCs/>
                <w:color w:val="auto"/>
                <w:kern w:val="0"/>
                <w:szCs w:val="21"/>
                <w:highlight w:val="none"/>
              </w:rPr>
              <w:t>人及以上单数，其中技术、经济类专家不得少于总人数的2/3；</w:t>
            </w:r>
          </w:p>
          <w:p w14:paraId="60419098">
            <w:pPr>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评标专家确定方式：按相关规定从专家库中抽取。</w:t>
            </w:r>
          </w:p>
        </w:tc>
      </w:tr>
      <w:tr w14:paraId="2CB017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824" w:hRule="atLeast"/>
          <w:jc w:val="center"/>
        </w:trPr>
        <w:tc>
          <w:tcPr>
            <w:tcW w:w="645" w:type="dxa"/>
            <w:vAlign w:val="center"/>
          </w:tcPr>
          <w:p w14:paraId="43E751AD">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25</w:t>
            </w:r>
          </w:p>
        </w:tc>
        <w:tc>
          <w:tcPr>
            <w:tcW w:w="2009" w:type="dxa"/>
            <w:vAlign w:val="center"/>
          </w:tcPr>
          <w:p w14:paraId="22C26F76">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合同管理</w:t>
            </w:r>
          </w:p>
        </w:tc>
        <w:tc>
          <w:tcPr>
            <w:tcW w:w="6620" w:type="dxa"/>
            <w:vAlign w:val="center"/>
          </w:tcPr>
          <w:p w14:paraId="61528FB5">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1.中标人与</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签订合同后，三个工作日内将合同原件交给</w:t>
            </w:r>
            <w:r>
              <w:rPr>
                <w:rFonts w:hint="eastAsia" w:ascii="宋体" w:hAnsi="宋体" w:eastAsia="宋体" w:cs="宋体"/>
                <w:color w:val="auto"/>
                <w:szCs w:val="21"/>
                <w:highlight w:val="none"/>
                <w:lang w:eastAsia="zh-CN"/>
              </w:rPr>
              <w:t>温州市兴城工程造价审计咨询事务所（普通合伙）</w:t>
            </w:r>
            <w:r>
              <w:rPr>
                <w:rFonts w:hint="eastAsia" w:ascii="宋体" w:hAnsi="宋体" w:eastAsia="宋体" w:cs="宋体"/>
                <w:color w:val="auto"/>
                <w:szCs w:val="21"/>
                <w:highlight w:val="none"/>
              </w:rPr>
              <w:t>备案。</w:t>
            </w:r>
          </w:p>
          <w:p w14:paraId="262643C4">
            <w:pPr>
              <w:spacing w:line="276" w:lineRule="auto"/>
              <w:rPr>
                <w:rFonts w:hint="eastAsia" w:ascii="宋体" w:hAnsi="宋体" w:eastAsia="宋体" w:cs="宋体"/>
                <w:bCs/>
                <w:color w:val="auto"/>
                <w:kern w:val="0"/>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在合同签订后三个工作日内要及时向</w:t>
            </w:r>
            <w:r>
              <w:rPr>
                <w:rFonts w:hint="eastAsia" w:ascii="宋体" w:hAnsi="宋体" w:eastAsia="宋体" w:cs="宋体"/>
                <w:color w:val="auto"/>
                <w:szCs w:val="21"/>
                <w:highlight w:val="none"/>
                <w:lang w:eastAsia="zh-CN"/>
              </w:rPr>
              <w:t>温州瓯瓷产业发展有限公司</w:t>
            </w:r>
            <w:r>
              <w:rPr>
                <w:rFonts w:hint="eastAsia" w:ascii="宋体" w:hAnsi="宋体" w:eastAsia="宋体" w:cs="宋体"/>
                <w:color w:val="auto"/>
                <w:szCs w:val="21"/>
                <w:highlight w:val="none"/>
              </w:rPr>
              <w:t>申请备案。</w:t>
            </w:r>
          </w:p>
        </w:tc>
      </w:tr>
      <w:tr w14:paraId="06CF48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824" w:hRule="atLeast"/>
          <w:jc w:val="center"/>
        </w:trPr>
        <w:tc>
          <w:tcPr>
            <w:tcW w:w="645" w:type="dxa"/>
            <w:vAlign w:val="center"/>
          </w:tcPr>
          <w:p w14:paraId="7342AE1C">
            <w:pPr>
              <w:spacing w:line="276" w:lineRule="auto"/>
              <w:jc w:val="center"/>
              <w:rPr>
                <w:rFonts w:hint="eastAsia" w:ascii="宋体" w:hAnsi="宋体" w:eastAsia="宋体" w:cs="宋体"/>
                <w:color w:val="auto"/>
                <w:szCs w:val="21"/>
                <w:highlight w:val="none"/>
                <w:lang w:val="en-US" w:eastAsia="zh-CN"/>
              </w:rPr>
            </w:pPr>
            <w:bookmarkStart w:id="44" w:name="_Toc12068"/>
            <w:bookmarkStart w:id="45" w:name="_Toc29768"/>
            <w:r>
              <w:rPr>
                <w:rFonts w:hint="eastAsia" w:ascii="宋体" w:hAnsi="宋体" w:eastAsia="宋体" w:cs="宋体"/>
                <w:color w:val="auto"/>
                <w:szCs w:val="21"/>
                <w:highlight w:val="none"/>
                <w:lang w:val="en-US" w:eastAsia="zh-CN"/>
              </w:rPr>
              <w:t>26</w:t>
            </w:r>
          </w:p>
        </w:tc>
        <w:tc>
          <w:tcPr>
            <w:tcW w:w="2009" w:type="dxa"/>
            <w:vAlign w:val="center"/>
          </w:tcPr>
          <w:p w14:paraId="17B9E28E">
            <w:pPr>
              <w:keepNext w:val="0"/>
              <w:keepLines w:val="0"/>
              <w:pageBreakBefore w:val="0"/>
              <w:kinsoku/>
              <w:wordWrap/>
              <w:overflowPunct/>
              <w:topLinePunct w:val="0"/>
              <w:autoSpaceDE/>
              <w:autoSpaceDN/>
              <w:bidi w:val="0"/>
              <w:spacing w:line="40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 w:val="21"/>
                <w:szCs w:val="21"/>
                <w:highlight w:val="none"/>
              </w:rPr>
              <w:t>解释权</w:t>
            </w:r>
          </w:p>
        </w:tc>
        <w:tc>
          <w:tcPr>
            <w:tcW w:w="6620" w:type="dxa"/>
            <w:vAlign w:val="center"/>
          </w:tcPr>
          <w:p w14:paraId="6F58C847">
            <w:pPr>
              <w:keepNext w:val="0"/>
              <w:keepLines w:val="0"/>
              <w:pageBreakBefore w:val="0"/>
              <w:kinsoku/>
              <w:wordWrap/>
              <w:overflowPunct/>
              <w:topLinePunct w:val="0"/>
              <w:autoSpaceDE/>
              <w:autoSpaceDN/>
              <w:bidi w:val="0"/>
              <w:spacing w:line="400" w:lineRule="atLeast"/>
              <w:textAlignment w:val="auto"/>
              <w:rPr>
                <w:rFonts w:hint="eastAsia" w:ascii="宋体" w:hAnsi="宋体" w:eastAsia="宋体" w:cs="宋体"/>
                <w:color w:val="auto"/>
                <w:szCs w:val="21"/>
                <w:highlight w:val="none"/>
              </w:rPr>
            </w:pPr>
            <w:r>
              <w:rPr>
                <w:rFonts w:hint="eastAsia" w:ascii="宋体" w:hAnsi="宋体" w:eastAsia="宋体" w:cs="宋体"/>
                <w:color w:val="auto"/>
                <w:sz w:val="21"/>
                <w:szCs w:val="21"/>
                <w:highlight w:val="none"/>
              </w:rPr>
              <w:t>构成本</w:t>
            </w:r>
            <w:r>
              <w:rPr>
                <w:rFonts w:hint="eastAsia" w:ascii="宋体" w:hAnsi="宋体" w:eastAsia="宋体" w:cs="宋体"/>
                <w:color w:val="auto"/>
                <w:sz w:val="21"/>
                <w:szCs w:val="21"/>
                <w:highlight w:val="none"/>
                <w:lang w:val="en-US" w:eastAsia="zh-CN"/>
              </w:rPr>
              <w:t>招标</w:t>
            </w:r>
            <w:r>
              <w:rPr>
                <w:rFonts w:hint="eastAsia" w:ascii="宋体" w:hAnsi="宋体" w:eastAsia="宋体" w:cs="宋体"/>
                <w:color w:val="auto"/>
                <w:sz w:val="21"/>
                <w:szCs w:val="21"/>
                <w:highlight w:val="none"/>
              </w:rPr>
              <w:t>文件的各个组成文件应互为解释，互为说明；如有不明确或不一致，构成合同文件组成内容的，以合同文件约定内容为准，且以专用合同条款约定的合同文件优先顺序解释；仅适用于招标投标阶段的约定，按采购公告、</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须知、评标办法、投标文件格式的先后顺序解释；同一文件中就同一事项的约定不一致的，以逻辑顺序在后者为准；同一文件不同版本之间有不一致的，以形成时间在后者为准。按本款前述约定仍不能形成结论的，由招标采购单位负责解释。</w:t>
            </w:r>
          </w:p>
        </w:tc>
      </w:tr>
    </w:tbl>
    <w:p w14:paraId="6D4F5CFC">
      <w:pPr>
        <w:pStyle w:val="236"/>
        <w:widowControl w:val="0"/>
        <w:snapToGrid w:val="0"/>
        <w:spacing w:line="500" w:lineRule="exact"/>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br w:type="page"/>
      </w:r>
      <w:r>
        <w:rPr>
          <w:rFonts w:hint="eastAsia" w:ascii="宋体" w:hAnsi="宋体" w:eastAsia="宋体" w:cs="宋体"/>
          <w:color w:val="auto"/>
          <w:sz w:val="32"/>
          <w:szCs w:val="32"/>
          <w:highlight w:val="none"/>
        </w:rPr>
        <w:t>国有企业采购活动现场确认声明书</w:t>
      </w:r>
    </w:p>
    <w:p w14:paraId="3BB853E4">
      <w:pPr>
        <w:pStyle w:val="236"/>
        <w:keepNext w:val="0"/>
        <w:keepLines w:val="0"/>
        <w:pageBreakBefore w:val="0"/>
        <w:widowControl w:val="0"/>
        <w:kinsoku/>
        <w:wordWrap/>
        <w:overflowPunct/>
        <w:topLinePunct w:val="0"/>
        <w:autoSpaceDE/>
        <w:autoSpaceDN/>
        <w:bidi w:val="0"/>
        <w:snapToGrid w:val="0"/>
        <w:spacing w:line="440" w:lineRule="exact"/>
        <w:jc w:val="both"/>
        <w:rPr>
          <w:rFonts w:hint="eastAsia" w:ascii="宋体" w:hAnsi="宋体" w:eastAsia="宋体" w:cs="宋体"/>
          <w:b/>
          <w:color w:val="auto"/>
          <w:sz w:val="24"/>
          <w:szCs w:val="24"/>
          <w:highlight w:val="none"/>
        </w:rPr>
      </w:pPr>
      <w:r>
        <w:rPr>
          <w:rFonts w:hint="eastAsia" w:ascii="宋体" w:hAnsi="宋体" w:eastAsia="宋体" w:cs="宋体"/>
          <w:color w:val="auto"/>
          <w:kern w:val="0"/>
          <w:sz w:val="24"/>
          <w:szCs w:val="24"/>
          <w:highlight w:val="none"/>
          <w:u w:val="single"/>
          <w:lang w:eastAsia="zh-CN"/>
        </w:rPr>
        <w:t>温州市兴城工程造价审计咨询事务所（普通合伙）</w:t>
      </w:r>
      <w:r>
        <w:rPr>
          <w:rFonts w:hint="eastAsia" w:ascii="宋体" w:hAnsi="宋体" w:eastAsia="宋体" w:cs="宋体"/>
          <w:color w:val="auto"/>
          <w:kern w:val="0"/>
          <w:sz w:val="24"/>
          <w:szCs w:val="24"/>
          <w:highlight w:val="none"/>
        </w:rPr>
        <w:t>：</w:t>
      </w:r>
    </w:p>
    <w:p w14:paraId="4C69C829">
      <w:pPr>
        <w:pStyle w:val="236"/>
        <w:keepNext w:val="0"/>
        <w:keepLines w:val="0"/>
        <w:pageBreakBefore w:val="0"/>
        <w:widowControl w:val="0"/>
        <w:kinsoku/>
        <w:wordWrap/>
        <w:overflowPunct/>
        <w:topLinePunct w:val="0"/>
        <w:autoSpaceDE/>
        <w:autoSpaceDN/>
        <w:bidi w:val="0"/>
        <w:snapToGrid w:val="0"/>
        <w:spacing w:line="440" w:lineRule="exact"/>
        <w:ind w:firstLine="504" w:firstLineChars="200"/>
        <w:jc w:val="both"/>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本人经由</w:t>
      </w:r>
      <w:r>
        <w:rPr>
          <w:rFonts w:hint="eastAsia" w:ascii="宋体" w:hAnsi="宋体" w:eastAsia="宋体" w:cs="宋体"/>
          <w:color w:val="auto"/>
          <w:spacing w:val="6"/>
          <w:sz w:val="24"/>
          <w:szCs w:val="24"/>
          <w:highlight w:val="none"/>
          <w:u w:val="single"/>
        </w:rPr>
        <w:t xml:space="preserve">             （单位）</w:t>
      </w:r>
      <w:r>
        <w:rPr>
          <w:rFonts w:hint="eastAsia" w:ascii="宋体" w:hAnsi="宋体" w:eastAsia="宋体" w:cs="宋体"/>
          <w:color w:val="auto"/>
          <w:spacing w:val="6"/>
          <w:sz w:val="24"/>
          <w:szCs w:val="24"/>
          <w:highlight w:val="none"/>
        </w:rPr>
        <w:t>负责人</w:t>
      </w:r>
      <w:r>
        <w:rPr>
          <w:rFonts w:hint="eastAsia" w:ascii="宋体" w:hAnsi="宋体" w:eastAsia="宋体" w:cs="宋体"/>
          <w:color w:val="auto"/>
          <w:spacing w:val="6"/>
          <w:sz w:val="24"/>
          <w:szCs w:val="24"/>
          <w:highlight w:val="none"/>
          <w:u w:val="single"/>
        </w:rPr>
        <w:t xml:space="preserve">      （姓名）</w:t>
      </w:r>
      <w:r>
        <w:rPr>
          <w:rFonts w:hint="eastAsia" w:ascii="宋体" w:hAnsi="宋体" w:eastAsia="宋体" w:cs="宋体"/>
          <w:color w:val="auto"/>
          <w:spacing w:val="6"/>
          <w:sz w:val="24"/>
          <w:szCs w:val="24"/>
          <w:highlight w:val="none"/>
        </w:rPr>
        <w:t>合法授权参</w:t>
      </w:r>
      <w:r>
        <w:rPr>
          <w:rFonts w:hint="eastAsia" w:ascii="宋体" w:hAnsi="宋体" w:eastAsia="宋体" w:cs="宋体"/>
          <w:color w:val="auto"/>
          <w:spacing w:val="6"/>
          <w:sz w:val="24"/>
          <w:szCs w:val="24"/>
          <w:highlight w:val="none"/>
          <w:lang w:val="en-US" w:eastAsia="zh-CN"/>
        </w:rPr>
        <w:t>加</w:t>
      </w:r>
      <w:r>
        <w:rPr>
          <w:rFonts w:hint="eastAsia" w:ascii="宋体" w:hAnsi="宋体" w:eastAsia="宋体" w:cs="宋体"/>
          <w:color w:val="auto"/>
          <w:spacing w:val="6"/>
          <w:sz w:val="24"/>
          <w:szCs w:val="24"/>
          <w:highlight w:val="none"/>
          <w:u w:val="single"/>
          <w:lang w:val="en-US" w:eastAsia="zh-CN"/>
        </w:rPr>
        <w:t xml:space="preserve"> </w:t>
      </w:r>
      <w:r>
        <w:rPr>
          <w:rFonts w:hint="eastAsia" w:hAnsi="宋体" w:cs="宋体"/>
          <w:color w:val="auto"/>
          <w:spacing w:val="6"/>
          <w:sz w:val="24"/>
          <w:szCs w:val="24"/>
          <w:highlight w:val="none"/>
          <w:u w:val="single"/>
          <w:lang w:val="en-US" w:eastAsia="zh-CN"/>
        </w:rPr>
        <w:t>瓯窑产业化项目研发生产提效设备-陶艺工作室仪器设备</w:t>
      </w:r>
      <w:r>
        <w:rPr>
          <w:rFonts w:hint="eastAsia" w:ascii="宋体" w:hAnsi="宋体" w:eastAsia="宋体" w:cs="宋体"/>
          <w:color w:val="auto"/>
          <w:spacing w:val="6"/>
          <w:sz w:val="24"/>
          <w:szCs w:val="24"/>
          <w:highlight w:val="none"/>
        </w:rPr>
        <w:t>（项目编号：</w:t>
      </w:r>
      <w:r>
        <w:rPr>
          <w:rFonts w:hint="eastAsia" w:hAnsi="宋体" w:cs="宋体"/>
          <w:color w:val="auto"/>
          <w:spacing w:val="6"/>
          <w:sz w:val="24"/>
          <w:szCs w:val="24"/>
          <w:highlight w:val="none"/>
          <w:u w:val="single"/>
          <w:lang w:val="en-US" w:eastAsia="zh-CN"/>
        </w:rPr>
        <w:t>WGSS-GYNY-Z-2025022</w:t>
      </w:r>
      <w:r>
        <w:rPr>
          <w:rFonts w:hint="eastAsia" w:ascii="宋体" w:hAnsi="宋体" w:eastAsia="宋体" w:cs="宋体"/>
          <w:color w:val="auto"/>
          <w:spacing w:val="6"/>
          <w:sz w:val="24"/>
          <w:szCs w:val="24"/>
          <w:highlight w:val="none"/>
        </w:rPr>
        <w:t>）国有企业采购活动，经与本单位法人代表</w:t>
      </w:r>
      <w:r>
        <w:rPr>
          <w:rFonts w:hint="eastAsia" w:ascii="宋体" w:hAnsi="宋体" w:eastAsia="宋体" w:cs="宋体"/>
          <w:color w:val="auto"/>
          <w:spacing w:val="6"/>
          <w:sz w:val="24"/>
          <w:szCs w:val="24"/>
          <w:highlight w:val="none"/>
          <w:u w:val="single"/>
          <w:lang w:val="en-US" w:eastAsia="zh-CN"/>
        </w:rPr>
        <w:t xml:space="preserve">     </w:t>
      </w:r>
      <w:r>
        <w:rPr>
          <w:rFonts w:hint="eastAsia" w:ascii="宋体" w:hAnsi="宋体" w:eastAsia="宋体" w:cs="宋体"/>
          <w:color w:val="auto"/>
          <w:spacing w:val="6"/>
          <w:sz w:val="24"/>
          <w:szCs w:val="24"/>
          <w:highlight w:val="none"/>
        </w:rPr>
        <w:t xml:space="preserve">（负责人）联系确认，现就有关公平竞争事项郑重声明如下： </w:t>
      </w:r>
    </w:p>
    <w:p w14:paraId="6DC49A11">
      <w:pPr>
        <w:pStyle w:val="198"/>
        <w:keepNext w:val="0"/>
        <w:keepLines w:val="0"/>
        <w:pageBreakBefore w:val="0"/>
        <w:widowControl/>
        <w:numPr>
          <w:ilvl w:val="0"/>
          <w:numId w:val="4"/>
        </w:numPr>
        <w:kinsoku/>
        <w:wordWrap/>
        <w:overflowPunct/>
        <w:topLinePunct w:val="0"/>
        <w:autoSpaceDE/>
        <w:autoSpaceDN/>
        <w:bidi w:val="0"/>
        <w:snapToGrid w:val="0"/>
        <w:spacing w:line="440" w:lineRule="exact"/>
        <w:ind w:firstLine="453" w:firstLineChars="18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本单位与采购人之间 □不存在利害关系 □存在下列利害关系</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14:paraId="6801CE32">
      <w:pPr>
        <w:pStyle w:val="198"/>
        <w:keepNext w:val="0"/>
        <w:keepLines w:val="0"/>
        <w:pageBreakBefore w:val="0"/>
        <w:widowControl/>
        <w:kinsoku/>
        <w:wordWrap/>
        <w:overflowPunct/>
        <w:topLinePunct w:val="0"/>
        <w:autoSpaceDE/>
        <w:autoSpaceDN/>
        <w:bidi w:val="0"/>
        <w:snapToGrid w:val="0"/>
        <w:spacing w:line="440" w:lineRule="exac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A.投资关系    B.行政隶属关系    C.业务指导关系</w:t>
      </w:r>
    </w:p>
    <w:p w14:paraId="7C27A6DE">
      <w:pPr>
        <w:pStyle w:val="198"/>
        <w:keepNext w:val="0"/>
        <w:keepLines w:val="0"/>
        <w:pageBreakBefore w:val="0"/>
        <w:widowControl/>
        <w:kinsoku/>
        <w:wordWrap/>
        <w:overflowPunct/>
        <w:topLinePunct w:val="0"/>
        <w:autoSpaceDE/>
        <w:autoSpaceDN/>
        <w:bidi w:val="0"/>
        <w:snapToGrid w:val="0"/>
        <w:spacing w:line="440" w:lineRule="exac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D.其他可能</w:t>
      </w:r>
      <w:r>
        <w:rPr>
          <w:rFonts w:hint="eastAsia" w:ascii="宋体" w:hAnsi="宋体" w:eastAsia="宋体" w:cs="宋体"/>
          <w:color w:val="auto"/>
          <w:sz w:val="24"/>
          <w:szCs w:val="24"/>
          <w:highlight w:val="none"/>
        </w:rPr>
        <w:t>影响采购公正的</w:t>
      </w:r>
      <w:r>
        <w:rPr>
          <w:rFonts w:hint="eastAsia" w:ascii="宋体" w:hAnsi="宋体" w:eastAsia="宋体" w:cs="宋体"/>
          <w:color w:val="auto"/>
          <w:kern w:val="0"/>
          <w:sz w:val="24"/>
          <w:szCs w:val="24"/>
          <w:highlight w:val="none"/>
        </w:rPr>
        <w:t>利害关系</w:t>
      </w:r>
      <w:r>
        <w:rPr>
          <w:rFonts w:hint="eastAsia" w:ascii="宋体" w:hAnsi="宋体" w:eastAsia="宋体" w:cs="宋体"/>
          <w:color w:val="auto"/>
          <w:kern w:val="0"/>
          <w:sz w:val="24"/>
          <w:szCs w:val="24"/>
          <w:highlight w:val="none"/>
          <w:u w:val="single"/>
        </w:rPr>
        <w:t xml:space="preserve">（如有，请如实说明）                 </w:t>
      </w:r>
      <w:r>
        <w:rPr>
          <w:rFonts w:hint="eastAsia" w:ascii="宋体" w:hAnsi="宋体" w:eastAsia="宋体" w:cs="宋体"/>
          <w:color w:val="auto"/>
          <w:kern w:val="0"/>
          <w:sz w:val="24"/>
          <w:szCs w:val="24"/>
          <w:highlight w:val="none"/>
        </w:rPr>
        <w:t>。</w:t>
      </w:r>
    </w:p>
    <w:p w14:paraId="68EC9544">
      <w:pPr>
        <w:pStyle w:val="198"/>
        <w:keepNext w:val="0"/>
        <w:keepLines w:val="0"/>
        <w:pageBreakBefore w:val="0"/>
        <w:widowControl/>
        <w:kinsoku/>
        <w:wordWrap/>
        <w:overflowPunct/>
        <w:topLinePunct w:val="0"/>
        <w:autoSpaceDE/>
        <w:autoSpaceDN/>
        <w:bidi w:val="0"/>
        <w:snapToGrid w:val="0"/>
        <w:spacing w:line="440" w:lineRule="exact"/>
        <w:ind w:firstLine="504" w:firstLineChars="200"/>
        <w:rPr>
          <w:rFonts w:hint="eastAsia" w:ascii="宋体" w:hAnsi="宋体" w:eastAsia="宋体" w:cs="宋体"/>
          <w:color w:val="auto"/>
          <w:kern w:val="0"/>
          <w:sz w:val="24"/>
          <w:szCs w:val="24"/>
          <w:highlight w:val="none"/>
        </w:rPr>
      </w:pPr>
      <w:r>
        <w:rPr>
          <w:rFonts w:hint="eastAsia" w:ascii="宋体" w:hAnsi="宋体" w:eastAsia="宋体" w:cs="宋体"/>
          <w:color w:val="auto"/>
          <w:spacing w:val="6"/>
          <w:sz w:val="24"/>
          <w:szCs w:val="24"/>
          <w:highlight w:val="none"/>
        </w:rPr>
        <w:t>二、</w:t>
      </w:r>
      <w:r>
        <w:rPr>
          <w:rFonts w:hint="eastAsia" w:ascii="宋体" w:hAnsi="宋体" w:eastAsia="宋体" w:cs="宋体"/>
          <w:color w:val="auto"/>
          <w:kern w:val="0"/>
          <w:sz w:val="24"/>
          <w:szCs w:val="24"/>
          <w:highlight w:val="none"/>
        </w:rPr>
        <w:t>现已清楚知道参加本项目采购活动的其他所有供应商名称，本单位 □与其他所有供应商之间均不存在利害关系 □与</w:t>
      </w:r>
      <w:r>
        <w:rPr>
          <w:rFonts w:hint="eastAsia" w:ascii="宋体" w:hAnsi="宋体" w:eastAsia="宋体" w:cs="宋体"/>
          <w:color w:val="auto"/>
          <w:kern w:val="0"/>
          <w:sz w:val="24"/>
          <w:szCs w:val="24"/>
          <w:highlight w:val="none"/>
          <w:u w:val="single"/>
        </w:rPr>
        <w:t xml:space="preserve">             （供应商名称）</w:t>
      </w:r>
      <w:r>
        <w:rPr>
          <w:rFonts w:hint="eastAsia" w:ascii="宋体" w:hAnsi="宋体" w:eastAsia="宋体" w:cs="宋体"/>
          <w:color w:val="auto"/>
          <w:kern w:val="0"/>
          <w:sz w:val="24"/>
          <w:szCs w:val="24"/>
          <w:highlight w:val="none"/>
        </w:rPr>
        <w:t>之间存在下列利害关系</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14:paraId="6A383821">
      <w:pPr>
        <w:pStyle w:val="236"/>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jc w:val="both"/>
        <w:textAlignment w:val="baseline"/>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A.法定代表人或负责人或实际控制人是同一人</w:t>
      </w:r>
    </w:p>
    <w:p w14:paraId="0917462E">
      <w:pPr>
        <w:pStyle w:val="236"/>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jc w:val="both"/>
        <w:textAlignment w:val="baseline"/>
        <w:rPr>
          <w:rFonts w:hint="eastAsia" w:ascii="宋体" w:hAnsi="宋体" w:eastAsia="宋体" w:cs="宋体"/>
          <w:color w:val="auto"/>
          <w:spacing w:val="6"/>
          <w:sz w:val="24"/>
          <w:szCs w:val="24"/>
          <w:highlight w:val="none"/>
        </w:rPr>
      </w:pPr>
      <w:r>
        <w:rPr>
          <w:rFonts w:hint="eastAsia" w:ascii="宋体" w:hAnsi="宋体" w:eastAsia="宋体" w:cs="宋体"/>
          <w:color w:val="auto"/>
          <w:kern w:val="0"/>
          <w:sz w:val="24"/>
          <w:szCs w:val="24"/>
          <w:highlight w:val="none"/>
        </w:rPr>
        <w:t xml:space="preserve">  B.法定代表人或负责人或实际控制人是夫妻关系</w:t>
      </w:r>
    </w:p>
    <w:p w14:paraId="48F25B1F">
      <w:pPr>
        <w:pStyle w:val="236"/>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jc w:val="both"/>
        <w:textAlignment w:val="baseline"/>
        <w:rPr>
          <w:rFonts w:hint="eastAsia" w:ascii="宋体" w:hAnsi="宋体" w:eastAsia="宋体" w:cs="宋体"/>
          <w:color w:val="auto"/>
          <w:spacing w:val="6"/>
          <w:sz w:val="24"/>
          <w:szCs w:val="24"/>
          <w:highlight w:val="none"/>
        </w:rPr>
      </w:pPr>
      <w:r>
        <w:rPr>
          <w:rFonts w:hint="eastAsia" w:ascii="宋体" w:hAnsi="宋体" w:eastAsia="宋体" w:cs="宋体"/>
          <w:color w:val="auto"/>
          <w:kern w:val="0"/>
          <w:sz w:val="24"/>
          <w:szCs w:val="24"/>
          <w:highlight w:val="none"/>
        </w:rPr>
        <w:t xml:space="preserve">  C.法定代表人或负责人或实际控制人是直系血亲关系</w:t>
      </w:r>
    </w:p>
    <w:p w14:paraId="0A5B606E">
      <w:pPr>
        <w:pStyle w:val="236"/>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jc w:val="both"/>
        <w:textAlignment w:val="baseline"/>
        <w:rPr>
          <w:rFonts w:hint="eastAsia" w:ascii="宋体" w:hAnsi="宋体" w:eastAsia="宋体" w:cs="宋体"/>
          <w:color w:val="auto"/>
          <w:spacing w:val="6"/>
          <w:sz w:val="24"/>
          <w:szCs w:val="24"/>
          <w:highlight w:val="none"/>
        </w:rPr>
      </w:pPr>
      <w:r>
        <w:rPr>
          <w:rFonts w:hint="eastAsia" w:ascii="宋体" w:hAnsi="宋体" w:eastAsia="宋体" w:cs="宋体"/>
          <w:color w:val="auto"/>
          <w:kern w:val="0"/>
          <w:sz w:val="24"/>
          <w:szCs w:val="24"/>
          <w:highlight w:val="none"/>
        </w:rPr>
        <w:t xml:space="preserve">  D.法定代表人或负责人或实际控制人存在三代以内旁系血亲关系</w:t>
      </w:r>
    </w:p>
    <w:p w14:paraId="40F01994">
      <w:pPr>
        <w:pStyle w:val="236"/>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jc w:val="both"/>
        <w:textAlignment w:val="baseline"/>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E.法定代表人或负责人或实际控制人存在近姻亲关系</w:t>
      </w:r>
    </w:p>
    <w:p w14:paraId="7451451E">
      <w:pPr>
        <w:pStyle w:val="236"/>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jc w:val="both"/>
        <w:textAlignment w:val="baseline"/>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F.法定代表人或负责人或实际控制人存在股份控制或实际控制关系</w:t>
      </w:r>
    </w:p>
    <w:p w14:paraId="1C191971">
      <w:pPr>
        <w:pStyle w:val="236"/>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jc w:val="both"/>
        <w:textAlignment w:val="baseline"/>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G.存在共同直接或间接投资设立子公司、联营企业和合营企业情况</w:t>
      </w:r>
    </w:p>
    <w:p w14:paraId="612F6C75">
      <w:pPr>
        <w:pStyle w:val="236"/>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 xml:space="preserve">  H.存在分级代理或代销关系、同一生产制造商关系、</w:t>
      </w:r>
      <w:r>
        <w:rPr>
          <w:rFonts w:hint="eastAsia" w:ascii="宋体" w:hAnsi="宋体" w:eastAsia="宋体" w:cs="宋体"/>
          <w:color w:val="auto"/>
          <w:sz w:val="24"/>
          <w:szCs w:val="24"/>
          <w:highlight w:val="none"/>
        </w:rPr>
        <w:t>管理关系、重要业务（占主营业务收入50%以上）或重要财务往来关系（如融资）等其他实质性控制关系</w:t>
      </w:r>
    </w:p>
    <w:p w14:paraId="4084A4A6">
      <w:pPr>
        <w:pStyle w:val="236"/>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jc w:val="both"/>
        <w:textAlignment w:val="baseline"/>
        <w:rPr>
          <w:rFonts w:hint="eastAsia" w:ascii="宋体" w:hAnsi="宋体" w:eastAsia="宋体" w:cs="宋体"/>
          <w:color w:val="auto"/>
          <w:spacing w:val="6"/>
          <w:sz w:val="24"/>
          <w:szCs w:val="24"/>
          <w:highlight w:val="none"/>
        </w:rPr>
      </w:pPr>
      <w:r>
        <w:rPr>
          <w:rFonts w:hint="eastAsia" w:ascii="宋体" w:hAnsi="宋体" w:eastAsia="宋体" w:cs="宋体"/>
          <w:color w:val="auto"/>
          <w:sz w:val="24"/>
          <w:szCs w:val="24"/>
          <w:highlight w:val="none"/>
        </w:rPr>
        <w:t xml:space="preserve">  I</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szCs w:val="24"/>
          <w:highlight w:val="none"/>
        </w:rPr>
        <w:t>其他利害关系情况</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rPr>
        <w:t>。</w:t>
      </w:r>
    </w:p>
    <w:p w14:paraId="225FD118">
      <w:pPr>
        <w:pStyle w:val="198"/>
        <w:keepNext w:val="0"/>
        <w:keepLines w:val="0"/>
        <w:pageBreakBefore w:val="0"/>
        <w:widowControl/>
        <w:numPr>
          <w:ilvl w:val="0"/>
          <w:numId w:val="5"/>
        </w:numPr>
        <w:kinsoku/>
        <w:wordWrap/>
        <w:overflowPunct/>
        <w:topLinePunct w:val="0"/>
        <w:autoSpaceDE/>
        <w:autoSpaceDN/>
        <w:bidi w:val="0"/>
        <w:snapToGrid w:val="0"/>
        <w:spacing w:line="440" w:lineRule="exact"/>
        <w:ind w:firstLine="453" w:firstLineChars="189"/>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现已清楚知道并</w:t>
      </w:r>
      <w:r>
        <w:rPr>
          <w:rFonts w:hint="eastAsia" w:ascii="宋体" w:hAnsi="宋体" w:eastAsia="宋体" w:cs="宋体"/>
          <w:color w:val="auto"/>
          <w:kern w:val="0"/>
          <w:sz w:val="24"/>
          <w:szCs w:val="24"/>
          <w:highlight w:val="none"/>
        </w:rPr>
        <w:t>严格遵守国有企业采购法律法规和现场纪律。</w:t>
      </w:r>
    </w:p>
    <w:p w14:paraId="73E9EA81">
      <w:pPr>
        <w:pStyle w:val="198"/>
        <w:keepNext w:val="0"/>
        <w:keepLines w:val="0"/>
        <w:pageBreakBefore w:val="0"/>
        <w:widowControl/>
        <w:numPr>
          <w:ilvl w:val="0"/>
          <w:numId w:val="5"/>
        </w:numPr>
        <w:kinsoku/>
        <w:wordWrap/>
        <w:overflowPunct/>
        <w:topLinePunct w:val="0"/>
        <w:autoSpaceDE/>
        <w:autoSpaceDN/>
        <w:bidi w:val="0"/>
        <w:snapToGrid w:val="0"/>
        <w:spacing w:line="440" w:lineRule="exact"/>
        <w:ind w:firstLine="453" w:firstLineChars="189"/>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我发现</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供应商之间存在或可能存在上述第二条第</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项利害关系。</w:t>
      </w:r>
    </w:p>
    <w:p w14:paraId="64579FB9">
      <w:pPr>
        <w:pStyle w:val="236"/>
        <w:keepNext w:val="0"/>
        <w:keepLines w:val="0"/>
        <w:pageBreakBefore w:val="0"/>
        <w:widowControl w:val="0"/>
        <w:kinsoku/>
        <w:wordWrap/>
        <w:overflowPunct/>
        <w:topLinePunct w:val="0"/>
        <w:autoSpaceDE/>
        <w:autoSpaceDN/>
        <w:bidi w:val="0"/>
        <w:snapToGrid w:val="0"/>
        <w:spacing w:line="440" w:lineRule="exact"/>
        <w:ind w:firstLine="480" w:firstLineChars="200"/>
        <w:jc w:val="center"/>
        <w:rPr>
          <w:rFonts w:hint="eastAsia" w:ascii="宋体" w:hAnsi="宋体" w:eastAsia="宋体" w:cs="宋体"/>
          <w:color w:val="auto"/>
          <w:sz w:val="28"/>
          <w:szCs w:val="21"/>
          <w:highlight w:val="none"/>
          <w:lang w:eastAsia="zh-CN"/>
        </w:rPr>
      </w:pP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供应商代表签名</w:t>
      </w:r>
      <w:r>
        <w:rPr>
          <w:rFonts w:hint="eastAsia" w:ascii="宋体" w:hAnsi="宋体" w:eastAsia="宋体" w:cs="宋体"/>
          <w:color w:val="auto"/>
          <w:sz w:val="24"/>
          <w:szCs w:val="24"/>
          <w:highlight w:val="none"/>
          <w:lang w:eastAsia="zh-CN"/>
        </w:rPr>
        <w:t>：</w:t>
      </w:r>
    </w:p>
    <w:p w14:paraId="03FD1B26">
      <w:pPr>
        <w:pStyle w:val="236"/>
        <w:keepNext w:val="0"/>
        <w:keepLines w:val="0"/>
        <w:pageBreakBefore w:val="0"/>
        <w:widowControl w:val="0"/>
        <w:kinsoku/>
        <w:wordWrap/>
        <w:overflowPunct/>
        <w:topLinePunct w:val="0"/>
        <w:autoSpaceDE/>
        <w:autoSpaceDN/>
        <w:bidi w:val="0"/>
        <w:snapToGrid w:val="0"/>
        <w:spacing w:line="440" w:lineRule="exact"/>
        <w:jc w:val="right"/>
        <w:outlineLvl w:val="9"/>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2025年  月  日</w:t>
      </w:r>
    </w:p>
    <w:p w14:paraId="14FBFDDA">
      <w:pPr>
        <w:spacing w:line="360" w:lineRule="auto"/>
        <w:jc w:val="center"/>
        <w:outlineLvl w:val="1"/>
        <w:rPr>
          <w:rFonts w:hint="eastAsia" w:ascii="宋体" w:hAnsi="宋体" w:eastAsia="宋体" w:cs="宋体"/>
          <w:b/>
          <w:bCs/>
          <w:color w:val="auto"/>
          <w:sz w:val="30"/>
          <w:highlight w:val="none"/>
        </w:rPr>
      </w:pPr>
      <w:r>
        <w:rPr>
          <w:rFonts w:hint="eastAsia" w:ascii="宋体" w:hAnsi="宋体" w:eastAsia="宋体" w:cs="宋体"/>
          <w:b/>
          <w:bCs/>
          <w:color w:val="auto"/>
          <w:sz w:val="28"/>
          <w:highlight w:val="none"/>
        </w:rPr>
        <w:br w:type="page"/>
      </w:r>
      <w:bookmarkStart w:id="46" w:name="_Toc4426"/>
      <w:r>
        <w:rPr>
          <w:rFonts w:hint="eastAsia" w:ascii="宋体" w:hAnsi="宋体" w:eastAsia="宋体" w:cs="宋体"/>
          <w:b/>
          <w:bCs/>
          <w:color w:val="auto"/>
          <w:sz w:val="28"/>
          <w:highlight w:val="none"/>
        </w:rPr>
        <w:t>（二）总 则</w:t>
      </w:r>
      <w:bookmarkEnd w:id="44"/>
      <w:bookmarkEnd w:id="45"/>
      <w:bookmarkEnd w:id="46"/>
    </w:p>
    <w:p w14:paraId="40B50670">
      <w:pPr>
        <w:numPr>
          <w:ilvl w:val="0"/>
          <w:numId w:val="6"/>
        </w:numPr>
        <w:snapToGrid w:val="0"/>
        <w:spacing w:line="360" w:lineRule="auto"/>
        <w:ind w:left="538" w:hanging="538" w:hangingChars="255"/>
        <w:rPr>
          <w:rFonts w:hint="eastAsia" w:ascii="宋体" w:hAnsi="宋体" w:eastAsia="宋体" w:cs="宋体"/>
          <w:b/>
          <w:color w:val="auto"/>
          <w:highlight w:val="none"/>
        </w:rPr>
      </w:pPr>
      <w:r>
        <w:rPr>
          <w:rFonts w:hint="eastAsia" w:ascii="宋体" w:hAnsi="宋体" w:eastAsia="宋体" w:cs="宋体"/>
          <w:b/>
          <w:color w:val="auto"/>
          <w:highlight w:val="none"/>
        </w:rPr>
        <w:t>说明</w:t>
      </w:r>
    </w:p>
    <w:p w14:paraId="52E21644">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本次招标工作是按照</w:t>
      </w:r>
      <w:r>
        <w:rPr>
          <w:rFonts w:hint="eastAsia" w:ascii="宋体" w:hAnsi="宋体" w:eastAsia="宋体" w:cs="宋体"/>
          <w:color w:val="auto"/>
          <w:highlight w:val="none"/>
          <w:lang w:eastAsia="zh-CN"/>
        </w:rPr>
        <w:t>《温州市市属国有企业采购管理办法》</w:t>
      </w:r>
      <w:r>
        <w:rPr>
          <w:rFonts w:hint="eastAsia" w:ascii="宋体" w:hAnsi="宋体" w:eastAsia="宋体" w:cs="宋体"/>
          <w:color w:val="auto"/>
          <w:highlight w:val="none"/>
        </w:rPr>
        <w:t>和浙江省及项目所在地的有关招投标规定，结合本项目的实际，组织和实施。</w:t>
      </w:r>
    </w:p>
    <w:p w14:paraId="580F8F20">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定义及解释</w:t>
      </w:r>
    </w:p>
    <w:p w14:paraId="7B781925">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lang w:val="en-US" w:eastAsia="zh-CN"/>
        </w:rPr>
        <w:t>采购人</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w:t>
      </w:r>
      <w:r>
        <w:rPr>
          <w:rFonts w:hint="eastAsia" w:ascii="宋体" w:hAnsi="宋体" w:eastAsia="宋体" w:cs="宋体"/>
          <w:color w:val="auto"/>
          <w:szCs w:val="21"/>
          <w:highlight w:val="none"/>
          <w:lang w:eastAsia="zh-CN"/>
        </w:rPr>
        <w:t>温州瓯瓷产业发展有限公司</w:t>
      </w:r>
      <w:r>
        <w:rPr>
          <w:rFonts w:hint="eastAsia" w:ascii="宋体" w:hAnsi="宋体" w:eastAsia="宋体" w:cs="宋体"/>
          <w:color w:val="auto"/>
          <w:highlight w:val="none"/>
        </w:rPr>
        <w:t>。</w:t>
      </w:r>
    </w:p>
    <w:p w14:paraId="22590139">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招标代理机构：</w:t>
      </w:r>
      <w:r>
        <w:rPr>
          <w:rFonts w:hint="eastAsia" w:ascii="宋体" w:hAnsi="宋体" w:eastAsia="宋体" w:cs="宋体"/>
          <w:color w:val="auto"/>
          <w:highlight w:val="none"/>
          <w:lang w:eastAsia="zh-CN"/>
        </w:rPr>
        <w:t>温州市兴城工程造价审计咨询事务所（普通合伙）</w:t>
      </w:r>
      <w:r>
        <w:rPr>
          <w:rFonts w:hint="eastAsia" w:ascii="宋体" w:hAnsi="宋体" w:eastAsia="宋体" w:cs="宋体"/>
          <w:color w:val="auto"/>
          <w:highlight w:val="none"/>
        </w:rPr>
        <w:t>。</w:t>
      </w:r>
    </w:p>
    <w:p w14:paraId="016A1539">
      <w:pPr>
        <w:numPr>
          <w:ilvl w:val="1"/>
          <w:numId w:val="6"/>
        </w:numPr>
        <w:tabs>
          <w:tab w:val="left" w:pos="592"/>
        </w:tabs>
        <w:snapToGrid w:val="0"/>
        <w:spacing w:line="360" w:lineRule="auto"/>
        <w:ind w:left="588" w:hanging="588" w:hangingChars="280"/>
        <w:rPr>
          <w:rFonts w:hint="eastAsia" w:ascii="宋体" w:hAnsi="宋体" w:eastAsia="宋体" w:cs="宋体"/>
          <w:b/>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：系响应招标、参加投标竞争的依法成立的</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w:t>
      </w:r>
    </w:p>
    <w:p w14:paraId="71B81B47">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中标人：系在本次招标中，中标的</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w:t>
      </w:r>
    </w:p>
    <w:p w14:paraId="2643FDF9">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评标委员会：评标委员会是依据</w:t>
      </w:r>
      <w:r>
        <w:rPr>
          <w:rFonts w:hint="eastAsia" w:ascii="宋体" w:hAnsi="宋体" w:eastAsia="宋体" w:cs="宋体"/>
          <w:color w:val="auto"/>
          <w:highlight w:val="none"/>
          <w:lang w:eastAsia="zh-CN"/>
        </w:rPr>
        <w:t>《温州市市属国有企业采购管理办法》</w:t>
      </w:r>
      <w:r>
        <w:rPr>
          <w:rFonts w:hint="eastAsia" w:ascii="宋体" w:hAnsi="宋体" w:eastAsia="宋体" w:cs="宋体"/>
          <w:color w:val="auto"/>
          <w:highlight w:val="none"/>
        </w:rPr>
        <w:t>和浙江省及项目所在地的有关招投标规定，结合本项目的实际组建的专门负责招标评标工作的临时性机构。</w:t>
      </w:r>
    </w:p>
    <w:p w14:paraId="773125E8">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日期：指公历日。</w:t>
      </w:r>
    </w:p>
    <w:p w14:paraId="660D4249">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合同：指由招标所产生的合同或合约文件。</w:t>
      </w:r>
    </w:p>
    <w:p w14:paraId="3393DB86">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“书面形式”是指任何手写的、打印的或印刷的文件，包括电报和传真发送。</w:t>
      </w:r>
    </w:p>
    <w:p w14:paraId="0F1A9EFD">
      <w:pPr>
        <w:numPr>
          <w:ilvl w:val="0"/>
          <w:numId w:val="6"/>
        </w:numPr>
        <w:snapToGrid w:val="0"/>
        <w:spacing w:line="360" w:lineRule="auto"/>
        <w:ind w:left="841" w:hanging="841" w:hangingChars="399"/>
        <w:rPr>
          <w:rFonts w:hint="eastAsia" w:ascii="宋体" w:hAnsi="宋体" w:eastAsia="宋体" w:cs="宋体"/>
          <w:color w:val="auto"/>
          <w:highlight w:val="none"/>
        </w:rPr>
      </w:pPr>
      <w:r>
        <w:rPr>
          <w:rFonts w:hint="eastAsia" w:ascii="宋体" w:hAnsi="宋体" w:eastAsia="宋体" w:cs="宋体"/>
          <w:b/>
          <w:color w:val="auto"/>
          <w:highlight w:val="none"/>
        </w:rPr>
        <w:t>合格的</w:t>
      </w:r>
      <w:r>
        <w:rPr>
          <w:rFonts w:hint="eastAsia" w:ascii="宋体" w:hAnsi="宋体" w:eastAsia="宋体" w:cs="宋体"/>
          <w:b/>
          <w:color w:val="auto"/>
          <w:highlight w:val="none"/>
          <w:lang w:eastAsia="zh-CN"/>
        </w:rPr>
        <w:t>投标供应商：详见采购公告</w:t>
      </w:r>
    </w:p>
    <w:p w14:paraId="66C38306">
      <w:pPr>
        <w:numPr>
          <w:ilvl w:val="0"/>
          <w:numId w:val="6"/>
        </w:numPr>
        <w:snapToGrid w:val="0"/>
        <w:spacing w:line="360" w:lineRule="auto"/>
        <w:ind w:left="841" w:hanging="841" w:hangingChars="399"/>
        <w:rPr>
          <w:rFonts w:hint="eastAsia" w:ascii="宋体" w:hAnsi="宋体" w:eastAsia="宋体" w:cs="宋体"/>
          <w:b/>
          <w:color w:val="auto"/>
          <w:highlight w:val="none"/>
          <w:lang w:val="en-US" w:eastAsia="zh-CN"/>
        </w:rPr>
      </w:pPr>
      <w:r>
        <w:rPr>
          <w:rFonts w:hint="eastAsia" w:ascii="宋体" w:hAnsi="宋体" w:eastAsia="宋体" w:cs="宋体"/>
          <w:b/>
          <w:color w:val="auto"/>
          <w:highlight w:val="none"/>
          <w:lang w:val="en-US" w:eastAsia="zh-CN"/>
        </w:rPr>
        <w:t>联合体投标：本项目不接受。</w:t>
      </w:r>
    </w:p>
    <w:p w14:paraId="64F9B4C9">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信用记录：</w:t>
      </w:r>
    </w:p>
    <w:p w14:paraId="39EA0B8B">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信用信息查询的截止时点：投标截止时间前。</w:t>
      </w:r>
    </w:p>
    <w:p w14:paraId="4BF4F73E">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查询渠道与留存方式：招标采购单位登录“信用中国”（</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HYPERLINK "http://www.creditchina.gov.cn/"</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www.creditchina.gov.cn</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）、“中国政府采购网”（</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HYPERLINK "http://www.ccgp.gov.cn/"</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www.ccgp.gov.cn</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）网站查询各投标供应商信用记录，网页截图并打印存档。</w:t>
      </w:r>
    </w:p>
    <w:p w14:paraId="1D126C9E">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不良信用记录指：被列入失信被执行人、重大税收违法案件当事人名单、政府采购严重违法失信行为记录名单及其他不满足</w:t>
      </w:r>
      <w:r>
        <w:rPr>
          <w:rFonts w:hint="eastAsia" w:ascii="宋体" w:hAnsi="宋体" w:eastAsia="宋体" w:cs="宋体"/>
          <w:color w:val="auto"/>
          <w:highlight w:val="none"/>
          <w:lang w:eastAsia="zh-CN"/>
        </w:rPr>
        <w:t>《温州市市属国有企业采购管理办法》第十</w:t>
      </w:r>
      <w:r>
        <w:rPr>
          <w:rFonts w:hint="eastAsia" w:ascii="宋体" w:hAnsi="宋体" w:eastAsia="宋体" w:cs="宋体"/>
          <w:color w:val="auto"/>
          <w:highlight w:val="none"/>
          <w:lang w:val="en-US" w:eastAsia="zh-CN"/>
        </w:rPr>
        <w:t>八</w:t>
      </w:r>
      <w:r>
        <w:rPr>
          <w:rFonts w:hint="eastAsia" w:ascii="宋体" w:hAnsi="宋体" w:eastAsia="宋体" w:cs="宋体"/>
          <w:color w:val="auto"/>
          <w:highlight w:val="none"/>
          <w:lang w:eastAsia="zh-CN"/>
        </w:rPr>
        <w:t>条</w:t>
      </w:r>
      <w:r>
        <w:rPr>
          <w:rFonts w:hint="eastAsia" w:ascii="宋体" w:hAnsi="宋体" w:eastAsia="宋体" w:cs="宋体"/>
          <w:color w:val="auto"/>
          <w:highlight w:val="none"/>
        </w:rPr>
        <w:t>规定条件。存在不良信用记录的投标供应商，将被拒绝参与政府采购活动。</w:t>
      </w:r>
    </w:p>
    <w:p w14:paraId="2B90951E">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联合体投标时，招标采购单位将对所有联合体成员进行信用记录查询，联合体成员存在不良信用记录的，视同联合体存在不良信用记录。</w:t>
      </w:r>
    </w:p>
    <w:p w14:paraId="4FACACFD">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保密与披露事项</w:t>
      </w:r>
    </w:p>
    <w:p w14:paraId="4DBC4211">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不得串通，以不正当的手段妨碍排挤其他</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，扰乱市场，破坏公平竞争原则。</w:t>
      </w:r>
    </w:p>
    <w:p w14:paraId="7BDDD8DC">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自购买招标文件之日起，须承诺承担本招标项目的保密义务，不得将因本次招标获得的信息向第三方外传。</w:t>
      </w:r>
    </w:p>
    <w:p w14:paraId="425E754F">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有权将</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提供的所有资料向其他政府部门或有关的非政府机构负责评审投标文件的人员或与评标有关的人员披露。</w:t>
      </w:r>
    </w:p>
    <w:p w14:paraId="47757B78">
      <w:pPr>
        <w:numPr>
          <w:ilvl w:val="1"/>
          <w:numId w:val="6"/>
        </w:numPr>
        <w:tabs>
          <w:tab w:val="left" w:pos="592"/>
        </w:tabs>
        <w:snapToGrid w:val="0"/>
        <w:spacing w:line="360" w:lineRule="auto"/>
        <w:ind w:left="588" w:hanging="588" w:hangingChars="280"/>
        <w:rPr>
          <w:rFonts w:hint="eastAsia" w:ascii="宋体" w:hAnsi="宋体" w:eastAsia="宋体" w:cs="宋体"/>
          <w:b/>
          <w:color w:val="auto"/>
          <w:highlight w:val="none"/>
        </w:rPr>
      </w:pP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有权在认为适当时，或在任何第三者提出要求（书面或其他方式）时，无须事先征求中标人同意而披露关于已订立合约的资料、中标人的名称及地址、中标服务的有关信息以及合约条款等。</w:t>
      </w:r>
    </w:p>
    <w:p w14:paraId="0E80E766">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投标费用</w:t>
      </w:r>
    </w:p>
    <w:p w14:paraId="13D8D7E6">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应承担所有与编写和提交投标文件有关的费用，不论投标的结果如何，</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和招标代理机构在任何情况下均无义务和责任承担这些费用。</w:t>
      </w:r>
    </w:p>
    <w:p w14:paraId="37BD6E69">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踏勘现场</w:t>
      </w:r>
    </w:p>
    <w:p w14:paraId="34EBE869">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自行前往现场踏勘，以便</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获取有关编制投标文件和签署合同所涉及现场的资料，</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承担现场踏勘所发生的费用。</w:t>
      </w:r>
    </w:p>
    <w:p w14:paraId="2C2307AB">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由于对现场条件不了解而造成中标后发生一切不良后果和风险，均由</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自负。</w:t>
      </w:r>
    </w:p>
    <w:p w14:paraId="2BF825EE">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投标委托</w:t>
      </w:r>
    </w:p>
    <w:p w14:paraId="424F08AC">
      <w:pPr>
        <w:tabs>
          <w:tab w:val="left" w:pos="1003"/>
        </w:tabs>
        <w:snapToGrid w:val="0"/>
        <w:spacing w:line="360" w:lineRule="auto"/>
        <w:ind w:left="525" w:leftChars="250"/>
        <w:rPr>
          <w:rFonts w:hint="eastAsia" w:ascii="宋体" w:hAnsi="宋体" w:eastAsia="宋体" w:cs="宋体"/>
          <w:color w:val="auto"/>
          <w:highlight w:val="none"/>
          <w:lang w:eastAsia="zh-CN"/>
        </w:rPr>
      </w:pPr>
      <w:r>
        <w:rPr>
          <w:rFonts w:hint="eastAsia" w:ascii="宋体" w:hAnsi="宋体" w:eastAsia="宋体" w:cs="宋体"/>
          <w:color w:val="auto"/>
          <w:highlight w:val="none"/>
        </w:rPr>
        <w:t>如</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代表不是法定代表人，须持有《法定代表人授权委托书》（见第五部分）</w:t>
      </w:r>
      <w:r>
        <w:rPr>
          <w:rFonts w:hint="eastAsia" w:ascii="宋体" w:hAnsi="宋体" w:eastAsia="宋体" w:cs="宋体"/>
          <w:color w:val="auto"/>
          <w:highlight w:val="none"/>
          <w:lang w:eastAsia="zh-CN"/>
        </w:rPr>
        <w:t>。</w:t>
      </w:r>
    </w:p>
    <w:p w14:paraId="07FA684C">
      <w:pPr>
        <w:tabs>
          <w:tab w:val="left" w:pos="1003"/>
        </w:tabs>
        <w:snapToGrid w:val="0"/>
        <w:spacing w:line="360" w:lineRule="auto"/>
        <w:ind w:firstLine="630" w:firstLineChars="300"/>
        <w:rPr>
          <w:rFonts w:hint="eastAsia" w:ascii="宋体" w:hAnsi="宋体" w:eastAsia="宋体" w:cs="宋体"/>
          <w:color w:val="auto"/>
          <w:highlight w:val="none"/>
        </w:rPr>
      </w:pPr>
    </w:p>
    <w:p w14:paraId="43F05960">
      <w:pPr>
        <w:spacing w:line="360" w:lineRule="auto"/>
        <w:jc w:val="center"/>
        <w:outlineLvl w:val="1"/>
        <w:rPr>
          <w:rFonts w:hint="eastAsia" w:ascii="宋体" w:hAnsi="宋体" w:eastAsia="宋体" w:cs="宋体"/>
          <w:b/>
          <w:bCs/>
          <w:color w:val="auto"/>
          <w:sz w:val="28"/>
          <w:highlight w:val="none"/>
        </w:rPr>
      </w:pPr>
      <w:bookmarkStart w:id="47" w:name="_Toc495977855"/>
      <w:bookmarkStart w:id="48" w:name="_Toc6900"/>
      <w:bookmarkStart w:id="49" w:name="_Toc5642"/>
      <w:bookmarkStart w:id="50" w:name="_Toc4791"/>
      <w:r>
        <w:rPr>
          <w:rFonts w:hint="eastAsia" w:ascii="宋体" w:hAnsi="宋体" w:eastAsia="宋体" w:cs="宋体"/>
          <w:b/>
          <w:bCs/>
          <w:color w:val="auto"/>
          <w:sz w:val="28"/>
          <w:highlight w:val="none"/>
        </w:rPr>
        <w:t>（三）招标文件</w:t>
      </w:r>
      <w:bookmarkEnd w:id="47"/>
      <w:r>
        <w:rPr>
          <w:rFonts w:hint="eastAsia" w:ascii="宋体" w:hAnsi="宋体" w:eastAsia="宋体" w:cs="宋体"/>
          <w:b/>
          <w:bCs/>
          <w:color w:val="auto"/>
          <w:sz w:val="28"/>
          <w:highlight w:val="none"/>
        </w:rPr>
        <w:t>说明</w:t>
      </w:r>
      <w:bookmarkEnd w:id="48"/>
      <w:bookmarkEnd w:id="49"/>
      <w:bookmarkEnd w:id="50"/>
    </w:p>
    <w:p w14:paraId="44B54546">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招标文件构成</w:t>
      </w:r>
      <w:bookmarkStart w:id="51" w:name="_Hlt509038174"/>
      <w:bookmarkEnd w:id="51"/>
    </w:p>
    <w:p w14:paraId="2C08B3FC">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 xml:space="preserve">招标文件是用以阐明所需货物、服务及工程，以及招标、投标程序和相应的合同条款。“招标文件”由下述部分组成： </w:t>
      </w:r>
    </w:p>
    <w:p w14:paraId="4FD82756">
      <w:pPr>
        <w:snapToGrid w:val="0"/>
        <w:spacing w:line="360" w:lineRule="auto"/>
        <w:ind w:left="839" w:leftChars="257" w:hanging="299" w:hangingChars="142"/>
        <w:rPr>
          <w:rFonts w:hint="eastAsia" w:ascii="宋体" w:hAnsi="宋体" w:eastAsia="宋体" w:cs="宋体"/>
          <w:b/>
          <w:bCs/>
          <w:color w:val="auto"/>
          <w:highlight w:val="none"/>
          <w:lang w:eastAsia="zh-CN"/>
        </w:rPr>
      </w:pPr>
      <w:r>
        <w:rPr>
          <w:rFonts w:hint="eastAsia" w:ascii="宋体" w:hAnsi="宋体" w:eastAsia="宋体" w:cs="宋体"/>
          <w:b/>
          <w:bCs/>
          <w:color w:val="auto"/>
          <w:highlight w:val="none"/>
        </w:rPr>
        <w:t xml:space="preserve">第一部分   </w:t>
      </w:r>
      <w:r>
        <w:rPr>
          <w:rFonts w:hint="eastAsia" w:ascii="宋体" w:hAnsi="宋体" w:eastAsia="宋体" w:cs="宋体"/>
          <w:b/>
          <w:bCs/>
          <w:color w:val="auto"/>
          <w:highlight w:val="none"/>
          <w:lang w:eastAsia="zh-CN"/>
        </w:rPr>
        <w:t>采购公告</w:t>
      </w:r>
    </w:p>
    <w:p w14:paraId="20D30616">
      <w:pPr>
        <w:snapToGrid w:val="0"/>
        <w:spacing w:line="360" w:lineRule="auto"/>
        <w:ind w:left="839" w:leftChars="257" w:hanging="299" w:hangingChars="142"/>
        <w:rPr>
          <w:rFonts w:hint="eastAsia" w:ascii="宋体" w:hAnsi="宋体" w:eastAsia="宋体" w:cs="宋体"/>
          <w:b/>
          <w:bCs/>
          <w:color w:val="auto"/>
          <w:highlight w:val="none"/>
        </w:rPr>
      </w:pPr>
      <w:r>
        <w:rPr>
          <w:rFonts w:hint="eastAsia" w:ascii="宋体" w:hAnsi="宋体" w:eastAsia="宋体" w:cs="宋体"/>
          <w:b/>
          <w:bCs/>
          <w:color w:val="auto"/>
          <w:highlight w:val="none"/>
        </w:rPr>
        <w:t>第二部分   投标须知及前附表</w:t>
      </w:r>
    </w:p>
    <w:p w14:paraId="0EA08E20">
      <w:pPr>
        <w:snapToGrid w:val="0"/>
        <w:spacing w:line="360" w:lineRule="auto"/>
        <w:ind w:left="839" w:leftChars="257" w:hanging="299" w:hangingChars="142"/>
        <w:rPr>
          <w:rFonts w:hint="eastAsia" w:ascii="宋体" w:hAnsi="宋体" w:eastAsia="宋体" w:cs="宋体"/>
          <w:b/>
          <w:bCs/>
          <w:color w:val="auto"/>
          <w:highlight w:val="none"/>
        </w:rPr>
      </w:pPr>
      <w:r>
        <w:rPr>
          <w:rFonts w:hint="eastAsia" w:ascii="宋体" w:hAnsi="宋体" w:eastAsia="宋体" w:cs="宋体"/>
          <w:b/>
          <w:bCs/>
          <w:color w:val="auto"/>
          <w:highlight w:val="none"/>
        </w:rPr>
        <w:t>第三部分   招标内容及技术要求</w:t>
      </w:r>
    </w:p>
    <w:p w14:paraId="426835A8">
      <w:pPr>
        <w:snapToGrid w:val="0"/>
        <w:spacing w:line="360" w:lineRule="auto"/>
        <w:ind w:left="839" w:leftChars="257" w:hanging="299" w:hangingChars="142"/>
        <w:rPr>
          <w:rFonts w:hint="eastAsia" w:ascii="宋体" w:hAnsi="宋体" w:eastAsia="宋体" w:cs="宋体"/>
          <w:b/>
          <w:bCs/>
          <w:color w:val="auto"/>
          <w:highlight w:val="none"/>
        </w:rPr>
      </w:pPr>
      <w:r>
        <w:rPr>
          <w:rFonts w:hint="eastAsia" w:ascii="宋体" w:hAnsi="宋体" w:eastAsia="宋体" w:cs="宋体"/>
          <w:b/>
          <w:bCs/>
          <w:color w:val="auto"/>
          <w:highlight w:val="none"/>
        </w:rPr>
        <w:t>第四部分   合同条款</w:t>
      </w:r>
    </w:p>
    <w:p w14:paraId="79932053">
      <w:pPr>
        <w:snapToGrid w:val="0"/>
        <w:spacing w:line="360" w:lineRule="auto"/>
        <w:ind w:left="839" w:leftChars="257" w:hanging="299" w:hangingChars="142"/>
        <w:rPr>
          <w:rFonts w:hint="eastAsia" w:ascii="宋体" w:hAnsi="宋体" w:eastAsia="宋体" w:cs="宋体"/>
          <w:b/>
          <w:bCs/>
          <w:color w:val="auto"/>
          <w:highlight w:val="none"/>
        </w:rPr>
      </w:pPr>
      <w:r>
        <w:rPr>
          <w:rFonts w:hint="eastAsia" w:ascii="宋体" w:hAnsi="宋体" w:eastAsia="宋体" w:cs="宋体"/>
          <w:b/>
          <w:bCs/>
          <w:color w:val="auto"/>
          <w:highlight w:val="none"/>
        </w:rPr>
        <w:t>第五部分   投标文件格式</w:t>
      </w:r>
    </w:p>
    <w:p w14:paraId="546CDAE5">
      <w:pPr>
        <w:snapToGrid w:val="0"/>
        <w:spacing w:line="360" w:lineRule="auto"/>
        <w:ind w:left="839" w:leftChars="257" w:hanging="299" w:hangingChars="142"/>
        <w:rPr>
          <w:rFonts w:hint="eastAsia" w:ascii="宋体" w:hAnsi="宋体" w:eastAsia="宋体" w:cs="宋体"/>
          <w:b/>
          <w:bCs/>
          <w:color w:val="auto"/>
          <w:highlight w:val="none"/>
        </w:rPr>
      </w:pPr>
      <w:r>
        <w:rPr>
          <w:rFonts w:hint="eastAsia" w:ascii="宋体" w:hAnsi="宋体" w:eastAsia="宋体" w:cs="宋体"/>
          <w:b/>
          <w:bCs/>
          <w:color w:val="auto"/>
          <w:highlight w:val="none"/>
        </w:rPr>
        <w:t>第六部分   评标办法</w:t>
      </w:r>
    </w:p>
    <w:p w14:paraId="0E800E6C">
      <w:pPr>
        <w:snapToGrid w:val="0"/>
        <w:spacing w:line="360" w:lineRule="auto"/>
        <w:ind w:left="839" w:leftChars="257" w:hanging="299" w:hangingChars="142"/>
        <w:rPr>
          <w:rFonts w:hint="eastAsia" w:ascii="宋体" w:hAnsi="宋体" w:eastAsia="宋体" w:cs="宋体"/>
          <w:color w:val="auto"/>
          <w:sz w:val="30"/>
          <w:highlight w:val="none"/>
        </w:rPr>
      </w:pPr>
      <w:r>
        <w:rPr>
          <w:rFonts w:hint="eastAsia" w:ascii="宋体" w:hAnsi="宋体" w:eastAsia="宋体" w:cs="宋体"/>
          <w:b/>
          <w:bCs/>
          <w:color w:val="auto"/>
          <w:highlight w:val="none"/>
        </w:rPr>
        <w:t>第七部分   补充通知及答疑（如有）</w:t>
      </w:r>
    </w:p>
    <w:p w14:paraId="114555E3">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应详细阅读招标文件的全部内容。如果</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没有按照招标文件要求提交全部资料或者投标文件没有对招标文件在各方面的要求都做出实质性响应，是</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的风险。没有实质上响应招标文件要求的投标将被否决。</w:t>
      </w:r>
    </w:p>
    <w:p w14:paraId="7F768FA8">
      <w:pPr>
        <w:numPr>
          <w:ilvl w:val="1"/>
          <w:numId w:val="6"/>
        </w:numPr>
        <w:tabs>
          <w:tab w:val="left" w:pos="592"/>
        </w:tabs>
        <w:snapToGrid w:val="0"/>
        <w:spacing w:line="360" w:lineRule="auto"/>
        <w:ind w:left="566" w:hanging="565" w:hangingChars="280"/>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spacing w:val="-4"/>
          <w:kern w:val="0"/>
          <w:szCs w:val="21"/>
          <w:highlight w:val="none"/>
        </w:rPr>
        <w:t>本招标文件要求</w:t>
      </w:r>
      <w:r>
        <w:rPr>
          <w:rFonts w:hint="eastAsia" w:ascii="宋体" w:hAnsi="宋体" w:eastAsia="宋体" w:cs="宋体"/>
          <w:snapToGrid w:val="0"/>
          <w:color w:val="auto"/>
          <w:spacing w:val="-4"/>
          <w:kern w:val="0"/>
          <w:szCs w:val="21"/>
          <w:highlight w:val="none"/>
          <w:lang w:eastAsia="zh-CN"/>
        </w:rPr>
        <w:t>投标供应商</w:t>
      </w:r>
      <w:r>
        <w:rPr>
          <w:rFonts w:hint="eastAsia" w:ascii="宋体" w:hAnsi="宋体" w:eastAsia="宋体" w:cs="宋体"/>
          <w:snapToGrid w:val="0"/>
          <w:color w:val="auto"/>
          <w:spacing w:val="-4"/>
          <w:kern w:val="0"/>
          <w:szCs w:val="21"/>
          <w:highlight w:val="none"/>
        </w:rPr>
        <w:t>作出实质性响应的有关技术和商务条款，将在该条款前以“▲”醒目标识</w:t>
      </w:r>
      <w:r>
        <w:rPr>
          <w:rFonts w:hint="eastAsia" w:ascii="宋体" w:hAnsi="宋体" w:eastAsia="宋体" w:cs="宋体"/>
          <w:snapToGrid w:val="0"/>
          <w:color w:val="auto"/>
          <w:kern w:val="0"/>
          <w:szCs w:val="21"/>
          <w:highlight w:val="none"/>
        </w:rPr>
        <w:t>。</w:t>
      </w:r>
    </w:p>
    <w:p w14:paraId="73251A6D">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招标文件的澄清</w:t>
      </w:r>
    </w:p>
    <w:p w14:paraId="52E93030">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任何要求对招标文件进行澄清的投标人，均应在答疑截止期规定时间以前按</w:t>
      </w:r>
      <w:r>
        <w:rPr>
          <w:rFonts w:hint="eastAsia" w:ascii="宋体" w:hAnsi="宋体" w:eastAsia="宋体" w:cs="宋体"/>
          <w:color w:val="auto"/>
          <w:highlight w:val="none"/>
          <w:lang w:eastAsia="zh-CN"/>
        </w:rPr>
        <w:t>采购公告</w:t>
      </w:r>
      <w:r>
        <w:rPr>
          <w:rFonts w:hint="eastAsia" w:ascii="宋体" w:hAnsi="宋体" w:eastAsia="宋体" w:cs="宋体"/>
          <w:color w:val="auto"/>
          <w:highlight w:val="none"/>
        </w:rPr>
        <w:t>书中的通讯地址以书面形式传真或寄送给采购代理机构，采购代理机构对答疑截止期规定时间以前收到的任何澄清要求将以书面形式予以答复，同时将以书面、传真或在“温州国企采购平台”与“乐采云”发布公告等类似的形式通知已领取招标文件的每一投标人。答复中包括原提出的问题，但不包括问题的来源。</w:t>
      </w:r>
    </w:p>
    <w:p w14:paraId="0696D927">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将视情况确定是否有必要召开标前会，如果召开时会将标前会的通知（包括时间和地点）发给所有</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w:t>
      </w:r>
    </w:p>
    <w:p w14:paraId="000B2BE4">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招标文件的修改</w:t>
      </w:r>
    </w:p>
    <w:p w14:paraId="2C0801E3">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在投标截止时间前任何时候，</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无论是出于何种原因，均可对招标文件用补充文件的方式进行修改。</w:t>
      </w:r>
    </w:p>
    <w:p w14:paraId="33125683">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对招标文件的修改，将以书面、电子邮件或传真的形式通知已领取招标文件的每一</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应立即以书面形式回复确认已收到修改文件。</w:t>
      </w:r>
    </w:p>
    <w:p w14:paraId="0EBDF0BF">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为使投标人有足够的时间按采购文件的修改要求修正投标文件，</w:t>
      </w:r>
      <w:r>
        <w:rPr>
          <w:rFonts w:hint="eastAsia" w:ascii="宋体" w:hAnsi="宋体" w:eastAsia="宋体" w:cs="宋体"/>
          <w:color w:val="auto"/>
          <w:highlight w:val="none"/>
          <w:lang w:val="en-US" w:eastAsia="zh-CN"/>
        </w:rPr>
        <w:t>采购人</w:t>
      </w:r>
      <w:r>
        <w:rPr>
          <w:rFonts w:hint="eastAsia" w:ascii="宋体" w:hAnsi="宋体" w:eastAsia="宋体" w:cs="宋体"/>
          <w:color w:val="auto"/>
          <w:highlight w:val="none"/>
        </w:rPr>
        <w:t>可酌情推迟投标的截止日期和开标日期，并将具体变更情况在“浙江省政府采购网”（http://zfcg.czt.zj.gov.cn/）、温州国企采购平台（https://wzgzw-cg.zhengcaiyun.cn/）及</w:t>
      </w:r>
      <w:r>
        <w:rPr>
          <w:rFonts w:hint="eastAsia" w:ascii="宋体" w:hAnsi="宋体" w:eastAsia="宋体" w:cs="宋体"/>
          <w:color w:val="auto"/>
          <w:highlight w:val="none"/>
          <w:lang w:eastAsia="zh-CN"/>
        </w:rPr>
        <w:t>相关网站</w:t>
      </w:r>
      <w:r>
        <w:rPr>
          <w:rFonts w:hint="eastAsia" w:ascii="宋体" w:hAnsi="宋体" w:eastAsia="宋体" w:cs="宋体"/>
          <w:color w:val="auto"/>
          <w:highlight w:val="none"/>
        </w:rPr>
        <w:t>发布公告等类似的形式通知上述每一</w:t>
      </w:r>
      <w:r>
        <w:rPr>
          <w:rFonts w:hint="eastAsia" w:ascii="宋体" w:hAnsi="宋体" w:eastAsia="宋体" w:cs="宋体"/>
          <w:color w:val="auto"/>
          <w:highlight w:val="none"/>
          <w:lang w:val="en-US" w:eastAsia="zh-CN"/>
        </w:rPr>
        <w:t>投标供应商</w:t>
      </w:r>
      <w:r>
        <w:rPr>
          <w:rFonts w:hint="eastAsia" w:ascii="宋体" w:hAnsi="宋体" w:eastAsia="宋体" w:cs="宋体"/>
          <w:color w:val="auto"/>
          <w:highlight w:val="none"/>
        </w:rPr>
        <w:t>。</w:t>
      </w:r>
    </w:p>
    <w:p w14:paraId="0CCF8E0E">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补充文件将作为招标文件的组成部分，对所有</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有约束力。</w:t>
      </w:r>
    </w:p>
    <w:p w14:paraId="6D590CE4">
      <w:pPr>
        <w:tabs>
          <w:tab w:val="left" w:pos="592"/>
          <w:tab w:val="left" w:pos="1003"/>
        </w:tabs>
        <w:snapToGrid w:val="0"/>
        <w:spacing w:line="360" w:lineRule="auto"/>
        <w:ind w:left="588"/>
        <w:rPr>
          <w:rFonts w:hint="eastAsia" w:ascii="宋体" w:hAnsi="宋体" w:eastAsia="宋体" w:cs="宋体"/>
          <w:color w:val="auto"/>
          <w:highlight w:val="none"/>
        </w:rPr>
      </w:pPr>
    </w:p>
    <w:p w14:paraId="1E7E31F2">
      <w:pPr>
        <w:spacing w:line="360" w:lineRule="auto"/>
        <w:jc w:val="center"/>
        <w:outlineLvl w:val="1"/>
        <w:rPr>
          <w:rFonts w:hint="eastAsia" w:ascii="宋体" w:hAnsi="宋体" w:eastAsia="宋体" w:cs="宋体"/>
          <w:b/>
          <w:bCs/>
          <w:color w:val="auto"/>
          <w:sz w:val="28"/>
          <w:highlight w:val="none"/>
        </w:rPr>
      </w:pPr>
      <w:bookmarkStart w:id="52" w:name="_Toc21776"/>
      <w:bookmarkStart w:id="53" w:name="_Toc29048"/>
      <w:bookmarkStart w:id="54" w:name="_Toc23326"/>
      <w:r>
        <w:rPr>
          <w:rFonts w:hint="eastAsia" w:ascii="宋体" w:hAnsi="宋体" w:eastAsia="宋体" w:cs="宋体"/>
          <w:b/>
          <w:bCs/>
          <w:color w:val="auto"/>
          <w:sz w:val="28"/>
          <w:highlight w:val="none"/>
        </w:rPr>
        <w:t>（四）投标文件的编制</w:t>
      </w:r>
      <w:bookmarkEnd w:id="52"/>
      <w:bookmarkEnd w:id="53"/>
      <w:bookmarkEnd w:id="54"/>
    </w:p>
    <w:p w14:paraId="0AB53B28">
      <w:pPr>
        <w:numPr>
          <w:ilvl w:val="0"/>
          <w:numId w:val="6"/>
        </w:numPr>
        <w:snapToGrid w:val="0"/>
        <w:spacing w:line="360" w:lineRule="auto"/>
        <w:ind w:left="841" w:hanging="841" w:hangingChars="399"/>
        <w:rPr>
          <w:rFonts w:hint="eastAsia" w:ascii="宋体" w:hAnsi="宋体" w:eastAsia="宋体" w:cs="宋体"/>
          <w:b/>
          <w:bCs/>
          <w:color w:val="auto"/>
          <w:highlight w:val="none"/>
        </w:rPr>
      </w:pPr>
      <w:r>
        <w:rPr>
          <w:rFonts w:hint="eastAsia" w:ascii="宋体" w:hAnsi="宋体" w:eastAsia="宋体" w:cs="宋体"/>
          <w:b/>
          <w:bCs/>
          <w:color w:val="auto"/>
          <w:highlight w:val="none"/>
        </w:rPr>
        <w:t>投标文件的语言和计量单位</w:t>
      </w:r>
    </w:p>
    <w:p w14:paraId="0E7BB848">
      <w:pPr>
        <w:numPr>
          <w:ilvl w:val="1"/>
          <w:numId w:val="6"/>
        </w:numPr>
        <w:tabs>
          <w:tab w:val="left" w:pos="592"/>
        </w:tabs>
        <w:snapToGrid w:val="0"/>
        <w:spacing w:line="360" w:lineRule="auto"/>
        <w:ind w:left="588" w:hanging="588" w:hangingChars="280"/>
        <w:rPr>
          <w:rFonts w:hint="eastAsia" w:ascii="宋体" w:hAnsi="宋体" w:eastAsia="宋体" w:cs="宋体"/>
          <w:color w:val="auto"/>
          <w:szCs w:val="21"/>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提交的投标文件以及</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与</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就有关投标的所有来往函电均应使用中文。</w:t>
      </w:r>
    </w:p>
    <w:p w14:paraId="4C60560B">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投标文件应字迹清楚、内容齐全、不得涂改。如有修改，修改处须有法定代表人或其授权代表签章。</w:t>
      </w:r>
    </w:p>
    <w:p w14:paraId="21284D9D">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所提供的技术文件和资料，包括图纸中的说明，应使用中文简化字。所使用的计量单位，应使用国家法定计量单位。</w:t>
      </w:r>
    </w:p>
    <w:p w14:paraId="57935D44">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必须按招标文件的要求提供相关技术参数、资料，包括采用的计量单位，并保证投标文件的正确性和真实性，否则评标委员会将作出不利于其投标的评定。不按招标文件的要求提供的投标文件可能导致无效 。</w:t>
      </w:r>
    </w:p>
    <w:p w14:paraId="54CADD19">
      <w:pPr>
        <w:numPr>
          <w:ilvl w:val="0"/>
          <w:numId w:val="6"/>
        </w:numPr>
        <w:snapToGrid w:val="0"/>
        <w:spacing w:line="360" w:lineRule="auto"/>
        <w:ind w:left="841" w:hanging="841" w:hangingChars="399"/>
        <w:rPr>
          <w:rFonts w:hint="eastAsia" w:ascii="宋体" w:hAnsi="宋体" w:eastAsia="宋体" w:cs="宋体"/>
          <w:b/>
          <w:bCs/>
          <w:color w:val="auto"/>
          <w:highlight w:val="none"/>
        </w:rPr>
      </w:pPr>
      <w:r>
        <w:rPr>
          <w:rFonts w:hint="eastAsia" w:ascii="宋体" w:hAnsi="宋体" w:eastAsia="宋体" w:cs="宋体"/>
          <w:b/>
          <w:bCs/>
          <w:color w:val="auto"/>
          <w:highlight w:val="none"/>
        </w:rPr>
        <w:t>投标文件的组成（具体格式详见本文件第五部分，表格可以按同样格式扩展）</w:t>
      </w:r>
    </w:p>
    <w:p w14:paraId="1DA8A0A2">
      <w:pPr>
        <w:numPr>
          <w:ilvl w:val="1"/>
          <w:numId w:val="6"/>
        </w:numPr>
        <w:tabs>
          <w:tab w:val="left" w:pos="592"/>
        </w:tabs>
        <w:snapToGrid w:val="0"/>
        <w:spacing w:line="360" w:lineRule="auto"/>
        <w:ind w:left="588" w:hanging="588" w:hangingChars="2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投标文件由</w:t>
      </w:r>
      <w:r>
        <w:rPr>
          <w:rFonts w:hint="eastAsia" w:ascii="宋体" w:hAnsi="宋体" w:eastAsia="宋体" w:cs="宋体"/>
          <w:color w:val="auto"/>
          <w:sz w:val="21"/>
          <w:szCs w:val="21"/>
          <w:highlight w:val="none"/>
          <w:lang w:val="en-US" w:eastAsia="zh-CN"/>
        </w:rPr>
        <w:t>以下</w:t>
      </w:r>
      <w:r>
        <w:rPr>
          <w:rFonts w:hint="eastAsia" w:ascii="宋体" w:hAnsi="宋体" w:eastAsia="宋体" w:cs="宋体"/>
          <w:color w:val="auto"/>
          <w:sz w:val="21"/>
          <w:szCs w:val="21"/>
          <w:highlight w:val="none"/>
        </w:rPr>
        <w:t>部分组成。</w:t>
      </w:r>
    </w:p>
    <w:p w14:paraId="1A04F36C">
      <w:pPr>
        <w:keepNext w:val="0"/>
        <w:keepLines w:val="0"/>
        <w:pageBreakBefore w:val="0"/>
        <w:numPr>
          <w:ilvl w:val="0"/>
          <w:numId w:val="7"/>
        </w:numPr>
        <w:tabs>
          <w:tab w:val="left" w:pos="6358"/>
        </w:tabs>
        <w:kinsoku/>
        <w:wordWrap/>
        <w:overflowPunct/>
        <w:topLinePunct w:val="0"/>
        <w:bidi w:val="0"/>
        <w:snapToGrid w:val="0"/>
        <w:spacing w:line="360" w:lineRule="auto"/>
        <w:ind w:left="567"/>
        <w:textAlignment w:val="auto"/>
        <w:rPr>
          <w:rFonts w:hint="eastAsia" w:ascii="宋体" w:hAnsi="宋体" w:eastAsia="宋体" w:cs="宋体"/>
          <w:b/>
          <w:color w:val="auto"/>
          <w:highlight w:val="none"/>
          <w:lang w:val="en-US" w:eastAsia="zh-CN"/>
        </w:rPr>
      </w:pPr>
      <w:r>
        <w:rPr>
          <w:rFonts w:hint="eastAsia" w:ascii="宋体" w:hAnsi="宋体" w:eastAsia="宋体" w:cs="宋体"/>
          <w:b/>
          <w:color w:val="auto"/>
          <w:highlight w:val="none"/>
          <w:lang w:val="en-US" w:eastAsia="zh-CN"/>
        </w:rPr>
        <w:t xml:space="preserve"> 资格审查文件：</w:t>
      </w:r>
    </w:p>
    <w:p w14:paraId="593E7FC3">
      <w:pPr>
        <w:numPr>
          <w:ilvl w:val="0"/>
          <w:numId w:val="8"/>
        </w:numPr>
        <w:tabs>
          <w:tab w:val="left" w:pos="1260"/>
        </w:tabs>
        <w:snapToGrid w:val="0"/>
        <w:spacing w:line="400" w:lineRule="exact"/>
        <w:ind w:left="1372" w:leftChars="0" w:hanging="646" w:firstLineChars="0"/>
        <w:jc w:val="both"/>
        <w:rPr>
          <w:rFonts w:hint="eastAsia" w:ascii="宋体" w:hAnsi="宋体" w:eastAsia="宋体" w:cs="宋体"/>
          <w:color w:val="auto"/>
          <w:highlight w:val="none"/>
        </w:rPr>
      </w:pPr>
      <w:r>
        <w:rPr>
          <w:rFonts w:hint="eastAsia" w:ascii="宋体" w:hAnsi="宋体" w:eastAsia="宋体" w:cs="宋体"/>
          <w:bCs/>
          <w:color w:val="auto"/>
          <w:szCs w:val="24"/>
          <w:highlight w:val="none"/>
        </w:rPr>
        <w:t>投标供应商营业执照</w:t>
      </w:r>
      <w:r>
        <w:rPr>
          <w:rFonts w:hint="eastAsia" w:ascii="宋体" w:hAnsi="宋体" w:eastAsia="宋体" w:cs="宋体"/>
          <w:bCs/>
          <w:color w:val="auto"/>
          <w:szCs w:val="24"/>
          <w:highlight w:val="none"/>
          <w:lang w:eastAsia="zh-CN"/>
        </w:rPr>
        <w:t>。</w:t>
      </w:r>
    </w:p>
    <w:p w14:paraId="3ED228AB">
      <w:pPr>
        <w:numPr>
          <w:ilvl w:val="0"/>
          <w:numId w:val="8"/>
        </w:numPr>
        <w:tabs>
          <w:tab w:val="left" w:pos="1260"/>
        </w:tabs>
        <w:snapToGrid w:val="0"/>
        <w:spacing w:line="400" w:lineRule="exact"/>
        <w:ind w:left="1372" w:leftChars="0" w:hanging="646" w:firstLineChars="0"/>
        <w:jc w:val="both"/>
        <w:rPr>
          <w:rFonts w:hint="eastAsia" w:ascii="宋体" w:hAnsi="宋体" w:eastAsia="宋体" w:cs="宋体"/>
          <w:color w:val="auto"/>
          <w:highlight w:val="none"/>
        </w:rPr>
      </w:pPr>
      <w:r>
        <w:rPr>
          <w:rFonts w:hint="eastAsia" w:ascii="宋体" w:hAnsi="宋体" w:eastAsia="宋体" w:cs="宋体"/>
          <w:bCs/>
          <w:color w:val="auto"/>
          <w:szCs w:val="24"/>
          <w:highlight w:val="none"/>
        </w:rPr>
        <w:t>关于满足</w:t>
      </w:r>
      <w:r>
        <w:rPr>
          <w:rFonts w:hint="eastAsia" w:ascii="宋体" w:hAnsi="宋体" w:eastAsia="宋体" w:cs="宋体"/>
          <w:bCs/>
          <w:color w:val="auto"/>
          <w:szCs w:val="24"/>
          <w:highlight w:val="none"/>
          <w:lang w:eastAsia="zh-CN"/>
        </w:rPr>
        <w:t>《温州市市属国有企业采购管理办法》第十</w:t>
      </w:r>
      <w:r>
        <w:rPr>
          <w:rFonts w:hint="eastAsia" w:ascii="宋体" w:hAnsi="宋体" w:eastAsia="宋体" w:cs="宋体"/>
          <w:bCs/>
          <w:color w:val="auto"/>
          <w:szCs w:val="24"/>
          <w:highlight w:val="none"/>
          <w:lang w:val="en-US" w:eastAsia="zh-CN"/>
        </w:rPr>
        <w:t>八</w:t>
      </w:r>
      <w:r>
        <w:rPr>
          <w:rFonts w:hint="eastAsia" w:ascii="宋体" w:hAnsi="宋体" w:eastAsia="宋体" w:cs="宋体"/>
          <w:bCs/>
          <w:color w:val="auto"/>
          <w:szCs w:val="24"/>
          <w:highlight w:val="none"/>
          <w:lang w:eastAsia="zh-CN"/>
        </w:rPr>
        <w:t>条</w:t>
      </w:r>
      <w:r>
        <w:rPr>
          <w:rFonts w:hint="eastAsia" w:ascii="宋体" w:hAnsi="宋体" w:eastAsia="宋体" w:cs="宋体"/>
          <w:bCs/>
          <w:color w:val="auto"/>
          <w:szCs w:val="24"/>
          <w:highlight w:val="none"/>
        </w:rPr>
        <w:t>规定的承诺函。</w:t>
      </w:r>
    </w:p>
    <w:p w14:paraId="652C48FC">
      <w:pPr>
        <w:numPr>
          <w:ilvl w:val="0"/>
          <w:numId w:val="8"/>
        </w:numPr>
        <w:tabs>
          <w:tab w:val="left" w:pos="1260"/>
        </w:tabs>
        <w:snapToGrid w:val="0"/>
        <w:spacing w:line="400" w:lineRule="exact"/>
        <w:ind w:left="1372" w:leftChars="0" w:hanging="646" w:firstLineChars="0"/>
        <w:jc w:val="both"/>
        <w:rPr>
          <w:rFonts w:hint="eastAsia" w:ascii="宋体" w:hAnsi="宋体" w:eastAsia="宋体" w:cs="宋体"/>
          <w:color w:val="auto"/>
          <w:highlight w:val="none"/>
        </w:rPr>
      </w:pPr>
      <w:r>
        <w:rPr>
          <w:rFonts w:hint="eastAsia" w:ascii="宋体" w:hAnsi="宋体" w:eastAsia="宋体" w:cs="宋体"/>
          <w:color w:val="auto"/>
          <w:szCs w:val="21"/>
          <w:highlight w:val="none"/>
        </w:rPr>
        <w:t>未被“信用中国” ( www.creditchina.gov.cn )、中国政府采购网(www.ccgp.gov.cn ] 列入失信被执行人、重大税收违法案件当事人名单、政府采购严重违法失信行为记录名单。（以采购组织机构在开标当日在“信用中国”（www.creditchina.gov.cn）、中国政府采购网（www.ccgp.gov.cn）网页查询记录为准。）</w:t>
      </w:r>
    </w:p>
    <w:p w14:paraId="292806FD">
      <w:pPr>
        <w:numPr>
          <w:ilvl w:val="0"/>
          <w:numId w:val="8"/>
        </w:numPr>
        <w:tabs>
          <w:tab w:val="left" w:pos="1260"/>
        </w:tabs>
        <w:snapToGrid w:val="0"/>
        <w:spacing w:line="400" w:lineRule="exact"/>
        <w:ind w:left="1372" w:leftChars="0" w:hanging="646" w:firstLineChars="0"/>
        <w:jc w:val="both"/>
        <w:rPr>
          <w:rFonts w:hint="eastAsia" w:ascii="宋体" w:hAnsi="宋体" w:eastAsia="宋体" w:cs="宋体"/>
          <w:b w:val="0"/>
          <w:bCs/>
          <w:color w:val="auto"/>
          <w:highlight w:val="none"/>
        </w:rPr>
      </w:pPr>
      <w:r>
        <w:rPr>
          <w:rFonts w:hint="eastAsia" w:ascii="宋体" w:hAnsi="宋体" w:eastAsia="宋体" w:cs="宋体"/>
          <w:b w:val="0"/>
          <w:bCs/>
          <w:color w:val="auto"/>
          <w:highlight w:val="none"/>
        </w:rPr>
        <w:t>参加国有企业采购活动前3年内在经营活动中有/无重大违法记录的书面声明；</w:t>
      </w:r>
    </w:p>
    <w:p w14:paraId="2A9C1BD4">
      <w:pPr>
        <w:numPr>
          <w:ilvl w:val="0"/>
          <w:numId w:val="8"/>
        </w:numPr>
        <w:tabs>
          <w:tab w:val="left" w:pos="1260"/>
        </w:tabs>
        <w:snapToGrid w:val="0"/>
        <w:spacing w:line="400" w:lineRule="exact"/>
        <w:ind w:left="1372" w:leftChars="0" w:hanging="646" w:firstLineChars="0"/>
        <w:jc w:val="both"/>
        <w:rPr>
          <w:rFonts w:hint="eastAsia" w:ascii="宋体" w:hAnsi="宋体" w:eastAsia="宋体" w:cs="宋体"/>
          <w:b w:val="0"/>
          <w:bCs/>
          <w:color w:val="auto"/>
          <w:highlight w:val="none"/>
        </w:rPr>
      </w:pPr>
      <w:r>
        <w:rPr>
          <w:rFonts w:hint="eastAsia" w:ascii="宋体" w:hAnsi="宋体" w:eastAsia="宋体" w:cs="宋体"/>
          <w:b w:val="0"/>
          <w:bCs/>
          <w:color w:val="auto"/>
          <w:sz w:val="21"/>
          <w:szCs w:val="21"/>
          <w:highlight w:val="none"/>
        </w:rPr>
        <w:t>投标保证金缴纳凭证</w:t>
      </w:r>
      <w:r>
        <w:rPr>
          <w:rFonts w:hint="eastAsia" w:ascii="宋体" w:hAnsi="宋体" w:eastAsia="宋体" w:cs="宋体"/>
          <w:b w:val="0"/>
          <w:bCs/>
          <w:color w:val="auto"/>
          <w:sz w:val="21"/>
          <w:szCs w:val="21"/>
          <w:highlight w:val="none"/>
          <w:lang w:eastAsia="zh-CN"/>
        </w:rPr>
        <w:t>。</w:t>
      </w:r>
    </w:p>
    <w:p w14:paraId="2FC910D4">
      <w:pPr>
        <w:keepNext w:val="0"/>
        <w:keepLines w:val="0"/>
        <w:pageBreakBefore w:val="0"/>
        <w:numPr>
          <w:ilvl w:val="0"/>
          <w:numId w:val="7"/>
        </w:numPr>
        <w:tabs>
          <w:tab w:val="left" w:pos="6358"/>
        </w:tabs>
        <w:kinsoku/>
        <w:wordWrap/>
        <w:overflowPunct/>
        <w:topLinePunct w:val="0"/>
        <w:bidi w:val="0"/>
        <w:snapToGrid w:val="0"/>
        <w:spacing w:line="360" w:lineRule="auto"/>
        <w:ind w:left="567"/>
        <w:textAlignment w:val="auto"/>
        <w:rPr>
          <w:rFonts w:hint="eastAsia" w:ascii="宋体" w:hAnsi="宋体" w:eastAsia="宋体" w:cs="宋体"/>
          <w:b/>
          <w:color w:val="auto"/>
          <w:highlight w:val="none"/>
        </w:rPr>
      </w:pPr>
      <w:r>
        <w:rPr>
          <w:rFonts w:hint="eastAsia" w:ascii="宋体" w:hAnsi="宋体" w:eastAsia="宋体" w:cs="宋体"/>
          <w:b/>
          <w:color w:val="auto"/>
          <w:highlight w:val="none"/>
          <w:lang w:val="en-US" w:eastAsia="zh-CN"/>
        </w:rPr>
        <w:t>报价文件：</w:t>
      </w:r>
    </w:p>
    <w:p w14:paraId="033C16C1">
      <w:pPr>
        <w:numPr>
          <w:ilvl w:val="0"/>
          <w:numId w:val="9"/>
        </w:numPr>
        <w:tabs>
          <w:tab w:val="left" w:pos="128"/>
          <w:tab w:val="left" w:pos="1260"/>
        </w:tabs>
        <w:snapToGrid w:val="0"/>
        <w:spacing w:line="400" w:lineRule="exact"/>
        <w:ind w:left="1151" w:leftChars="0" w:hanging="425" w:firstLineChars="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封面；</w:t>
      </w:r>
    </w:p>
    <w:p w14:paraId="4E63F2B0">
      <w:pPr>
        <w:numPr>
          <w:ilvl w:val="0"/>
          <w:numId w:val="9"/>
        </w:numPr>
        <w:tabs>
          <w:tab w:val="left" w:pos="128"/>
          <w:tab w:val="left" w:pos="1260"/>
        </w:tabs>
        <w:snapToGrid w:val="0"/>
        <w:spacing w:line="400" w:lineRule="exact"/>
        <w:ind w:left="1151" w:leftChars="0" w:hanging="425" w:firstLineChars="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目录；</w:t>
      </w:r>
    </w:p>
    <w:p w14:paraId="11AE9D32">
      <w:pPr>
        <w:numPr>
          <w:ilvl w:val="0"/>
          <w:numId w:val="9"/>
        </w:numPr>
        <w:tabs>
          <w:tab w:val="left" w:pos="128"/>
          <w:tab w:val="left" w:pos="1260"/>
        </w:tabs>
        <w:snapToGrid w:val="0"/>
        <w:spacing w:line="400" w:lineRule="exact"/>
        <w:ind w:left="1151" w:leftChars="0" w:hanging="425" w:firstLineChars="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开标一览表；</w:t>
      </w:r>
    </w:p>
    <w:p w14:paraId="1F5A6F49">
      <w:pPr>
        <w:numPr>
          <w:ilvl w:val="0"/>
          <w:numId w:val="9"/>
        </w:numPr>
        <w:tabs>
          <w:tab w:val="left" w:pos="128"/>
          <w:tab w:val="left" w:pos="1260"/>
        </w:tabs>
        <w:snapToGrid w:val="0"/>
        <w:spacing w:line="400" w:lineRule="exact"/>
        <w:ind w:left="1151" w:leftChars="0" w:hanging="425" w:firstLineChars="0"/>
        <w:jc w:val="both"/>
        <w:rPr>
          <w:rFonts w:hint="eastAsia" w:ascii="宋体" w:hAnsi="宋体" w:eastAsia="宋体" w:cs="宋体"/>
          <w:color w:val="auto"/>
          <w:szCs w:val="21"/>
          <w:highlight w:val="none"/>
        </w:rPr>
      </w:pPr>
      <w:r>
        <w:rPr>
          <w:rFonts w:hint="eastAsia" w:ascii="宋体" w:hAnsi="宋体" w:eastAsia="宋体" w:cs="宋体"/>
          <w:color w:val="auto"/>
          <w:highlight w:val="none"/>
          <w:lang w:eastAsia="zh-CN"/>
        </w:rPr>
        <w:t>报价</w:t>
      </w:r>
      <w:r>
        <w:rPr>
          <w:rFonts w:hint="eastAsia" w:ascii="宋体" w:hAnsi="宋体" w:eastAsia="宋体" w:cs="宋体"/>
          <w:color w:val="auto"/>
          <w:highlight w:val="none"/>
          <w:lang w:val="en-US" w:eastAsia="zh-CN"/>
        </w:rPr>
        <w:t>明细</w:t>
      </w:r>
      <w:r>
        <w:rPr>
          <w:rFonts w:hint="eastAsia" w:ascii="宋体" w:hAnsi="宋体" w:eastAsia="宋体" w:cs="宋体"/>
          <w:color w:val="auto"/>
          <w:highlight w:val="none"/>
        </w:rPr>
        <w:t>表</w:t>
      </w:r>
      <w:r>
        <w:rPr>
          <w:rFonts w:hint="eastAsia" w:ascii="宋体" w:hAnsi="宋体" w:eastAsia="宋体" w:cs="宋体"/>
          <w:color w:val="auto"/>
          <w:szCs w:val="21"/>
          <w:highlight w:val="none"/>
        </w:rPr>
        <w:t>；</w:t>
      </w:r>
    </w:p>
    <w:p w14:paraId="706CF141">
      <w:pPr>
        <w:numPr>
          <w:ilvl w:val="0"/>
          <w:numId w:val="9"/>
        </w:numPr>
        <w:tabs>
          <w:tab w:val="left" w:pos="128"/>
          <w:tab w:val="left" w:pos="1260"/>
        </w:tabs>
        <w:snapToGrid w:val="0"/>
        <w:spacing w:line="400" w:lineRule="exact"/>
        <w:ind w:left="1151" w:leftChars="0" w:hanging="425" w:firstLineChars="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投标供应商</w:t>
      </w:r>
      <w:r>
        <w:rPr>
          <w:rFonts w:hint="eastAsia" w:ascii="宋体" w:hAnsi="宋体" w:eastAsia="宋体" w:cs="宋体"/>
          <w:color w:val="auto"/>
          <w:szCs w:val="21"/>
          <w:highlight w:val="none"/>
        </w:rPr>
        <w:t>认为需要提供的文件和资料。</w:t>
      </w:r>
    </w:p>
    <w:p w14:paraId="5CFC5554">
      <w:pPr>
        <w:keepNext w:val="0"/>
        <w:keepLines w:val="0"/>
        <w:pageBreakBefore w:val="0"/>
        <w:numPr>
          <w:ilvl w:val="0"/>
          <w:numId w:val="7"/>
        </w:numPr>
        <w:tabs>
          <w:tab w:val="left" w:pos="6358"/>
        </w:tabs>
        <w:kinsoku/>
        <w:wordWrap/>
        <w:overflowPunct/>
        <w:topLinePunct w:val="0"/>
        <w:bidi w:val="0"/>
        <w:snapToGrid w:val="0"/>
        <w:spacing w:line="360" w:lineRule="auto"/>
        <w:ind w:left="567"/>
        <w:textAlignment w:val="auto"/>
        <w:rPr>
          <w:rFonts w:hint="eastAsia" w:ascii="宋体" w:hAnsi="宋体" w:eastAsia="宋体" w:cs="宋体"/>
          <w:b/>
          <w:color w:val="auto"/>
          <w:highlight w:val="none"/>
        </w:rPr>
      </w:pPr>
      <w:r>
        <w:rPr>
          <w:rFonts w:hint="eastAsia" w:ascii="宋体" w:hAnsi="宋体" w:eastAsia="宋体" w:cs="宋体"/>
          <w:b/>
          <w:color w:val="auto"/>
          <w:highlight w:val="none"/>
          <w:lang w:val="en-US" w:eastAsia="zh-CN"/>
        </w:rPr>
        <w:t>商务技术文件</w:t>
      </w:r>
      <w:r>
        <w:rPr>
          <w:rFonts w:hint="eastAsia" w:ascii="宋体" w:hAnsi="宋体" w:eastAsia="宋体" w:cs="宋体"/>
          <w:b/>
          <w:color w:val="auto"/>
          <w:highlight w:val="none"/>
        </w:rPr>
        <w:t>：</w:t>
      </w:r>
    </w:p>
    <w:p w14:paraId="2B61E888">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封面；</w:t>
      </w:r>
    </w:p>
    <w:p w14:paraId="44A3FFF7">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目录；</w:t>
      </w:r>
    </w:p>
    <w:p w14:paraId="0F1C8362">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lang w:eastAsia="zh-CN"/>
        </w:rPr>
        <w:t>投标函；</w:t>
      </w:r>
    </w:p>
    <w:p w14:paraId="32FEA9A6">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color w:val="auto"/>
          <w:szCs w:val="22"/>
          <w:highlight w:val="none"/>
          <w:lang w:eastAsia="zh-CN"/>
        </w:rPr>
      </w:pPr>
      <w:r>
        <w:rPr>
          <w:rFonts w:hint="eastAsia" w:ascii="宋体" w:hAnsi="宋体" w:eastAsia="宋体" w:cs="宋体"/>
          <w:color w:val="auto"/>
          <w:szCs w:val="22"/>
          <w:highlight w:val="none"/>
          <w:lang w:eastAsia="zh-CN"/>
        </w:rPr>
        <w:t>法定代表人授权委托书；</w:t>
      </w:r>
    </w:p>
    <w:p w14:paraId="2F267837">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lang w:eastAsia="zh-CN"/>
        </w:rPr>
        <w:t>法定代表人身份证明；</w:t>
      </w:r>
    </w:p>
    <w:p w14:paraId="290B95E9">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lang w:eastAsia="zh-CN"/>
        </w:rPr>
        <w:t>投标供应商</w:t>
      </w:r>
      <w:r>
        <w:rPr>
          <w:rFonts w:hint="eastAsia" w:ascii="宋体" w:hAnsi="宋体" w:eastAsia="宋体" w:cs="宋体"/>
          <w:color w:val="auto"/>
          <w:szCs w:val="22"/>
          <w:highlight w:val="none"/>
        </w:rPr>
        <w:t>情况说明；</w:t>
      </w:r>
    </w:p>
    <w:p w14:paraId="214EB91A">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lang w:eastAsia="zh-CN"/>
        </w:rPr>
        <w:t>投标供应商20</w:t>
      </w:r>
      <w:r>
        <w:rPr>
          <w:rFonts w:hint="eastAsia" w:ascii="宋体" w:hAnsi="宋体" w:eastAsia="宋体" w:cs="宋体"/>
          <w:color w:val="auto"/>
          <w:szCs w:val="22"/>
          <w:highlight w:val="none"/>
          <w:lang w:val="en-US" w:eastAsia="zh-CN"/>
        </w:rPr>
        <w:t>2</w:t>
      </w:r>
      <w:r>
        <w:rPr>
          <w:rFonts w:hint="eastAsia" w:ascii="宋体" w:hAnsi="宋体" w:cs="宋体"/>
          <w:color w:val="auto"/>
          <w:szCs w:val="22"/>
          <w:highlight w:val="none"/>
          <w:lang w:val="en-US" w:eastAsia="zh-CN"/>
        </w:rPr>
        <w:t>2</w:t>
      </w:r>
      <w:r>
        <w:rPr>
          <w:rFonts w:hint="eastAsia" w:ascii="宋体" w:hAnsi="宋体" w:eastAsia="宋体" w:cs="宋体"/>
          <w:color w:val="auto"/>
          <w:szCs w:val="22"/>
          <w:highlight w:val="none"/>
          <w:lang w:eastAsia="zh-CN"/>
        </w:rPr>
        <w:t>年1月</w:t>
      </w:r>
      <w:r>
        <w:rPr>
          <w:rFonts w:hint="eastAsia" w:ascii="宋体" w:hAnsi="宋体" w:eastAsia="宋体" w:cs="宋体"/>
          <w:color w:val="auto"/>
          <w:szCs w:val="22"/>
          <w:highlight w:val="none"/>
          <w:lang w:val="en-US" w:eastAsia="zh-CN"/>
        </w:rPr>
        <w:t>1日</w:t>
      </w:r>
      <w:r>
        <w:rPr>
          <w:rFonts w:hint="eastAsia" w:ascii="宋体" w:hAnsi="宋体" w:eastAsia="宋体" w:cs="宋体"/>
          <w:color w:val="auto"/>
          <w:szCs w:val="22"/>
          <w:highlight w:val="none"/>
          <w:lang w:eastAsia="zh-CN"/>
        </w:rPr>
        <w:t>以来同类项目供货业绩一览表；</w:t>
      </w:r>
    </w:p>
    <w:p w14:paraId="5B8F960C">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color w:val="auto"/>
          <w:szCs w:val="22"/>
          <w:highlight w:val="none"/>
        </w:rPr>
      </w:pPr>
      <w:r>
        <w:rPr>
          <w:rFonts w:hint="eastAsia" w:ascii="宋体" w:hAnsi="宋体" w:eastAsia="宋体" w:cs="宋体"/>
          <w:b w:val="0"/>
          <w:bCs w:val="0"/>
          <w:color w:val="auto"/>
          <w:kern w:val="2"/>
          <w:sz w:val="21"/>
          <w:szCs w:val="24"/>
          <w:highlight w:val="none"/>
          <w:lang w:val="en-US" w:eastAsia="zh-CN" w:bidi="ar-SA"/>
        </w:rPr>
        <w:t>供货详细清单</w:t>
      </w:r>
      <w:r>
        <w:rPr>
          <w:rFonts w:hint="eastAsia" w:ascii="宋体" w:hAnsi="宋体" w:eastAsia="宋体" w:cs="宋体"/>
          <w:color w:val="auto"/>
          <w:szCs w:val="22"/>
          <w:highlight w:val="none"/>
        </w:rPr>
        <w:t>；</w:t>
      </w:r>
    </w:p>
    <w:p w14:paraId="64C2EF84">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color w:val="auto"/>
          <w:szCs w:val="22"/>
          <w:highlight w:val="none"/>
        </w:rPr>
      </w:pPr>
      <w:r>
        <w:rPr>
          <w:rFonts w:hint="eastAsia" w:ascii="宋体" w:hAnsi="宋体" w:eastAsia="宋体" w:cs="宋体"/>
          <w:b w:val="0"/>
          <w:bCs w:val="0"/>
          <w:color w:val="auto"/>
          <w:kern w:val="2"/>
          <w:sz w:val="21"/>
          <w:szCs w:val="24"/>
          <w:highlight w:val="none"/>
          <w:lang w:val="en-US" w:eastAsia="zh-CN" w:bidi="ar-SA"/>
        </w:rPr>
        <w:t>投标产品技术响应表</w:t>
      </w:r>
      <w:r>
        <w:rPr>
          <w:rFonts w:hint="eastAsia" w:ascii="宋体" w:hAnsi="宋体" w:eastAsia="宋体" w:cs="宋体"/>
          <w:color w:val="auto"/>
          <w:szCs w:val="22"/>
          <w:highlight w:val="none"/>
          <w:lang w:eastAsia="zh-CN"/>
        </w:rPr>
        <w:t>；</w:t>
      </w:r>
    </w:p>
    <w:p w14:paraId="3986AA6B">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b w:val="0"/>
          <w:bCs w:val="0"/>
          <w:color w:val="auto"/>
          <w:kern w:val="2"/>
          <w:sz w:val="21"/>
          <w:szCs w:val="24"/>
          <w:highlight w:val="none"/>
          <w:lang w:val="en-US" w:eastAsia="zh-CN" w:bidi="ar-SA"/>
        </w:rPr>
      </w:pPr>
      <w:r>
        <w:rPr>
          <w:rFonts w:hint="eastAsia" w:ascii="宋体" w:hAnsi="宋体" w:eastAsia="宋体" w:cs="宋体"/>
          <w:b w:val="0"/>
          <w:bCs w:val="0"/>
          <w:color w:val="auto"/>
          <w:kern w:val="2"/>
          <w:sz w:val="21"/>
          <w:szCs w:val="24"/>
          <w:highlight w:val="none"/>
          <w:lang w:val="en-US" w:eastAsia="zh-CN" w:bidi="ar-SA"/>
        </w:rPr>
        <w:t>随机备品、备件和专用工具清单；</w:t>
      </w:r>
    </w:p>
    <w:p w14:paraId="6232B5F1">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b w:val="0"/>
          <w:bCs w:val="0"/>
          <w:color w:val="auto"/>
          <w:kern w:val="2"/>
          <w:sz w:val="21"/>
          <w:szCs w:val="24"/>
          <w:highlight w:val="none"/>
          <w:lang w:val="en-US" w:eastAsia="zh-CN" w:bidi="ar-SA"/>
        </w:rPr>
      </w:pPr>
      <w:r>
        <w:rPr>
          <w:rFonts w:hint="eastAsia" w:ascii="宋体" w:hAnsi="宋体" w:eastAsia="宋体" w:cs="宋体"/>
          <w:b w:val="0"/>
          <w:bCs w:val="0"/>
          <w:color w:val="auto"/>
          <w:kern w:val="2"/>
          <w:sz w:val="21"/>
          <w:szCs w:val="24"/>
          <w:highlight w:val="none"/>
          <w:lang w:val="en-US" w:eastAsia="zh-CN" w:bidi="ar-SA"/>
        </w:rPr>
        <w:t>技术（或商务）偏离表；</w:t>
      </w:r>
    </w:p>
    <w:p w14:paraId="0E664916">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b w:val="0"/>
          <w:bCs w:val="0"/>
          <w:color w:val="auto"/>
          <w:kern w:val="2"/>
          <w:sz w:val="21"/>
          <w:szCs w:val="24"/>
          <w:highlight w:val="none"/>
          <w:lang w:val="en-US" w:eastAsia="zh-CN" w:bidi="ar-SA"/>
        </w:rPr>
      </w:pPr>
      <w:r>
        <w:rPr>
          <w:rFonts w:hint="eastAsia" w:ascii="宋体" w:hAnsi="宋体" w:eastAsia="宋体" w:cs="宋体"/>
          <w:b w:val="0"/>
          <w:bCs w:val="0"/>
          <w:color w:val="auto"/>
          <w:kern w:val="2"/>
          <w:sz w:val="21"/>
          <w:szCs w:val="24"/>
          <w:highlight w:val="none"/>
          <w:lang w:val="en-US" w:eastAsia="zh-CN" w:bidi="ar-SA"/>
        </w:rPr>
        <w:t>服务承诺；</w:t>
      </w:r>
    </w:p>
    <w:p w14:paraId="0912BAB6">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b w:val="0"/>
          <w:bCs w:val="0"/>
          <w:color w:val="auto"/>
          <w:kern w:val="2"/>
          <w:sz w:val="21"/>
          <w:szCs w:val="24"/>
          <w:highlight w:val="none"/>
          <w:lang w:val="en-US" w:eastAsia="zh-CN" w:bidi="ar-SA"/>
        </w:rPr>
      </w:pPr>
      <w:r>
        <w:rPr>
          <w:rFonts w:hint="eastAsia" w:ascii="宋体" w:hAnsi="宋体" w:eastAsia="宋体" w:cs="宋体"/>
          <w:b w:val="0"/>
          <w:bCs w:val="0"/>
          <w:color w:val="auto"/>
          <w:kern w:val="2"/>
          <w:sz w:val="21"/>
          <w:szCs w:val="24"/>
          <w:highlight w:val="none"/>
          <w:lang w:val="en-US" w:eastAsia="zh-CN" w:bidi="ar-SA"/>
        </w:rPr>
        <w:t>招标文件要求提供的其他文件和资料及投标供应商认为需要提供的文件和资料。</w:t>
      </w:r>
    </w:p>
    <w:p w14:paraId="1DB2BB87">
      <w:pPr>
        <w:numPr>
          <w:ilvl w:val="0"/>
          <w:numId w:val="6"/>
        </w:numPr>
        <w:tabs>
          <w:tab w:val="clear" w:pos="687"/>
        </w:tabs>
        <w:snapToGrid w:val="0"/>
        <w:spacing w:line="360" w:lineRule="exact"/>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投标文件格式填写说明</w:t>
      </w:r>
    </w:p>
    <w:p w14:paraId="51BA0D3D">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供应商应在认真阅读</w:t>
      </w:r>
      <w:r>
        <w:rPr>
          <w:rFonts w:hint="eastAsia" w:ascii="宋体" w:hAnsi="宋体" w:eastAsia="宋体" w:cs="宋体"/>
          <w:color w:val="auto"/>
          <w:highlight w:val="none"/>
          <w:lang w:val="en-US" w:eastAsia="zh-CN"/>
        </w:rPr>
        <w:t>招标</w:t>
      </w:r>
      <w:r>
        <w:rPr>
          <w:rFonts w:hint="eastAsia" w:ascii="宋体" w:hAnsi="宋体" w:eastAsia="宋体" w:cs="宋体"/>
          <w:color w:val="auto"/>
          <w:highlight w:val="none"/>
          <w:lang w:eastAsia="zh-CN"/>
        </w:rPr>
        <w:t>文件所有内容的基础上，按照招标文件中规定的格式和顺序编制电子加密响应文件并进行关联定位，混乱的编排或关联导致投标响应文件被误读或采购人查找不到有效文件是投标供应商的风险。未提供格式的，请各投标单位自行拟定格式。</w:t>
      </w:r>
    </w:p>
    <w:p w14:paraId="13EE7266">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必须保证投标文件所提供的全部资料真实可靠，并接受</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对其中任何资料进一步审查的要求。提供虚假证明的</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将被取消投标资格，并予以公告。</w:t>
      </w:r>
    </w:p>
    <w:p w14:paraId="4F0FF14B">
      <w:pPr>
        <w:numPr>
          <w:ilvl w:val="1"/>
          <w:numId w:val="6"/>
        </w:numPr>
        <w:tabs>
          <w:tab w:val="left" w:pos="592"/>
        </w:tabs>
        <w:snapToGrid w:val="0"/>
        <w:spacing w:line="360" w:lineRule="auto"/>
        <w:ind w:left="588" w:hanging="588" w:hangingChars="280"/>
        <w:rPr>
          <w:rFonts w:hint="eastAsia" w:ascii="宋体" w:hAnsi="宋体" w:eastAsia="宋体" w:cs="宋体"/>
          <w:color w:val="auto"/>
          <w:szCs w:val="21"/>
          <w:highlight w:val="none"/>
        </w:rPr>
      </w:pPr>
      <w:r>
        <w:rPr>
          <w:rFonts w:hint="eastAsia" w:ascii="宋体" w:hAnsi="宋体" w:eastAsia="宋体" w:cs="宋体"/>
          <w:color w:val="auto"/>
          <w:highlight w:val="none"/>
        </w:rPr>
        <w:t>投标文件须对招标文件中的内容做出实质性和完整的响应（文中带“▲”标识），否则其投标将视作无效标。</w:t>
      </w:r>
    </w:p>
    <w:p w14:paraId="10CF3B9B">
      <w:pPr>
        <w:numPr>
          <w:ilvl w:val="1"/>
          <w:numId w:val="6"/>
        </w:numPr>
        <w:tabs>
          <w:tab w:val="left" w:pos="592"/>
        </w:tabs>
        <w:snapToGrid w:val="0"/>
        <w:spacing w:line="360" w:lineRule="auto"/>
        <w:ind w:left="588" w:hanging="588" w:hangingChars="280"/>
        <w:rPr>
          <w:rFonts w:hint="eastAsia" w:ascii="宋体" w:hAnsi="宋体" w:eastAsia="宋体" w:cs="宋体"/>
          <w:color w:val="auto"/>
          <w:szCs w:val="21"/>
          <w:highlight w:val="none"/>
        </w:rPr>
      </w:pPr>
      <w:r>
        <w:rPr>
          <w:rFonts w:hint="eastAsia" w:ascii="宋体" w:hAnsi="宋体" w:eastAsia="宋体" w:cs="宋体"/>
          <w:color w:val="auto"/>
          <w:highlight w:val="none"/>
        </w:rPr>
        <w:t>投标文件的格式：</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提交的投标文件应当使用招标文件所提供的投标文件全部格式（表格可以按同样格式扩展）。</w:t>
      </w:r>
    </w:p>
    <w:p w14:paraId="4988C1EA">
      <w:pPr>
        <w:numPr>
          <w:ilvl w:val="0"/>
          <w:numId w:val="6"/>
        </w:numPr>
        <w:snapToGrid w:val="0"/>
        <w:spacing w:line="360" w:lineRule="auto"/>
        <w:ind w:left="841" w:hanging="841" w:hangingChars="399"/>
        <w:rPr>
          <w:rFonts w:hint="eastAsia" w:ascii="宋体" w:hAnsi="宋体" w:eastAsia="宋体" w:cs="宋体"/>
          <w:b/>
          <w:bCs/>
          <w:color w:val="auto"/>
          <w:highlight w:val="none"/>
        </w:rPr>
      </w:pPr>
      <w:r>
        <w:rPr>
          <w:rFonts w:hint="eastAsia" w:ascii="宋体" w:hAnsi="宋体" w:eastAsia="宋体" w:cs="宋体"/>
          <w:b/>
          <w:bCs/>
          <w:color w:val="auto"/>
          <w:highlight w:val="none"/>
          <w:lang w:eastAsia="zh-CN"/>
        </w:rPr>
        <w:t>投标供应商</w:t>
      </w:r>
      <w:r>
        <w:rPr>
          <w:rFonts w:hint="eastAsia" w:ascii="宋体" w:hAnsi="宋体" w:eastAsia="宋体" w:cs="宋体"/>
          <w:b/>
          <w:bCs/>
          <w:color w:val="auto"/>
          <w:highlight w:val="none"/>
        </w:rPr>
        <w:t>其他文件的编制及编目</w:t>
      </w:r>
    </w:p>
    <w:p w14:paraId="5D2575EE">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其他文件由</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视需要自行编制。规格幅面（A4）应与正文一致，附于正文之后。</w:t>
      </w:r>
    </w:p>
    <w:p w14:paraId="48479246">
      <w:pPr>
        <w:numPr>
          <w:ilvl w:val="0"/>
          <w:numId w:val="6"/>
        </w:numPr>
        <w:snapToGrid w:val="0"/>
        <w:spacing w:line="360" w:lineRule="auto"/>
        <w:ind w:left="841" w:hanging="841" w:hangingChars="399"/>
        <w:rPr>
          <w:rFonts w:hint="eastAsia" w:ascii="宋体" w:hAnsi="宋体" w:eastAsia="宋体" w:cs="宋体"/>
          <w:color w:val="auto"/>
          <w:szCs w:val="21"/>
          <w:highlight w:val="none"/>
          <w:lang w:eastAsia="zh-CN"/>
        </w:rPr>
      </w:pPr>
      <w:r>
        <w:rPr>
          <w:rFonts w:hint="eastAsia" w:ascii="宋体" w:hAnsi="宋体" w:eastAsia="宋体" w:cs="宋体"/>
          <w:b/>
          <w:color w:val="auto"/>
          <w:highlight w:val="none"/>
        </w:rPr>
        <w:t>投标报价</w:t>
      </w:r>
    </w:p>
    <w:p w14:paraId="6C5C679E">
      <w:pPr>
        <w:numPr>
          <w:ilvl w:val="1"/>
          <w:numId w:val="6"/>
        </w:numPr>
        <w:tabs>
          <w:tab w:val="left" w:pos="610"/>
        </w:tabs>
        <w:snapToGrid w:val="0"/>
        <w:spacing w:line="360" w:lineRule="auto"/>
        <w:ind w:left="588" w:hanging="588" w:hangingChars="28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本项目报价为“交钥匙”价。项目实施过程中所需的墙面开孔及封堵（如有）、胶带、设备的吊装、搬运、机械、设备检测、试运行、场地清理及垃圾清运费、采购人既有设施设备成品保护费、包装及运输、采购、施工、保管、安装或集成、调试、培训、咨询、服务、检测、安保、劳务、材料、差旅交通、就餐住宿、管理、利润、规费、税金、保险、相关协调费、招标代理费、乐采云系统服务费（如有）、专利技术、知识产权、售后服务费及其他实物和技术工作收费等所有为完成本项目所发生的全部相关费用均包含在所报价格中。对于采购人提出的技术实现方式、手段和要求，供应商必须无条件服从并完成有关工作，不再另计费用。采购人可根据项目实际适当调整采购需求，最终将根据成交单价和验收情况在成交金额内据实结算。供应商报价时应充分考虑风险，对最终没有发生的采购，相应的金额将从结算总价中扣除。</w:t>
      </w:r>
    </w:p>
    <w:p w14:paraId="4CA51AE8">
      <w:pPr>
        <w:numPr>
          <w:ilvl w:val="1"/>
          <w:numId w:val="6"/>
        </w:numPr>
        <w:tabs>
          <w:tab w:val="left" w:pos="610"/>
        </w:tabs>
        <w:snapToGrid w:val="0"/>
        <w:spacing w:line="360" w:lineRule="auto"/>
        <w:ind w:left="588" w:hanging="588" w:hangingChars="28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供应商对报价的准确性和完整性负责，任何漏报、错报等均是供应商的风险。供应商应充分考虑合同履行期间的市场风险（包括但不限于增加耗材、材料涨价、人工、运输成本增加等因素）、国家政策调整风险和在合同实施过程中发生的所有费用（包括但不限于采购文件未列明，而投标供应商认为必须的费用），并计入报价。在合同实施时，采购人将不予支付中标人没有列入的项目费用，并认为此项目的费用已包括在投标总报价中。对本项目合同中最终没有发生的内容，相应的金额将从结算总价中扣除，供应商不得提出任何补偿。</w:t>
      </w:r>
    </w:p>
    <w:p w14:paraId="5FE8CCC5">
      <w:pPr>
        <w:numPr>
          <w:ilvl w:val="1"/>
          <w:numId w:val="6"/>
        </w:numPr>
        <w:tabs>
          <w:tab w:val="left" w:pos="610"/>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szCs w:val="21"/>
          <w:highlight w:val="none"/>
          <w:lang w:eastAsia="zh-CN"/>
        </w:rPr>
        <w:t>供应商应对现场和实施条件进行查勘，投标报价时需充分考虑交货期要求下的成本和项目实施场地的位置、周边环境、道路、装卸、保管、安装限制以及其他与完成合同工作有关的其他资料、影响投标报价的所有因素，自愿承担相应风险与责任。现场无相关场地布置生活区和办公区，需自行考虑本项目实施期间办公及住宿事宜，以满足项目需求；供应商提交投标文件，视为供应商已对现场及周围环境进行了踏勘，并已充分了解评估现场及周围环境对项目可能产生的影响，自愿承担相应风险与责任。项目现场与现有道路的连通，供应商应结合项目场地及周边道路状况，与采购人协商确定利用现有路网还是开辟其他临时通道，临时通道的接驳费用由供应商承担，并且与之相关产生的费用（维护修复费、完工恢复等所有费用）在供应商投标报价中综合考虑。供应商有义务配合本项目的主体及其他配套工作的管理、协调、照管和服务工作，由此发生的费用被认为已经包括在供应商的投标总报价中。</w:t>
      </w:r>
    </w:p>
    <w:p w14:paraId="67E50D9C">
      <w:pPr>
        <w:numPr>
          <w:ilvl w:val="1"/>
          <w:numId w:val="6"/>
        </w:numPr>
        <w:tabs>
          <w:tab w:val="left" w:pos="610"/>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szCs w:val="21"/>
          <w:highlight w:val="none"/>
          <w:lang w:eastAsia="zh-CN"/>
        </w:rPr>
        <w:t>本次采购，只允许有一个报价，并只有一次投标报价，投标供应商应在各自技术和商务占优势的基础上并充分考虑本次采购的重要性，提供对采购人最优惠的投标报价。</w:t>
      </w:r>
    </w:p>
    <w:p w14:paraId="74EDC9FD">
      <w:pPr>
        <w:numPr>
          <w:ilvl w:val="1"/>
          <w:numId w:val="6"/>
        </w:numPr>
        <w:tabs>
          <w:tab w:val="left" w:pos="610"/>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szCs w:val="21"/>
          <w:highlight w:val="none"/>
          <w:lang w:eastAsia="zh-CN"/>
        </w:rPr>
        <w:t>对于投标报价的具体要求详见本招标文件“第三部分”相应内容。</w:t>
      </w:r>
    </w:p>
    <w:p w14:paraId="6F736658">
      <w:pPr>
        <w:numPr>
          <w:ilvl w:val="0"/>
          <w:numId w:val="6"/>
        </w:numPr>
        <w:snapToGrid w:val="0"/>
        <w:spacing w:line="360" w:lineRule="auto"/>
        <w:ind w:left="841" w:hanging="841" w:hangingChars="399"/>
        <w:rPr>
          <w:rFonts w:hint="eastAsia" w:ascii="宋体" w:hAnsi="宋体" w:eastAsia="宋体" w:cs="宋体"/>
          <w:color w:val="auto"/>
          <w:highlight w:val="none"/>
        </w:rPr>
      </w:pPr>
      <w:r>
        <w:rPr>
          <w:rFonts w:hint="eastAsia" w:ascii="宋体" w:hAnsi="宋体" w:eastAsia="宋体" w:cs="宋体"/>
          <w:b/>
          <w:color w:val="auto"/>
          <w:highlight w:val="none"/>
        </w:rPr>
        <w:t>▲ 投标保证金</w:t>
      </w:r>
    </w:p>
    <w:p w14:paraId="6A1DEFF6">
      <w:pPr>
        <w:numPr>
          <w:ilvl w:val="1"/>
          <w:numId w:val="6"/>
        </w:numPr>
        <w:snapToGrid w:val="0"/>
        <w:spacing w:line="360" w:lineRule="auto"/>
        <w:ind w:left="837" w:leftChars="0" w:hanging="837" w:hangingChars="399"/>
        <w:rPr>
          <w:rFonts w:hint="eastAsia" w:ascii="宋体" w:hAnsi="宋体" w:eastAsia="宋体" w:cs="宋体"/>
          <w:color w:val="auto"/>
          <w:highlight w:val="none"/>
          <w:u w:val="none"/>
        </w:rPr>
      </w:pPr>
      <w:r>
        <w:rPr>
          <w:rFonts w:hint="eastAsia" w:ascii="宋体" w:hAnsi="宋体" w:eastAsia="宋体" w:cs="宋体"/>
          <w:color w:val="auto"/>
          <w:highlight w:val="none"/>
          <w:u w:val="none"/>
        </w:rPr>
        <w:t>投标人应于相应的投标截止日期前向</w:t>
      </w:r>
      <w:r>
        <w:rPr>
          <w:rFonts w:hint="eastAsia" w:ascii="宋体" w:hAnsi="宋体" w:eastAsia="宋体" w:cs="宋体"/>
          <w:color w:val="auto"/>
          <w:highlight w:val="none"/>
          <w:u w:val="none"/>
          <w:lang w:eastAsia="zh-CN"/>
        </w:rPr>
        <w:t>采购人</w:t>
      </w:r>
      <w:r>
        <w:rPr>
          <w:rFonts w:hint="eastAsia" w:ascii="宋体" w:hAnsi="宋体" w:eastAsia="宋体" w:cs="宋体"/>
          <w:color w:val="auto"/>
          <w:highlight w:val="none"/>
          <w:u w:val="none"/>
        </w:rPr>
        <w:t>提供人民币</w:t>
      </w:r>
      <w:r>
        <w:rPr>
          <w:rFonts w:hint="eastAsia" w:ascii="宋体" w:hAnsi="宋体" w:eastAsia="宋体" w:cs="宋体"/>
          <w:b/>
          <w:bCs/>
          <w:color w:val="auto"/>
          <w:highlight w:val="none"/>
          <w:u w:val="single"/>
          <w:lang w:val="en-US" w:eastAsia="zh-CN"/>
        </w:rPr>
        <w:t xml:space="preserve"> </w:t>
      </w:r>
      <w:r>
        <w:rPr>
          <w:rFonts w:hint="eastAsia" w:ascii="宋体" w:hAnsi="宋体" w:cs="宋体"/>
          <w:b/>
          <w:bCs/>
          <w:color w:val="auto"/>
          <w:highlight w:val="none"/>
          <w:u w:val="single"/>
          <w:lang w:val="en-US" w:eastAsia="zh-CN"/>
        </w:rPr>
        <w:t>15000</w:t>
      </w:r>
      <w:r>
        <w:rPr>
          <w:rFonts w:hint="eastAsia" w:ascii="宋体" w:hAnsi="宋体" w:eastAsia="宋体" w:cs="宋体"/>
          <w:b/>
          <w:bCs/>
          <w:color w:val="auto"/>
          <w:highlight w:val="none"/>
          <w:u w:val="single"/>
          <w:lang w:val="en-US" w:eastAsia="zh-CN"/>
        </w:rPr>
        <w:t xml:space="preserve"> </w:t>
      </w:r>
      <w:r>
        <w:rPr>
          <w:rFonts w:hint="eastAsia" w:ascii="宋体" w:hAnsi="宋体" w:eastAsia="宋体" w:cs="宋体"/>
          <w:b/>
          <w:bCs/>
          <w:color w:val="auto"/>
          <w:highlight w:val="none"/>
          <w:u w:val="none"/>
        </w:rPr>
        <w:t>元整</w:t>
      </w:r>
      <w:r>
        <w:rPr>
          <w:rFonts w:hint="eastAsia" w:ascii="宋体" w:hAnsi="宋体" w:eastAsia="宋体" w:cs="宋体"/>
          <w:color w:val="auto"/>
          <w:highlight w:val="none"/>
          <w:u w:val="none"/>
        </w:rPr>
        <w:t>的投标保证金，否则将作无效标处理。</w:t>
      </w:r>
    </w:p>
    <w:p w14:paraId="2877A6A5">
      <w:pPr>
        <w:numPr>
          <w:ilvl w:val="1"/>
          <w:numId w:val="6"/>
        </w:numPr>
        <w:snapToGrid w:val="0"/>
        <w:spacing w:line="360" w:lineRule="auto"/>
        <w:ind w:left="837" w:leftChars="0" w:hanging="837" w:hangingChars="399"/>
        <w:rPr>
          <w:rFonts w:hint="eastAsia" w:ascii="宋体" w:hAnsi="宋体" w:eastAsia="宋体" w:cs="宋体"/>
          <w:color w:val="auto"/>
          <w:highlight w:val="none"/>
        </w:rPr>
      </w:pPr>
      <w:r>
        <w:rPr>
          <w:rFonts w:hint="eastAsia" w:ascii="宋体" w:hAnsi="宋体" w:eastAsia="宋体" w:cs="宋体"/>
          <w:color w:val="auto"/>
          <w:highlight w:val="none"/>
        </w:rPr>
        <w:t>保证金提缴形式：采用银行转账形式；</w:t>
      </w:r>
    </w:p>
    <w:p w14:paraId="4998947A">
      <w:pPr>
        <w:tabs>
          <w:tab w:val="left" w:pos="851"/>
          <w:tab w:val="left" w:pos="1470"/>
        </w:tabs>
        <w:snapToGrid w:val="0"/>
        <w:spacing w:line="360" w:lineRule="auto"/>
        <w:ind w:firstLine="840" w:firstLineChars="400"/>
        <w:jc w:val="both"/>
        <w:rPr>
          <w:rFonts w:hint="eastAsia" w:ascii="宋体" w:hAnsi="宋体" w:eastAsia="宋体" w:cs="宋体"/>
          <w:color w:val="auto"/>
          <w:highlight w:val="none"/>
          <w:lang w:eastAsia="zh-CN"/>
        </w:rPr>
      </w:pPr>
      <w:r>
        <w:rPr>
          <w:rFonts w:hint="eastAsia" w:ascii="宋体" w:hAnsi="宋体" w:eastAsia="宋体" w:cs="宋体"/>
          <w:color w:val="auto"/>
          <w:highlight w:val="none"/>
        </w:rPr>
        <w:t>单位名称：</w:t>
      </w:r>
      <w:r>
        <w:rPr>
          <w:rFonts w:hint="eastAsia" w:ascii="宋体" w:hAnsi="宋体" w:eastAsia="宋体" w:cs="宋体"/>
          <w:color w:val="auto"/>
          <w:sz w:val="21"/>
          <w:szCs w:val="21"/>
          <w:highlight w:val="none"/>
          <w:u w:val="none"/>
          <w:lang w:eastAsia="zh-CN"/>
        </w:rPr>
        <w:t>温州市兴城工程造价审计咨询事务所（普通合伙）</w:t>
      </w:r>
    </w:p>
    <w:p w14:paraId="062AF8CE">
      <w:pPr>
        <w:tabs>
          <w:tab w:val="left" w:pos="851"/>
          <w:tab w:val="left" w:pos="1470"/>
        </w:tabs>
        <w:snapToGrid w:val="0"/>
        <w:spacing w:line="360" w:lineRule="auto"/>
        <w:ind w:firstLine="840" w:firstLineChars="400"/>
        <w:jc w:val="both"/>
        <w:rPr>
          <w:rFonts w:hint="eastAsia" w:ascii="宋体" w:hAnsi="宋体" w:eastAsia="宋体" w:cs="宋体"/>
          <w:color w:val="auto"/>
          <w:highlight w:val="none"/>
          <w:lang w:val="en-US"/>
        </w:rPr>
      </w:pPr>
      <w:r>
        <w:rPr>
          <w:rFonts w:hint="eastAsia" w:ascii="宋体" w:hAnsi="宋体" w:eastAsia="宋体" w:cs="宋体"/>
          <w:color w:val="auto"/>
          <w:highlight w:val="none"/>
        </w:rPr>
        <w:t>开 户 行：</w:t>
      </w:r>
      <w:r>
        <w:rPr>
          <w:rFonts w:hint="eastAsia" w:ascii="宋体" w:hAnsi="宋体" w:eastAsia="宋体" w:cs="宋体"/>
          <w:color w:val="auto"/>
          <w:sz w:val="21"/>
          <w:szCs w:val="21"/>
          <w:highlight w:val="none"/>
          <w:lang w:eastAsia="zh-CN"/>
        </w:rPr>
        <w:t>温州银行股份有限公司市府路支行</w:t>
      </w:r>
    </w:p>
    <w:p w14:paraId="03D430F3">
      <w:pPr>
        <w:tabs>
          <w:tab w:val="left" w:pos="851"/>
          <w:tab w:val="left" w:pos="1470"/>
        </w:tabs>
        <w:snapToGrid w:val="0"/>
        <w:spacing w:line="360" w:lineRule="auto"/>
        <w:ind w:firstLine="840" w:firstLineChars="400"/>
        <w:jc w:val="both"/>
        <w:rPr>
          <w:rFonts w:hint="eastAsia" w:ascii="宋体" w:hAnsi="宋体" w:eastAsia="宋体" w:cs="宋体"/>
          <w:color w:val="auto"/>
          <w:highlight w:val="none"/>
          <w:lang w:eastAsia="zh-CN"/>
        </w:rPr>
      </w:pPr>
      <w:r>
        <w:rPr>
          <w:rFonts w:hint="eastAsia" w:ascii="宋体" w:hAnsi="宋体" w:eastAsia="宋体" w:cs="宋体"/>
          <w:color w:val="auto"/>
          <w:highlight w:val="none"/>
        </w:rPr>
        <w:t>帐    号：</w:t>
      </w:r>
      <w:r>
        <w:rPr>
          <w:rFonts w:hint="eastAsia" w:ascii="宋体" w:hAnsi="宋体" w:eastAsia="宋体" w:cs="宋体"/>
          <w:color w:val="auto"/>
          <w:sz w:val="21"/>
          <w:szCs w:val="21"/>
          <w:highlight w:val="none"/>
          <w:lang w:eastAsia="zh-CN"/>
        </w:rPr>
        <w:t>757000120190019985</w:t>
      </w:r>
    </w:p>
    <w:p w14:paraId="52E016EA">
      <w:pPr>
        <w:numPr>
          <w:ilvl w:val="1"/>
          <w:numId w:val="6"/>
        </w:numPr>
        <w:snapToGrid w:val="0"/>
        <w:spacing w:line="360" w:lineRule="auto"/>
        <w:ind w:left="837" w:leftChars="0" w:hanging="837" w:hangingChars="399"/>
        <w:rPr>
          <w:rFonts w:hint="eastAsia" w:ascii="宋体" w:hAnsi="宋体" w:eastAsia="宋体" w:cs="宋体"/>
          <w:color w:val="auto"/>
          <w:highlight w:val="none"/>
        </w:rPr>
      </w:pPr>
      <w:r>
        <w:rPr>
          <w:rFonts w:hint="eastAsia" w:ascii="宋体" w:hAnsi="宋体" w:eastAsia="宋体" w:cs="宋体"/>
          <w:color w:val="auto"/>
          <w:highlight w:val="none"/>
        </w:rPr>
        <w:t>中标供应商的投标保证金在与采购人签订了采购合同后5个工作日内无息退还，未中标投标供应商的投标保证金将在中标通知书发出后5个工作日内无息退还。</w:t>
      </w:r>
    </w:p>
    <w:p w14:paraId="44D38F94">
      <w:pPr>
        <w:numPr>
          <w:ilvl w:val="1"/>
          <w:numId w:val="6"/>
        </w:numPr>
        <w:snapToGrid w:val="0"/>
        <w:spacing w:line="360" w:lineRule="auto"/>
        <w:ind w:left="837" w:leftChars="0" w:hanging="837" w:hangingChars="399"/>
        <w:rPr>
          <w:rFonts w:hint="eastAsia" w:ascii="宋体" w:hAnsi="宋体" w:eastAsia="宋体" w:cs="宋体"/>
          <w:color w:val="auto"/>
          <w:highlight w:val="none"/>
        </w:rPr>
      </w:pPr>
      <w:r>
        <w:rPr>
          <w:rFonts w:hint="eastAsia" w:ascii="宋体" w:hAnsi="宋体" w:eastAsia="宋体" w:cs="宋体"/>
          <w:color w:val="auto"/>
          <w:highlight w:val="none"/>
        </w:rPr>
        <w:t>▲ 发生下列情况之一，投标保证金将不予退还：</w:t>
      </w:r>
    </w:p>
    <w:p w14:paraId="2A88931B">
      <w:pPr>
        <w:tabs>
          <w:tab w:val="left" w:pos="851"/>
          <w:tab w:val="left" w:pos="1470"/>
        </w:tabs>
        <w:snapToGrid w:val="0"/>
        <w:spacing w:line="360" w:lineRule="auto"/>
        <w:ind w:firstLine="840" w:firstLineChars="400"/>
        <w:jc w:val="both"/>
        <w:rPr>
          <w:rFonts w:hint="eastAsia" w:ascii="宋体" w:hAnsi="宋体" w:eastAsia="宋体" w:cs="宋体"/>
          <w:color w:val="auto"/>
          <w:highlight w:val="none"/>
        </w:rPr>
      </w:pPr>
      <w:r>
        <w:rPr>
          <w:rFonts w:hint="eastAsia" w:ascii="宋体" w:hAnsi="宋体" w:eastAsia="宋体" w:cs="宋体"/>
          <w:color w:val="auto"/>
          <w:highlight w:val="none"/>
        </w:rPr>
        <w:t>（1） 投标供应商在招标文件规定的投标有效期内撤回投标；</w:t>
      </w:r>
    </w:p>
    <w:p w14:paraId="568153E5">
      <w:pPr>
        <w:tabs>
          <w:tab w:val="left" w:pos="851"/>
          <w:tab w:val="left" w:pos="1470"/>
        </w:tabs>
        <w:snapToGrid w:val="0"/>
        <w:spacing w:line="360" w:lineRule="auto"/>
        <w:ind w:firstLine="840" w:firstLineChars="400"/>
        <w:jc w:val="both"/>
        <w:rPr>
          <w:rFonts w:hint="eastAsia" w:ascii="宋体" w:hAnsi="宋体" w:eastAsia="宋体" w:cs="宋体"/>
          <w:color w:val="auto"/>
          <w:highlight w:val="none"/>
        </w:rPr>
      </w:pPr>
      <w:r>
        <w:rPr>
          <w:rFonts w:hint="eastAsia" w:ascii="宋体" w:hAnsi="宋体" w:eastAsia="宋体" w:cs="宋体"/>
          <w:color w:val="auto"/>
          <w:highlight w:val="none"/>
        </w:rPr>
        <w:t>（2） 中标供应商未按中标通知书中规定的时间与采购人签订合同；</w:t>
      </w:r>
    </w:p>
    <w:p w14:paraId="217D9C79">
      <w:pPr>
        <w:tabs>
          <w:tab w:val="left" w:pos="851"/>
          <w:tab w:val="left" w:pos="1470"/>
        </w:tabs>
        <w:snapToGrid w:val="0"/>
        <w:spacing w:line="360" w:lineRule="auto"/>
        <w:ind w:firstLine="840" w:firstLineChars="400"/>
        <w:jc w:val="both"/>
        <w:rPr>
          <w:rFonts w:hint="eastAsia" w:ascii="宋体" w:hAnsi="宋体" w:eastAsia="宋体" w:cs="宋体"/>
          <w:color w:val="auto"/>
          <w:highlight w:val="none"/>
        </w:rPr>
      </w:pPr>
      <w:r>
        <w:rPr>
          <w:rFonts w:hint="eastAsia" w:ascii="宋体" w:hAnsi="宋体" w:eastAsia="宋体" w:cs="宋体"/>
          <w:color w:val="auto"/>
          <w:highlight w:val="none"/>
        </w:rPr>
        <w:t>（3） 中标供应商在规定期限内未能根据招标文件要求提供履约保证金；</w:t>
      </w:r>
    </w:p>
    <w:p w14:paraId="4B0CF117">
      <w:pPr>
        <w:tabs>
          <w:tab w:val="left" w:pos="851"/>
          <w:tab w:val="left" w:pos="1470"/>
        </w:tabs>
        <w:snapToGrid w:val="0"/>
        <w:spacing w:line="360" w:lineRule="auto"/>
        <w:ind w:firstLine="840" w:firstLineChars="400"/>
        <w:jc w:val="both"/>
        <w:rPr>
          <w:rFonts w:hint="eastAsia" w:ascii="宋体" w:hAnsi="宋体" w:eastAsia="宋体" w:cs="宋体"/>
          <w:color w:val="auto"/>
          <w:highlight w:val="none"/>
        </w:rPr>
      </w:pPr>
      <w:r>
        <w:rPr>
          <w:rFonts w:hint="eastAsia" w:ascii="宋体" w:hAnsi="宋体" w:eastAsia="宋体" w:cs="宋体"/>
          <w:color w:val="auto"/>
          <w:highlight w:val="none"/>
        </w:rPr>
        <w:t>（4） 投标供应商在投标时提供虚假材料或虚假承诺，经评标委员会确认属实的；</w:t>
      </w:r>
    </w:p>
    <w:p w14:paraId="05E03475">
      <w:pPr>
        <w:tabs>
          <w:tab w:val="left" w:pos="851"/>
          <w:tab w:val="left" w:pos="1470"/>
        </w:tabs>
        <w:snapToGrid w:val="0"/>
        <w:spacing w:line="360" w:lineRule="auto"/>
        <w:ind w:firstLine="840" w:firstLineChars="400"/>
        <w:jc w:val="both"/>
        <w:rPr>
          <w:rFonts w:hint="eastAsia" w:ascii="宋体" w:hAnsi="宋体" w:eastAsia="宋体" w:cs="宋体"/>
          <w:color w:val="auto"/>
          <w:highlight w:val="none"/>
        </w:rPr>
      </w:pPr>
      <w:r>
        <w:rPr>
          <w:rFonts w:hint="eastAsia" w:ascii="宋体" w:hAnsi="宋体" w:eastAsia="宋体" w:cs="宋体"/>
          <w:color w:val="auto"/>
          <w:highlight w:val="none"/>
        </w:rPr>
        <w:t>（5） 经查实，投标供应商在本次采购活动中存在违法违规行为，或法律法规规定的其他</w:t>
      </w:r>
    </w:p>
    <w:p w14:paraId="6B1B81C4">
      <w:pPr>
        <w:tabs>
          <w:tab w:val="left" w:pos="851"/>
          <w:tab w:val="left" w:pos="1470"/>
        </w:tabs>
        <w:snapToGrid w:val="0"/>
        <w:spacing w:line="360" w:lineRule="auto"/>
        <w:ind w:firstLine="840" w:firstLineChars="400"/>
        <w:jc w:val="both"/>
        <w:rPr>
          <w:rFonts w:hint="eastAsia" w:ascii="宋体" w:hAnsi="宋体" w:eastAsia="宋体" w:cs="宋体"/>
          <w:b/>
          <w:color w:val="auto"/>
          <w:highlight w:val="none"/>
        </w:rPr>
      </w:pPr>
      <w:r>
        <w:rPr>
          <w:rFonts w:hint="eastAsia" w:ascii="宋体" w:hAnsi="宋体" w:eastAsia="宋体" w:cs="宋体"/>
          <w:color w:val="auto"/>
          <w:highlight w:val="none"/>
        </w:rPr>
        <w:t>条件。</w:t>
      </w:r>
    </w:p>
    <w:p w14:paraId="0720D46F">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投标有效期</w:t>
      </w:r>
    </w:p>
    <w:p w14:paraId="7BF5466B">
      <w:pPr>
        <w:numPr>
          <w:ilvl w:val="1"/>
          <w:numId w:val="6"/>
        </w:numPr>
        <w:tabs>
          <w:tab w:val="left" w:pos="592"/>
        </w:tabs>
        <w:snapToGrid w:val="0"/>
        <w:spacing w:line="360" w:lineRule="auto"/>
        <w:ind w:left="588" w:hanging="590" w:hangingChars="280"/>
        <w:rPr>
          <w:rFonts w:hint="eastAsia" w:ascii="宋体" w:hAnsi="宋体" w:eastAsia="宋体" w:cs="宋体"/>
          <w:color w:val="auto"/>
          <w:highlight w:val="none"/>
        </w:rPr>
      </w:pPr>
      <w:r>
        <w:rPr>
          <w:rFonts w:hint="eastAsia" w:ascii="宋体" w:hAnsi="宋体" w:eastAsia="宋体" w:cs="宋体"/>
          <w:b/>
          <w:color w:val="auto"/>
          <w:sz w:val="21"/>
          <w:szCs w:val="21"/>
          <w:highlight w:val="none"/>
          <w:u w:val="single"/>
        </w:rPr>
        <w:t>▲投标有效期见投标供应商须知前附表，投标文件有效期短于这个规定期限的将被拒绝。</w:t>
      </w:r>
    </w:p>
    <w:p w14:paraId="6EDF5DD3">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sz w:val="21"/>
          <w:szCs w:val="21"/>
          <w:highlight w:val="none"/>
        </w:rPr>
        <w:t>在投标供应商须知前附表规定的投标有效期内，投标供应商不得要求撤销或修改其投标文件</w:t>
      </w:r>
      <w:r>
        <w:rPr>
          <w:rFonts w:hint="eastAsia" w:ascii="宋体" w:hAnsi="宋体" w:eastAsia="宋体" w:cs="宋体"/>
          <w:color w:val="auto"/>
          <w:highlight w:val="none"/>
        </w:rPr>
        <w:t>。</w:t>
      </w:r>
    </w:p>
    <w:p w14:paraId="0C674DED">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sz w:val="21"/>
          <w:szCs w:val="21"/>
          <w:highlight w:val="none"/>
        </w:rPr>
        <w:t>特殊情况下，在原投标有效期截止前，采购人可与投标供应商协商延长投标有效期，这种要求和答复均以书面形式进行。投标供应商可拒绝接受延期要求，而不会导致投标保证金不予退还。同意延长投标有效期的投标供应商不得修改投标文件。有关退还和不予退还投标保证金的规定在投标有效期的延长期内继续有效</w:t>
      </w:r>
      <w:r>
        <w:rPr>
          <w:rFonts w:hint="eastAsia" w:ascii="宋体" w:hAnsi="宋体" w:eastAsia="宋体" w:cs="宋体"/>
          <w:color w:val="auto"/>
          <w:sz w:val="21"/>
          <w:szCs w:val="21"/>
          <w:highlight w:val="none"/>
          <w:lang w:eastAsia="zh-CN"/>
        </w:rPr>
        <w:t>。</w:t>
      </w:r>
    </w:p>
    <w:p w14:paraId="293FF225">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投标文件的式样和签署</w:t>
      </w:r>
    </w:p>
    <w:p w14:paraId="497DD14F">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投标供应商准备“电子加密投标文件”在线上传递交一份，“电子加密投标文件”分为“资格审查文件”、“商务技术文件”和“报价文件”三个类别。投标供应商应按</w:t>
      </w:r>
      <w:r>
        <w:rPr>
          <w:rFonts w:hint="eastAsia" w:ascii="宋体" w:hAnsi="宋体" w:eastAsia="宋体" w:cs="宋体"/>
          <w:color w:val="auto"/>
          <w:highlight w:val="none"/>
          <w:lang w:val="en-US" w:eastAsia="zh-CN"/>
        </w:rPr>
        <w:t>乐</w:t>
      </w:r>
      <w:r>
        <w:rPr>
          <w:rFonts w:hint="eastAsia" w:ascii="宋体" w:hAnsi="宋体" w:eastAsia="宋体" w:cs="宋体"/>
          <w:color w:val="auto"/>
          <w:highlight w:val="none"/>
        </w:rPr>
        <w:t>采云平台供应商项目采购-电子招投标操作指南</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"https://help.zcy.gov.cn/web/site_2/2018/12-28/2573.html）及本采购文件要求制作"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及本</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要求制作</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。“备份投标文件”</w:t>
      </w:r>
      <w:r>
        <w:rPr>
          <w:rFonts w:hint="eastAsia" w:ascii="宋体" w:hAnsi="宋体" w:eastAsia="宋体" w:cs="宋体"/>
          <w:color w:val="auto"/>
          <w:highlight w:val="none"/>
          <w:lang w:eastAsia="zh-CN"/>
        </w:rPr>
        <w:t>（如有）</w:t>
      </w:r>
      <w:r>
        <w:rPr>
          <w:rFonts w:hint="eastAsia" w:ascii="宋体" w:hAnsi="宋体" w:eastAsia="宋体" w:cs="宋体"/>
          <w:color w:val="auto"/>
          <w:highlight w:val="none"/>
        </w:rPr>
        <w:t>：</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"mailto:按政采云平台项目采购-电子招投标操作指南制作备份投标文件（后缀名为.bfbs），在开标时间后15分钟内以电子邮件形式递交至采购代理机构邮箱（103874679@qq.com）。"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投标截止时间前以压缩文件形式加密发送至</w:t>
      </w:r>
      <w:r>
        <w:rPr>
          <w:rFonts w:hint="eastAsia" w:ascii="宋体" w:hAnsi="宋体" w:eastAsia="宋体" w:cs="宋体"/>
          <w:color w:val="auto"/>
          <w:highlight w:val="none"/>
          <w:lang w:eastAsia="zh-CN"/>
        </w:rPr>
        <w:t>招标代理机构</w:t>
      </w:r>
      <w:r>
        <w:rPr>
          <w:rFonts w:hint="eastAsia" w:ascii="宋体" w:hAnsi="宋体" w:eastAsia="宋体" w:cs="宋体"/>
          <w:color w:val="auto"/>
          <w:highlight w:val="none"/>
        </w:rPr>
        <w:t>邮箱</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，并在</w:t>
      </w:r>
      <w:r>
        <w:rPr>
          <w:rFonts w:hint="eastAsia" w:ascii="宋体" w:hAnsi="宋体" w:eastAsia="宋体" w:cs="宋体"/>
          <w:color w:val="auto"/>
          <w:highlight w:val="none"/>
          <w:lang w:val="zh-CN"/>
        </w:rPr>
        <w:t>接到在线解密通知后</w:t>
      </w:r>
      <w:r>
        <w:rPr>
          <w:rFonts w:hint="eastAsia" w:ascii="宋体" w:hAnsi="宋体" w:eastAsia="宋体" w:cs="宋体"/>
          <w:color w:val="auto"/>
          <w:highlight w:val="none"/>
        </w:rPr>
        <w:t>30分钟</w:t>
      </w:r>
      <w:r>
        <w:rPr>
          <w:rFonts w:hint="eastAsia" w:ascii="宋体" w:hAnsi="宋体" w:eastAsia="宋体" w:cs="宋体"/>
          <w:color w:val="auto"/>
          <w:highlight w:val="none"/>
          <w:lang w:val="zh-CN"/>
        </w:rPr>
        <w:t>内发送压缩文件密码至</w:t>
      </w:r>
      <w:r>
        <w:rPr>
          <w:rFonts w:hint="eastAsia" w:ascii="宋体" w:hAnsi="宋体" w:eastAsia="宋体" w:cs="宋体"/>
          <w:color w:val="auto"/>
          <w:highlight w:val="none"/>
          <w:lang w:eastAsia="zh-CN"/>
        </w:rPr>
        <w:t>招标代理机构</w:t>
      </w:r>
      <w:r>
        <w:rPr>
          <w:rFonts w:hint="eastAsia" w:ascii="宋体" w:hAnsi="宋体" w:eastAsia="宋体" w:cs="宋体"/>
          <w:color w:val="auto"/>
          <w:highlight w:val="none"/>
        </w:rPr>
        <w:t>邮箱（邮箱号码：</w:t>
      </w:r>
      <w:r>
        <w:rPr>
          <w:rFonts w:hint="eastAsia" w:ascii="宋体" w:hAnsi="宋体" w:eastAsia="宋体" w:cs="宋体"/>
          <w:color w:val="auto"/>
          <w:highlight w:val="none"/>
          <w:lang w:val="zh-CN"/>
        </w:rPr>
        <w:fldChar w:fldCharType="begin"/>
      </w:r>
      <w:r>
        <w:rPr>
          <w:rFonts w:hint="eastAsia" w:ascii="宋体" w:hAnsi="宋体" w:eastAsia="宋体" w:cs="宋体"/>
          <w:color w:val="auto"/>
          <w:highlight w:val="none"/>
          <w:lang w:val="zh-CN"/>
        </w:rPr>
        <w:instrText xml:space="preserve"> HYPERLINK "mailto:103874679@qq.com）。" </w:instrText>
      </w:r>
      <w:r>
        <w:rPr>
          <w:rFonts w:hint="eastAsia" w:ascii="宋体" w:hAnsi="宋体" w:eastAsia="宋体" w:cs="宋体"/>
          <w:color w:val="auto"/>
          <w:highlight w:val="none"/>
          <w:lang w:val="zh-CN"/>
        </w:rPr>
        <w:fldChar w:fldCharType="separate"/>
      </w:r>
      <w:r>
        <w:rPr>
          <w:rFonts w:hint="eastAsia" w:ascii="宋体" w:hAnsi="宋体" w:eastAsia="宋体" w:cs="宋体"/>
          <w:color w:val="auto"/>
          <w:highlight w:val="none"/>
          <w:lang w:val="en-US" w:eastAsia="zh-CN"/>
        </w:rPr>
        <w:t>1589009783@qq.com</w:t>
      </w:r>
      <w:r>
        <w:rPr>
          <w:rFonts w:hint="eastAsia" w:ascii="宋体" w:hAnsi="宋体" w:eastAsia="宋体" w:cs="宋体"/>
          <w:color w:val="auto"/>
          <w:highlight w:val="none"/>
          <w:lang w:val="zh-CN"/>
        </w:rPr>
        <w:t>）</w:t>
      </w:r>
      <w:r>
        <w:rPr>
          <w:rFonts w:hint="eastAsia" w:ascii="宋体" w:hAnsi="宋体" w:eastAsia="宋体" w:cs="宋体"/>
          <w:color w:val="auto"/>
          <w:highlight w:val="none"/>
          <w:lang w:val="zh-CN"/>
        </w:rPr>
        <w:fldChar w:fldCharType="end"/>
      </w:r>
      <w:r>
        <w:rPr>
          <w:rFonts w:hint="eastAsia" w:ascii="宋体" w:hAnsi="宋体" w:eastAsia="宋体" w:cs="宋体"/>
          <w:color w:val="auto"/>
          <w:highlight w:val="none"/>
        </w:rPr>
        <w:t>。</w:t>
      </w:r>
    </w:p>
    <w:p w14:paraId="056E5505">
      <w:pPr>
        <w:numPr>
          <w:ilvl w:val="1"/>
          <w:numId w:val="6"/>
        </w:numPr>
        <w:tabs>
          <w:tab w:val="left" w:pos="592"/>
        </w:tabs>
        <w:snapToGrid w:val="0"/>
        <w:spacing w:line="360" w:lineRule="auto"/>
        <w:ind w:left="588" w:hanging="588" w:hangingChars="280"/>
        <w:rPr>
          <w:rFonts w:hint="eastAsia" w:ascii="宋体" w:hAnsi="宋体" w:eastAsia="宋体" w:cs="宋体"/>
          <w:color w:val="auto"/>
          <w:szCs w:val="21"/>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u w:val="wave"/>
        </w:rPr>
        <w:t>投标文件中所涉及的公章必须是</w:t>
      </w:r>
      <w:r>
        <w:rPr>
          <w:rFonts w:hint="eastAsia" w:ascii="宋体" w:hAnsi="宋体" w:eastAsia="宋体" w:cs="宋体"/>
          <w:color w:val="auto"/>
          <w:highlight w:val="none"/>
          <w:u w:val="wave"/>
          <w:lang w:eastAsia="zh-CN"/>
        </w:rPr>
        <w:t>投标供应商</w:t>
      </w:r>
      <w:r>
        <w:rPr>
          <w:rFonts w:hint="eastAsia" w:ascii="宋体" w:hAnsi="宋体" w:eastAsia="宋体" w:cs="宋体"/>
          <w:color w:val="auto"/>
          <w:highlight w:val="none"/>
          <w:u w:val="wave"/>
        </w:rPr>
        <w:t>全称的</w:t>
      </w:r>
      <w:r>
        <w:rPr>
          <w:rFonts w:hint="eastAsia" w:ascii="宋体" w:hAnsi="宋体" w:eastAsia="宋体" w:cs="宋体"/>
          <w:color w:val="auto"/>
          <w:highlight w:val="none"/>
          <w:u w:val="wave"/>
          <w:lang w:eastAsia="zh-CN"/>
        </w:rPr>
        <w:t>公章或</w:t>
      </w:r>
      <w:r>
        <w:rPr>
          <w:rFonts w:hint="eastAsia" w:ascii="宋体" w:hAnsi="宋体" w:eastAsia="宋体" w:cs="宋体"/>
          <w:color w:val="auto"/>
          <w:highlight w:val="none"/>
          <w:u w:val="wave"/>
          <w:lang w:val="en-US" w:eastAsia="zh-CN"/>
        </w:rPr>
        <w:t>电子签</w:t>
      </w:r>
      <w:r>
        <w:rPr>
          <w:rFonts w:hint="eastAsia" w:ascii="宋体" w:hAnsi="宋体" w:eastAsia="宋体" w:cs="宋体"/>
          <w:color w:val="auto"/>
          <w:highlight w:val="none"/>
          <w:u w:val="wave"/>
        </w:rPr>
        <w:t>章，不得使用投标专用章、合同章等类似图章代替</w:t>
      </w:r>
      <w:r>
        <w:rPr>
          <w:rFonts w:hint="eastAsia" w:ascii="宋体" w:hAnsi="宋体" w:eastAsia="宋体" w:cs="宋体"/>
          <w:color w:val="auto"/>
          <w:highlight w:val="none"/>
          <w:u w:val="wave"/>
          <w:lang w:eastAsia="zh-CN"/>
        </w:rPr>
        <w:t>。</w:t>
      </w:r>
    </w:p>
    <w:p w14:paraId="47D0FA2A">
      <w:pPr>
        <w:numPr>
          <w:ilvl w:val="1"/>
          <w:numId w:val="6"/>
        </w:numPr>
        <w:tabs>
          <w:tab w:val="left" w:pos="640"/>
          <w:tab w:val="clear" w:pos="1003"/>
        </w:tabs>
        <w:snapToGrid w:val="0"/>
        <w:spacing w:line="360" w:lineRule="auto"/>
        <w:ind w:left="580" w:hanging="579" w:hangingChars="276"/>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u w:val="wave"/>
        </w:rPr>
        <w:t>传真和电传的投标文件将被否决</w:t>
      </w:r>
      <w:r>
        <w:rPr>
          <w:rFonts w:hint="eastAsia" w:ascii="宋体" w:hAnsi="宋体" w:eastAsia="宋体" w:cs="宋体"/>
          <w:color w:val="auto"/>
          <w:highlight w:val="none"/>
        </w:rPr>
        <w:t>。</w:t>
      </w:r>
    </w:p>
    <w:p w14:paraId="5683BA0B">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投标文件不得涂改和增删，如有修改错漏处，必须由同一签署人签字或盖章。</w:t>
      </w:r>
    </w:p>
    <w:p w14:paraId="658700CA">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投标文件因字迹潦草或表达不清所引起的后果由</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负责。</w:t>
      </w:r>
    </w:p>
    <w:p w14:paraId="43E09570">
      <w:pPr>
        <w:keepNext w:val="0"/>
        <w:keepLines w:val="0"/>
        <w:pageBreakBefore w:val="0"/>
        <w:numPr>
          <w:ilvl w:val="0"/>
          <w:numId w:val="6"/>
        </w:numPr>
        <w:kinsoku/>
        <w:wordWrap/>
        <w:overflowPunct/>
        <w:topLinePunct w:val="0"/>
        <w:bidi w:val="0"/>
        <w:snapToGrid w:val="0"/>
        <w:spacing w:line="360" w:lineRule="auto"/>
        <w:ind w:left="841" w:hanging="841" w:hangingChars="399"/>
        <w:textAlignment w:val="auto"/>
        <w:rPr>
          <w:rFonts w:hint="eastAsia" w:ascii="宋体" w:hAnsi="宋体" w:eastAsia="宋体" w:cs="宋体"/>
          <w:b/>
          <w:color w:val="auto"/>
          <w:highlight w:val="none"/>
        </w:rPr>
      </w:pPr>
      <w:bookmarkStart w:id="55" w:name="_Toc22658"/>
      <w:bookmarkStart w:id="56" w:name="_Toc4616"/>
      <w:bookmarkStart w:id="57" w:name="_Toc495977857"/>
      <w:r>
        <w:rPr>
          <w:rFonts w:hint="eastAsia" w:ascii="宋体" w:hAnsi="宋体" w:eastAsia="宋体" w:cs="宋体"/>
          <w:b/>
          <w:color w:val="auto"/>
          <w:highlight w:val="none"/>
        </w:rPr>
        <w:t>知识产权</w:t>
      </w:r>
    </w:p>
    <w:p w14:paraId="3821F55F">
      <w:pPr>
        <w:keepNext w:val="0"/>
        <w:keepLines w:val="0"/>
        <w:pageBreakBefore w:val="0"/>
        <w:numPr>
          <w:ilvl w:val="1"/>
          <w:numId w:val="6"/>
        </w:numPr>
        <w:tabs>
          <w:tab w:val="left" w:pos="592"/>
        </w:tabs>
        <w:kinsoku/>
        <w:wordWrap/>
        <w:overflowPunct/>
        <w:topLinePunct w:val="0"/>
        <w:bidi w:val="0"/>
        <w:snapToGrid w:val="0"/>
        <w:spacing w:line="360" w:lineRule="auto"/>
        <w:ind w:left="588" w:hanging="588" w:hangingChars="280"/>
        <w:textAlignment w:val="auto"/>
        <w:rPr>
          <w:rFonts w:hint="eastAsia" w:ascii="宋体" w:hAnsi="宋体" w:eastAsia="宋体" w:cs="宋体"/>
          <w:b/>
          <w:color w:val="auto"/>
          <w:sz w:val="24"/>
          <w:highlight w:val="none"/>
        </w:rPr>
      </w:pPr>
      <w:r>
        <w:rPr>
          <w:rFonts w:hint="eastAsia" w:ascii="宋体" w:hAnsi="宋体" w:eastAsia="宋体" w:cs="宋体"/>
          <w:color w:val="auto"/>
          <w:highlight w:val="none"/>
        </w:rPr>
        <w:t>投标报价应包括所有应支付的对专利权和</w:t>
      </w:r>
      <w:r>
        <w:rPr>
          <w:rFonts w:hint="eastAsia" w:ascii="宋体" w:hAnsi="宋体" w:eastAsia="宋体" w:cs="宋体"/>
          <w:color w:val="auto"/>
          <w:spacing w:val="-10"/>
          <w:highlight w:val="none"/>
        </w:rPr>
        <w:t>版权、设计或其他知识产权而需要向其他方支付的版税。</w:t>
      </w:r>
    </w:p>
    <w:p w14:paraId="231C70DF">
      <w:pPr>
        <w:keepNext w:val="0"/>
        <w:keepLines w:val="0"/>
        <w:pageBreakBefore w:val="0"/>
        <w:numPr>
          <w:ilvl w:val="0"/>
          <w:numId w:val="6"/>
        </w:numPr>
        <w:kinsoku/>
        <w:wordWrap/>
        <w:overflowPunct/>
        <w:topLinePunct w:val="0"/>
        <w:bidi w:val="0"/>
        <w:snapToGrid w:val="0"/>
        <w:spacing w:line="360" w:lineRule="auto"/>
        <w:ind w:left="841" w:hanging="841" w:hangingChars="399"/>
        <w:textAlignment w:val="auto"/>
        <w:rPr>
          <w:rFonts w:hint="eastAsia" w:ascii="宋体" w:hAnsi="宋体" w:eastAsia="宋体" w:cs="宋体"/>
          <w:b/>
          <w:color w:val="auto"/>
          <w:highlight w:val="none"/>
        </w:rPr>
      </w:pPr>
      <w:r>
        <w:rPr>
          <w:rFonts w:hint="eastAsia" w:ascii="宋体" w:hAnsi="宋体" w:eastAsia="宋体" w:cs="宋体"/>
          <w:b/>
          <w:color w:val="auto"/>
          <w:highlight w:val="none"/>
        </w:rPr>
        <w:t>串通投标行为</w:t>
      </w:r>
    </w:p>
    <w:p w14:paraId="62EC90FB">
      <w:pPr>
        <w:keepNext w:val="0"/>
        <w:keepLines w:val="0"/>
        <w:pageBreakBefore w:val="0"/>
        <w:numPr>
          <w:ilvl w:val="1"/>
          <w:numId w:val="6"/>
        </w:numPr>
        <w:tabs>
          <w:tab w:val="left" w:pos="592"/>
        </w:tabs>
        <w:kinsoku/>
        <w:wordWrap/>
        <w:overflowPunct/>
        <w:topLinePunct w:val="0"/>
        <w:bidi w:val="0"/>
        <w:snapToGrid w:val="0"/>
        <w:spacing w:line="360" w:lineRule="auto"/>
        <w:ind w:left="588" w:hanging="588" w:hangingChars="280"/>
        <w:textAlignment w:val="auto"/>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或招标采购单位有下列情形之一的，应按串通行为认定：</w:t>
      </w:r>
    </w:p>
    <w:p w14:paraId="024F9FC6">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不同</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 xml:space="preserve">的投标文件由同一单位或人员编制的； </w:t>
      </w:r>
    </w:p>
    <w:p w14:paraId="25895B65">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不同供应商委托同一单位或人员办理投标事宜的；</w:t>
      </w:r>
    </w:p>
    <w:p w14:paraId="54A4E62A">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不同</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 xml:space="preserve">的投标文件中的内容出现非正常的一致，或者报价细目呈明显规律性变化，或在完全可比的情况下投标总价均高于市场平均价的； </w:t>
      </w:r>
    </w:p>
    <w:p w14:paraId="2C82355B">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不同</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的投标文件载明的项目管理或实施人员出现同一单位的工作人员或同一人的；</w:t>
      </w:r>
    </w:p>
    <w:p w14:paraId="6710BDB7">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不同</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 xml:space="preserve">的授权代表为同一单位的工作人员的； </w:t>
      </w:r>
    </w:p>
    <w:p w14:paraId="67BD392A">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不同投标供应商的投标保证金从同一单位或者个人的账户转出</w:t>
      </w:r>
      <w:r>
        <w:rPr>
          <w:rFonts w:hint="eastAsia" w:ascii="宋体" w:hAnsi="宋体" w:eastAsia="宋体" w:cs="宋体"/>
          <w:color w:val="auto"/>
          <w:highlight w:val="none"/>
          <w:lang w:eastAsia="zh-CN"/>
        </w:rPr>
        <w:t>；</w:t>
      </w:r>
    </w:p>
    <w:p w14:paraId="57C9567A">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不同</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的投标文件相互混装，或在一个</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的投标文件内遗留有其他</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的签名、盖章等不属于本</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 xml:space="preserve">参加国企采购必需的信息资料的； </w:t>
      </w:r>
    </w:p>
    <w:p w14:paraId="1F6222E4">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采购响应截止时间后，招标采购单位协助</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 xml:space="preserve">撤换或更改投标文件的； </w:t>
      </w:r>
    </w:p>
    <w:p w14:paraId="72D0C98D">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招标采购单位泄露有意向参加国企采购的</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名称、数量等应当保密的事项的；</w:t>
      </w:r>
    </w:p>
    <w:p w14:paraId="023D7D8F">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不同</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之间私下达成书面或口头协议，指定一家</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中标或轮流中标的；</w:t>
      </w:r>
    </w:p>
    <w:p w14:paraId="6F7F4B68">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法律、法规或规章规定的其他串通行为。</w:t>
      </w:r>
    </w:p>
    <w:p w14:paraId="291B35A3">
      <w:pPr>
        <w:snapToGrid w:val="0"/>
        <w:rPr>
          <w:rFonts w:hint="eastAsia" w:ascii="宋体" w:hAnsi="宋体" w:eastAsia="宋体" w:cs="宋体"/>
          <w:color w:val="auto"/>
          <w:highlight w:val="none"/>
        </w:rPr>
      </w:pPr>
    </w:p>
    <w:p w14:paraId="79E19C53">
      <w:pPr>
        <w:keepNext w:val="0"/>
        <w:keepLines w:val="0"/>
        <w:pageBreakBefore w:val="0"/>
        <w:numPr>
          <w:ilvl w:val="0"/>
          <w:numId w:val="6"/>
        </w:numPr>
        <w:kinsoku/>
        <w:wordWrap/>
        <w:overflowPunct/>
        <w:topLinePunct w:val="0"/>
        <w:bidi w:val="0"/>
        <w:snapToGrid w:val="0"/>
        <w:spacing w:line="360" w:lineRule="auto"/>
        <w:ind w:left="841" w:hanging="841" w:hangingChars="399"/>
        <w:textAlignment w:val="auto"/>
        <w:rPr>
          <w:rFonts w:hint="eastAsia" w:ascii="宋体" w:hAnsi="宋体" w:eastAsia="宋体" w:cs="宋体"/>
          <w:b/>
          <w:color w:val="auto"/>
          <w:highlight w:val="none"/>
        </w:rPr>
      </w:pPr>
      <w:r>
        <w:rPr>
          <w:rFonts w:hint="eastAsia" w:ascii="宋体" w:hAnsi="宋体" w:eastAsia="宋体" w:cs="宋体"/>
          <w:b/>
          <w:color w:val="auto"/>
          <w:highlight w:val="none"/>
        </w:rPr>
        <w:t>出现以下情形，中止电子交易活动：</w:t>
      </w:r>
    </w:p>
    <w:p w14:paraId="166AF100">
      <w:pPr>
        <w:numPr>
          <w:ilvl w:val="0"/>
          <w:numId w:val="12"/>
        </w:numPr>
        <w:tabs>
          <w:tab w:val="left" w:pos="1480"/>
        </w:tabs>
        <w:snapToGrid w:val="0"/>
        <w:spacing w:line="400" w:lineRule="atLeast"/>
        <w:ind w:left="1478" w:leftChars="306" w:hanging="835" w:hangingChars="398"/>
        <w:jc w:val="both"/>
        <w:rPr>
          <w:rFonts w:hint="eastAsia" w:ascii="宋体" w:hAnsi="宋体" w:eastAsia="宋体" w:cs="宋体"/>
          <w:color w:val="auto"/>
          <w:szCs w:val="22"/>
          <w:highlight w:val="none"/>
        </w:rPr>
      </w:pPr>
      <w:r>
        <w:rPr>
          <w:rFonts w:hint="eastAsia" w:ascii="宋体" w:hAnsi="宋体" w:eastAsia="宋体" w:cs="宋体"/>
          <w:color w:val="auto"/>
          <w:szCs w:val="22"/>
          <w:highlight w:val="none"/>
        </w:rPr>
        <w:t>电子交易平台发生故障而无法登录访问的；</w:t>
      </w:r>
    </w:p>
    <w:p w14:paraId="207BAB84">
      <w:pPr>
        <w:numPr>
          <w:ilvl w:val="0"/>
          <w:numId w:val="12"/>
        </w:numPr>
        <w:tabs>
          <w:tab w:val="left" w:pos="1480"/>
        </w:tabs>
        <w:snapToGrid w:val="0"/>
        <w:spacing w:line="400" w:lineRule="atLeast"/>
        <w:ind w:left="1478" w:leftChars="306" w:hanging="835" w:hangingChars="398"/>
        <w:jc w:val="both"/>
        <w:rPr>
          <w:rFonts w:hint="eastAsia" w:ascii="宋体" w:hAnsi="宋体" w:eastAsia="宋体" w:cs="宋体"/>
          <w:color w:val="auto"/>
          <w:szCs w:val="22"/>
          <w:highlight w:val="none"/>
        </w:rPr>
      </w:pPr>
      <w:r>
        <w:rPr>
          <w:rFonts w:hint="eastAsia" w:ascii="宋体" w:hAnsi="宋体" w:eastAsia="宋体" w:cs="宋体"/>
          <w:color w:val="auto"/>
          <w:szCs w:val="22"/>
          <w:highlight w:val="none"/>
        </w:rPr>
        <w:t>电子交易平台应用或数据库出现错误，不能进行正常操作的；</w:t>
      </w:r>
    </w:p>
    <w:p w14:paraId="75B18C5B">
      <w:pPr>
        <w:numPr>
          <w:ilvl w:val="0"/>
          <w:numId w:val="12"/>
        </w:numPr>
        <w:tabs>
          <w:tab w:val="left" w:pos="1480"/>
        </w:tabs>
        <w:snapToGrid w:val="0"/>
        <w:spacing w:line="400" w:lineRule="atLeast"/>
        <w:ind w:left="1478" w:leftChars="306" w:hanging="835" w:hangingChars="398"/>
        <w:jc w:val="both"/>
        <w:rPr>
          <w:rFonts w:hint="eastAsia" w:ascii="宋体" w:hAnsi="宋体" w:eastAsia="宋体" w:cs="宋体"/>
          <w:color w:val="auto"/>
          <w:szCs w:val="22"/>
          <w:highlight w:val="none"/>
        </w:rPr>
      </w:pPr>
      <w:r>
        <w:rPr>
          <w:rFonts w:hint="eastAsia" w:ascii="宋体" w:hAnsi="宋体" w:eastAsia="宋体" w:cs="宋体"/>
          <w:color w:val="auto"/>
          <w:szCs w:val="22"/>
          <w:highlight w:val="none"/>
        </w:rPr>
        <w:t>电子交易平台发现严重安全漏洞，有潜在泄密危险的；</w:t>
      </w:r>
    </w:p>
    <w:p w14:paraId="4A9765AC">
      <w:pPr>
        <w:numPr>
          <w:ilvl w:val="0"/>
          <w:numId w:val="12"/>
        </w:numPr>
        <w:tabs>
          <w:tab w:val="left" w:pos="1480"/>
        </w:tabs>
        <w:snapToGrid w:val="0"/>
        <w:spacing w:line="400" w:lineRule="atLeast"/>
        <w:ind w:left="1478" w:leftChars="306" w:hanging="835" w:hangingChars="398"/>
        <w:jc w:val="both"/>
        <w:rPr>
          <w:rFonts w:hint="eastAsia" w:ascii="宋体" w:hAnsi="宋体" w:eastAsia="宋体" w:cs="宋体"/>
          <w:color w:val="auto"/>
          <w:szCs w:val="22"/>
          <w:highlight w:val="none"/>
        </w:rPr>
      </w:pPr>
      <w:r>
        <w:rPr>
          <w:rFonts w:hint="eastAsia" w:ascii="宋体" w:hAnsi="宋体" w:eastAsia="宋体" w:cs="宋体"/>
          <w:color w:val="auto"/>
          <w:szCs w:val="22"/>
          <w:highlight w:val="none"/>
        </w:rPr>
        <w:t>病毒发作导致不能进行正常操作的；</w:t>
      </w:r>
    </w:p>
    <w:p w14:paraId="7E24D11B">
      <w:pPr>
        <w:numPr>
          <w:ilvl w:val="0"/>
          <w:numId w:val="12"/>
        </w:numPr>
        <w:tabs>
          <w:tab w:val="left" w:pos="1480"/>
        </w:tabs>
        <w:snapToGrid w:val="0"/>
        <w:spacing w:line="400" w:lineRule="atLeast"/>
        <w:ind w:left="1478" w:leftChars="306" w:hanging="835" w:hangingChars="398"/>
        <w:jc w:val="both"/>
        <w:rPr>
          <w:rFonts w:hint="eastAsia" w:ascii="宋体" w:hAnsi="宋体" w:eastAsia="宋体" w:cs="宋体"/>
          <w:color w:val="auto"/>
          <w:szCs w:val="22"/>
          <w:highlight w:val="none"/>
        </w:rPr>
      </w:pPr>
      <w:r>
        <w:rPr>
          <w:rFonts w:hint="eastAsia" w:ascii="宋体" w:hAnsi="宋体" w:eastAsia="宋体" w:cs="宋体"/>
          <w:color w:val="auto"/>
          <w:szCs w:val="22"/>
          <w:highlight w:val="none"/>
        </w:rPr>
        <w:t>其他无法保证电子交易的公平、公正和安全的情况。</w:t>
      </w:r>
    </w:p>
    <w:p w14:paraId="250AE9BB">
      <w:pPr>
        <w:snapToGrid w:val="0"/>
        <w:spacing w:line="420" w:lineRule="exact"/>
        <w:ind w:firstLine="422" w:firstLineChars="200"/>
        <w:jc w:val="both"/>
        <w:rPr>
          <w:rFonts w:hint="eastAsia" w:ascii="宋体" w:hAnsi="宋体" w:eastAsia="宋体" w:cs="宋体"/>
          <w:b/>
          <w:bCs/>
          <w:color w:val="auto"/>
          <w:sz w:val="28"/>
          <w:highlight w:val="none"/>
        </w:rPr>
      </w:pPr>
      <w:r>
        <w:rPr>
          <w:rFonts w:hint="eastAsia" w:ascii="宋体" w:hAnsi="宋体" w:eastAsia="宋体" w:cs="宋体"/>
          <w:b/>
          <w:bCs/>
          <w:color w:val="auto"/>
          <w:szCs w:val="21"/>
          <w:highlight w:val="none"/>
        </w:rPr>
        <w:t>出现上述情形，不影响采购公平、公正性的，采购组织机构可以待上述情形消除后继续组织电子交易活动；影响或可能影响采购公平、公正性的，重新采购。</w:t>
      </w:r>
    </w:p>
    <w:p w14:paraId="768F0C4B">
      <w:pPr>
        <w:spacing w:line="360" w:lineRule="auto"/>
        <w:jc w:val="center"/>
        <w:outlineLvl w:val="1"/>
        <w:rPr>
          <w:rFonts w:hint="eastAsia" w:ascii="宋体" w:hAnsi="宋体" w:eastAsia="宋体" w:cs="宋体"/>
          <w:b/>
          <w:bCs/>
          <w:color w:val="auto"/>
          <w:sz w:val="28"/>
          <w:highlight w:val="none"/>
        </w:rPr>
      </w:pPr>
      <w:bookmarkStart w:id="58" w:name="_Toc26132"/>
      <w:r>
        <w:rPr>
          <w:rFonts w:hint="eastAsia" w:ascii="宋体" w:hAnsi="宋体" w:eastAsia="宋体" w:cs="宋体"/>
          <w:b/>
          <w:bCs/>
          <w:color w:val="auto"/>
          <w:sz w:val="28"/>
          <w:highlight w:val="none"/>
        </w:rPr>
        <w:t>（五）投标文件的递交</w:t>
      </w:r>
      <w:bookmarkEnd w:id="55"/>
      <w:bookmarkEnd w:id="56"/>
      <w:bookmarkEnd w:id="57"/>
      <w:bookmarkEnd w:id="58"/>
    </w:p>
    <w:p w14:paraId="06C1E911">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投标截止时间</w:t>
      </w:r>
    </w:p>
    <w:p w14:paraId="1E94DF2D">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本次招标的投标截止时间及投标文件递交截止时间：见本招标文件“</w:t>
      </w:r>
      <w:r>
        <w:rPr>
          <w:rFonts w:hint="eastAsia" w:ascii="宋体" w:hAnsi="宋体" w:eastAsia="宋体" w:cs="宋体"/>
          <w:color w:val="auto"/>
          <w:kern w:val="28"/>
          <w:highlight w:val="none"/>
          <w:lang w:eastAsia="zh-CN"/>
        </w:rPr>
        <w:t>采购公告</w:t>
      </w:r>
      <w:r>
        <w:rPr>
          <w:rFonts w:hint="eastAsia" w:ascii="宋体" w:hAnsi="宋体" w:eastAsia="宋体" w:cs="宋体"/>
          <w:color w:val="auto"/>
          <w:kern w:val="28"/>
          <w:highlight w:val="none"/>
        </w:rPr>
        <w:t>”</w:t>
      </w:r>
      <w:r>
        <w:rPr>
          <w:rFonts w:hint="eastAsia" w:ascii="宋体" w:hAnsi="宋体" w:eastAsia="宋体" w:cs="宋体"/>
          <w:color w:val="auto"/>
          <w:highlight w:val="none"/>
        </w:rPr>
        <w:t>。</w:t>
      </w:r>
    </w:p>
    <w:p w14:paraId="168F366C">
      <w:pPr>
        <w:numPr>
          <w:ilvl w:val="1"/>
          <w:numId w:val="6"/>
        </w:numPr>
        <w:tabs>
          <w:tab w:val="left" w:pos="592"/>
        </w:tabs>
        <w:snapToGrid w:val="0"/>
        <w:spacing w:line="360" w:lineRule="auto"/>
        <w:ind w:left="588" w:hanging="588" w:hangingChars="280"/>
        <w:rPr>
          <w:rFonts w:hint="eastAsia" w:ascii="宋体" w:hAnsi="宋体" w:eastAsia="宋体" w:cs="宋体"/>
          <w:b/>
          <w:color w:val="auto"/>
          <w:highlight w:val="none"/>
        </w:rPr>
      </w:pPr>
      <w:r>
        <w:rPr>
          <w:rFonts w:hint="eastAsia" w:ascii="宋体" w:hAnsi="宋体" w:eastAsia="宋体" w:cs="宋体"/>
          <w:color w:val="auto"/>
          <w:highlight w:val="none"/>
        </w:rPr>
        <w:t>在推迟了投标截止时间的情况下，招标单位和</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受投标截止时间制约的所有权利和义务均应延长至新的截止时间。</w:t>
      </w:r>
    </w:p>
    <w:p w14:paraId="12B7C24A">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投标文件的补充、修改与撤回</w:t>
      </w:r>
    </w:p>
    <w:p w14:paraId="58AB26F1">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投标截止时间前可以补充、修改或撤回投标文件。补充或者修改投标文件的，应当先行撤回原文件，补充、修改后重新递交。投标截止时间前未完成递交的，视为撤回投标文件</w:t>
      </w:r>
      <w:r>
        <w:rPr>
          <w:rFonts w:hint="eastAsia" w:ascii="宋体" w:hAnsi="宋体" w:eastAsia="宋体" w:cs="宋体"/>
          <w:color w:val="auto"/>
          <w:highlight w:val="none"/>
          <w:lang w:eastAsia="zh-CN"/>
        </w:rPr>
        <w:t>。</w:t>
      </w:r>
    </w:p>
    <w:p w14:paraId="78FF2E46">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在投标截止时间，</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不得对其投标文件做任何补充或修改，亦不得撤回其投标。</w:t>
      </w:r>
    </w:p>
    <w:p w14:paraId="5EF204CF">
      <w:pPr>
        <w:tabs>
          <w:tab w:val="left" w:pos="592"/>
          <w:tab w:val="left" w:pos="1003"/>
        </w:tabs>
        <w:snapToGrid w:val="0"/>
        <w:spacing w:line="360" w:lineRule="auto"/>
        <w:rPr>
          <w:rFonts w:hint="eastAsia" w:ascii="宋体" w:hAnsi="宋体" w:eastAsia="宋体" w:cs="宋体"/>
          <w:color w:val="auto"/>
          <w:highlight w:val="none"/>
        </w:rPr>
      </w:pPr>
    </w:p>
    <w:p w14:paraId="5A6B184B">
      <w:pPr>
        <w:spacing w:line="360" w:lineRule="auto"/>
        <w:jc w:val="center"/>
        <w:outlineLvl w:val="1"/>
        <w:rPr>
          <w:rFonts w:hint="eastAsia" w:ascii="宋体" w:hAnsi="宋体" w:eastAsia="宋体" w:cs="宋体"/>
          <w:b/>
          <w:bCs/>
          <w:color w:val="auto"/>
          <w:sz w:val="28"/>
          <w:highlight w:val="none"/>
        </w:rPr>
      </w:pPr>
      <w:bookmarkStart w:id="59" w:name="_Toc31268"/>
      <w:bookmarkStart w:id="60" w:name="_Toc30775"/>
      <w:bookmarkStart w:id="61" w:name="_Toc495977858"/>
      <w:bookmarkStart w:id="62" w:name="_Toc31314"/>
      <w:r>
        <w:rPr>
          <w:rFonts w:hint="eastAsia" w:ascii="宋体" w:hAnsi="宋体" w:eastAsia="宋体" w:cs="宋体"/>
          <w:b/>
          <w:bCs/>
          <w:color w:val="auto"/>
          <w:sz w:val="28"/>
          <w:highlight w:val="none"/>
        </w:rPr>
        <w:t>（六）开标与评审</w:t>
      </w:r>
      <w:bookmarkEnd w:id="59"/>
      <w:bookmarkEnd w:id="60"/>
      <w:bookmarkEnd w:id="61"/>
      <w:bookmarkEnd w:id="62"/>
    </w:p>
    <w:p w14:paraId="252086D0">
      <w:pPr>
        <w:numPr>
          <w:ilvl w:val="0"/>
          <w:numId w:val="6"/>
        </w:numPr>
        <w:spacing w:line="360" w:lineRule="auto"/>
        <w:ind w:left="841" w:hanging="841" w:hangingChars="399"/>
        <w:rPr>
          <w:rFonts w:hint="eastAsia" w:ascii="宋体" w:hAnsi="宋体" w:eastAsia="宋体" w:cs="宋体"/>
          <w:color w:val="auto"/>
          <w:highlight w:val="none"/>
        </w:rPr>
      </w:pPr>
      <w:r>
        <w:rPr>
          <w:rFonts w:hint="eastAsia" w:ascii="宋体" w:hAnsi="宋体" w:eastAsia="宋体" w:cs="宋体"/>
          <w:b/>
          <w:color w:val="auto"/>
          <w:highlight w:val="none"/>
        </w:rPr>
        <w:t>开标</w:t>
      </w:r>
    </w:p>
    <w:p w14:paraId="7C91A776">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开标时间和地点：见本招标文件“</w:t>
      </w:r>
      <w:r>
        <w:rPr>
          <w:rFonts w:hint="eastAsia" w:ascii="宋体" w:hAnsi="宋体" w:eastAsia="宋体" w:cs="宋体"/>
          <w:color w:val="auto"/>
          <w:kern w:val="28"/>
          <w:highlight w:val="none"/>
          <w:lang w:eastAsia="zh-CN"/>
        </w:rPr>
        <w:t>采购公告</w:t>
      </w:r>
      <w:r>
        <w:rPr>
          <w:rFonts w:hint="eastAsia" w:ascii="宋体" w:hAnsi="宋体" w:eastAsia="宋体" w:cs="宋体"/>
          <w:color w:val="auto"/>
          <w:kern w:val="28"/>
          <w:highlight w:val="none"/>
        </w:rPr>
        <w:t>”</w:t>
      </w:r>
      <w:r>
        <w:rPr>
          <w:rFonts w:hint="eastAsia" w:ascii="宋体" w:hAnsi="宋体" w:eastAsia="宋体" w:cs="宋体"/>
          <w:color w:val="auto"/>
          <w:highlight w:val="none"/>
        </w:rPr>
        <w:t>。</w:t>
      </w:r>
    </w:p>
    <w:p w14:paraId="1D5BE91C">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val="zh-CN"/>
        </w:rPr>
        <w:t>投标</w:t>
      </w:r>
      <w:r>
        <w:rPr>
          <w:rFonts w:hint="eastAsia" w:ascii="宋体" w:hAnsi="宋体" w:eastAsia="宋体" w:cs="宋体"/>
          <w:color w:val="auto"/>
          <w:highlight w:val="none"/>
        </w:rPr>
        <w:t>供应商应当在接到解密通知后30分钟内自行完成“电子加密投标文件”的在线解密</w:t>
      </w:r>
      <w:r>
        <w:rPr>
          <w:rFonts w:hint="eastAsia" w:ascii="宋体" w:hAnsi="宋体" w:eastAsia="宋体" w:cs="宋体"/>
          <w:color w:val="auto"/>
          <w:highlight w:val="none"/>
          <w:lang w:eastAsia="zh-CN"/>
        </w:rPr>
        <w:t>。</w:t>
      </w:r>
    </w:p>
    <w:p w14:paraId="4E3EE2AD">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开标程序</w:t>
      </w:r>
    </w:p>
    <w:p w14:paraId="2DDBF58C">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向各供应商发出电子加密投标文件【开始解密】通知，由供应商按</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规定的时间内自行进行投标文件解密。供应商在规定的时间内无法完成已递交的“电子加密投标文件”解密的，如已按规定递交了备份投标文件的，将由采购组织机构按“</w:t>
      </w:r>
      <w:r>
        <w:rPr>
          <w:rFonts w:hint="eastAsia" w:ascii="宋体" w:hAnsi="宋体" w:cs="宋体"/>
          <w:color w:val="auto"/>
          <w:highlight w:val="none"/>
          <w:lang w:eastAsia="zh-CN"/>
        </w:rPr>
        <w:t>乐采云平台</w:t>
      </w:r>
      <w:r>
        <w:rPr>
          <w:rFonts w:hint="eastAsia" w:ascii="宋体" w:hAnsi="宋体" w:eastAsia="宋体" w:cs="宋体"/>
          <w:color w:val="auto"/>
          <w:highlight w:val="none"/>
        </w:rPr>
        <w:t>”操作规范将备份投标文件上传至“</w:t>
      </w:r>
      <w:r>
        <w:rPr>
          <w:rFonts w:hint="eastAsia" w:ascii="宋体" w:hAnsi="宋体" w:cs="宋体"/>
          <w:color w:val="auto"/>
          <w:highlight w:val="none"/>
          <w:lang w:eastAsia="zh-CN"/>
        </w:rPr>
        <w:t>乐采云平台</w:t>
      </w:r>
      <w:r>
        <w:rPr>
          <w:rFonts w:hint="eastAsia" w:ascii="宋体" w:hAnsi="宋体" w:eastAsia="宋体" w:cs="宋体"/>
          <w:color w:val="auto"/>
          <w:highlight w:val="none"/>
        </w:rPr>
        <w:t>”，上传成功后，“电子加密投标文件”自动失效。</w:t>
      </w:r>
    </w:p>
    <w:p w14:paraId="7AB837D8">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由</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或代理机构根据法律法规和</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的规定，检查投标文件提供的资格审查件是否齐全、是否满足</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的要求</w:t>
      </w:r>
      <w:r>
        <w:rPr>
          <w:rFonts w:hint="eastAsia" w:ascii="宋体" w:hAnsi="宋体" w:eastAsia="宋体" w:cs="宋体"/>
          <w:color w:val="auto"/>
          <w:highlight w:val="none"/>
          <w:lang w:val="zh-CN"/>
        </w:rPr>
        <w:t>，若资格审查不符合招标文件要求不进入后续评审阶段。</w:t>
      </w:r>
    </w:p>
    <w:p w14:paraId="36AE5ED8">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lang w:val="zh-CN"/>
        </w:rPr>
      </w:pPr>
      <w:r>
        <w:rPr>
          <w:rFonts w:hint="eastAsia" w:ascii="宋体" w:hAnsi="宋体" w:eastAsia="宋体" w:cs="宋体"/>
          <w:color w:val="auto"/>
          <w:highlight w:val="none"/>
        </w:rPr>
        <w:t>评标委员会对商务技术文件进行评审，</w:t>
      </w:r>
      <w:r>
        <w:rPr>
          <w:rFonts w:hint="eastAsia" w:ascii="宋体" w:hAnsi="宋体" w:eastAsia="宋体" w:cs="宋体"/>
          <w:color w:val="auto"/>
          <w:highlight w:val="none"/>
          <w:lang w:val="zh-CN"/>
        </w:rPr>
        <w:t>评审内容包括符合性审查，资信、技术评估及比较等。商务技术文件符合性审查通过的供应商，进入商务技术评分环节。符合性审查不通过的，其不再进入后续评审阶段。</w:t>
      </w:r>
    </w:p>
    <w:p w14:paraId="7E485DD8">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进入后续评审阶段的，评标委员会对其报价情况进行评审。</w:t>
      </w:r>
    </w:p>
    <w:p w14:paraId="637F88A5">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评标委员会根据综合得分情况，</w:t>
      </w:r>
      <w:r>
        <w:rPr>
          <w:rFonts w:hint="eastAsia" w:ascii="宋体" w:hAnsi="宋体" w:eastAsia="宋体" w:cs="宋体"/>
          <w:color w:val="auto"/>
          <w:highlight w:val="none"/>
        </w:rPr>
        <w:t>按照评审得分由高到低顺序推荐</w:t>
      </w:r>
      <w:r>
        <w:rPr>
          <w:rFonts w:hint="eastAsia" w:ascii="宋体" w:hAnsi="宋体" w:eastAsia="宋体" w:cs="宋体"/>
          <w:color w:val="auto"/>
          <w:highlight w:val="none"/>
          <w:lang w:val="zh-CN"/>
        </w:rPr>
        <w:t>推荐综合得分排名第一的供应商为中标候选人。</w:t>
      </w:r>
    </w:p>
    <w:p w14:paraId="1FF52B2B">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在系统上公布评审结果。</w:t>
      </w:r>
    </w:p>
    <w:p w14:paraId="1827BAF3">
      <w:pPr>
        <w:pStyle w:val="15"/>
        <w:ind w:firstLine="482" w:firstLineChars="200"/>
        <w:rPr>
          <w:rFonts w:hint="eastAsia" w:ascii="宋体" w:hAnsi="宋体" w:eastAsia="宋体" w:cs="宋体"/>
          <w:color w:val="auto"/>
          <w:highlight w:val="none"/>
        </w:rPr>
      </w:pPr>
      <w:r>
        <w:rPr>
          <w:rFonts w:hint="eastAsia" w:ascii="宋体" w:hAnsi="宋体" w:eastAsia="宋体" w:cs="宋体"/>
          <w:b/>
          <w:bCs/>
          <w:color w:val="auto"/>
          <w:szCs w:val="21"/>
          <w:highlight w:val="none"/>
        </w:rPr>
        <w:t>特别说明：</w:t>
      </w:r>
      <w:r>
        <w:rPr>
          <w:rFonts w:hint="eastAsia" w:ascii="宋体" w:hAnsi="宋体" w:eastAsia="宋体" w:cs="宋体"/>
          <w:b/>
          <w:bCs/>
          <w:color w:val="auto"/>
          <w:szCs w:val="21"/>
          <w:highlight w:val="none"/>
          <w:lang w:val="en-US" w:eastAsia="zh-CN"/>
        </w:rPr>
        <w:t>乐</w:t>
      </w:r>
      <w:r>
        <w:rPr>
          <w:rFonts w:hint="eastAsia" w:ascii="宋体" w:hAnsi="宋体" w:eastAsia="宋体" w:cs="宋体"/>
          <w:b/>
          <w:bCs/>
          <w:color w:val="auto"/>
          <w:szCs w:val="21"/>
          <w:highlight w:val="none"/>
        </w:rPr>
        <w:t>采云公司如对电子化开标及评审程序有调整的，按调整后的程序操作。</w:t>
      </w:r>
    </w:p>
    <w:p w14:paraId="2373FBAB">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评标委员会</w:t>
      </w:r>
    </w:p>
    <w:p w14:paraId="24BDF265">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本次招标依法组建评标委员会。</w:t>
      </w:r>
    </w:p>
    <w:p w14:paraId="3CB8CCE4">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评标委员会依法根据</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的规定，按对每一个</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的投标文件进行评审、提交评标报告。</w:t>
      </w:r>
    </w:p>
    <w:p w14:paraId="0518F418">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评标原则和评标方法</w:t>
      </w:r>
    </w:p>
    <w:p w14:paraId="3F597256">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评标基本原则：评标工作应依据</w:t>
      </w:r>
      <w:r>
        <w:rPr>
          <w:rFonts w:hint="eastAsia" w:ascii="宋体" w:hAnsi="宋体" w:eastAsia="宋体" w:cs="宋体"/>
          <w:color w:val="auto"/>
          <w:highlight w:val="none"/>
          <w:lang w:eastAsia="zh-CN"/>
        </w:rPr>
        <w:t>《温州市市属国有企业采购管理办法》</w:t>
      </w:r>
      <w:r>
        <w:rPr>
          <w:rFonts w:hint="eastAsia" w:ascii="宋体" w:hAnsi="宋体" w:eastAsia="宋体" w:cs="宋体"/>
          <w:color w:val="auto"/>
          <w:highlight w:val="none"/>
        </w:rPr>
        <w:t>以及国家和地方政府有关政府采购的有关规定，遵循“公开、公平、公正、择优、信用”的原则。</w:t>
      </w:r>
    </w:p>
    <w:p w14:paraId="18F56107">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评标方法：本次招标的评标方法详见本招标文件“第六部分”。</w:t>
      </w:r>
    </w:p>
    <w:p w14:paraId="194A2633">
      <w:pPr>
        <w:numPr>
          <w:ilvl w:val="0"/>
          <w:numId w:val="6"/>
        </w:numPr>
        <w:spacing w:line="360" w:lineRule="auto"/>
        <w:ind w:left="841" w:hanging="841" w:hangingChars="399"/>
        <w:rPr>
          <w:rFonts w:hint="eastAsia" w:ascii="宋体" w:hAnsi="宋体" w:eastAsia="宋体" w:cs="宋体"/>
          <w:color w:val="auto"/>
          <w:highlight w:val="none"/>
        </w:rPr>
      </w:pPr>
      <w:r>
        <w:rPr>
          <w:rFonts w:hint="eastAsia" w:ascii="宋体" w:hAnsi="宋体" w:eastAsia="宋体" w:cs="宋体"/>
          <w:b/>
          <w:color w:val="auto"/>
          <w:highlight w:val="none"/>
        </w:rPr>
        <w:t>评标工作程序</w:t>
      </w:r>
    </w:p>
    <w:p w14:paraId="08F07195">
      <w:pPr>
        <w:numPr>
          <w:ilvl w:val="1"/>
          <w:numId w:val="6"/>
        </w:numPr>
        <w:tabs>
          <w:tab w:val="left" w:pos="592"/>
        </w:tabs>
        <w:snapToGrid w:val="0"/>
        <w:spacing w:line="360" w:lineRule="exact"/>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评审：</w:t>
      </w:r>
    </w:p>
    <w:p w14:paraId="125361F9">
      <w:pPr>
        <w:keepNext w:val="0"/>
        <w:keepLines w:val="0"/>
        <w:pageBreakBefore w:val="0"/>
        <w:numPr>
          <w:ilvl w:val="0"/>
          <w:numId w:val="13"/>
        </w:numPr>
        <w:kinsoku/>
        <w:wordWrap/>
        <w:overflowPunct/>
        <w:topLinePunct w:val="0"/>
        <w:autoSpaceDE/>
        <w:autoSpaceDN/>
        <w:bidi w:val="0"/>
        <w:adjustRightInd/>
        <w:snapToGrid w:val="0"/>
        <w:spacing w:line="400" w:lineRule="exact"/>
        <w:jc w:val="both"/>
        <w:textAlignment w:val="auto"/>
        <w:rPr>
          <w:rFonts w:hint="eastAsia" w:ascii="宋体" w:hAnsi="宋体" w:eastAsia="宋体" w:cs="宋体"/>
          <w:color w:val="auto"/>
          <w:highlight w:val="none"/>
        </w:rPr>
      </w:pPr>
      <w:r>
        <w:rPr>
          <w:rFonts w:hint="eastAsia" w:ascii="宋体" w:hAnsi="宋体" w:eastAsia="宋体" w:cs="宋体"/>
          <w:color w:val="auto"/>
          <w:highlight w:val="none"/>
        </w:rPr>
        <w:t>资格性审查：</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或代理机构根据法律法规和</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的规定，审查投标文件提供的资格证明文件是否齐全、是否满足</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的要求等。</w:t>
      </w:r>
    </w:p>
    <w:p w14:paraId="7C98C4E5">
      <w:pPr>
        <w:keepNext w:val="0"/>
        <w:keepLines w:val="0"/>
        <w:pageBreakBefore w:val="0"/>
        <w:numPr>
          <w:ilvl w:val="0"/>
          <w:numId w:val="13"/>
        </w:numPr>
        <w:kinsoku/>
        <w:wordWrap/>
        <w:overflowPunct/>
        <w:topLinePunct w:val="0"/>
        <w:autoSpaceDE/>
        <w:autoSpaceDN/>
        <w:bidi w:val="0"/>
        <w:adjustRightInd/>
        <w:snapToGrid w:val="0"/>
        <w:spacing w:line="400" w:lineRule="exact"/>
        <w:jc w:val="both"/>
        <w:textAlignment w:val="auto"/>
        <w:rPr>
          <w:rFonts w:hint="eastAsia" w:ascii="宋体" w:hAnsi="宋体" w:eastAsia="宋体" w:cs="宋体"/>
          <w:color w:val="auto"/>
          <w:highlight w:val="none"/>
        </w:rPr>
      </w:pPr>
      <w:r>
        <w:rPr>
          <w:rFonts w:hint="eastAsia" w:ascii="宋体" w:hAnsi="宋体" w:eastAsia="宋体" w:cs="宋体"/>
          <w:color w:val="auto"/>
          <w:highlight w:val="none"/>
        </w:rPr>
        <w:t>符合性审查：评标委员会对符合资格的投标供应商的投标文件进行符合性审查，从投标文件的有效性、完整性和对</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的响应程度进行检查，以确定是否对</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的实质性要求作出响应。</w:t>
      </w:r>
    </w:p>
    <w:p w14:paraId="7A9300C0">
      <w:pPr>
        <w:keepNext w:val="0"/>
        <w:keepLines w:val="0"/>
        <w:pageBreakBefore w:val="0"/>
        <w:numPr>
          <w:ilvl w:val="0"/>
          <w:numId w:val="13"/>
        </w:numPr>
        <w:kinsoku/>
        <w:wordWrap/>
        <w:overflowPunct/>
        <w:topLinePunct w:val="0"/>
        <w:autoSpaceDE/>
        <w:autoSpaceDN/>
        <w:bidi w:val="0"/>
        <w:adjustRightInd/>
        <w:snapToGrid w:val="0"/>
        <w:spacing w:line="400" w:lineRule="exact"/>
        <w:jc w:val="both"/>
        <w:textAlignment w:val="auto"/>
        <w:rPr>
          <w:rFonts w:hint="eastAsia" w:ascii="宋体" w:hAnsi="宋体" w:eastAsia="宋体" w:cs="宋体"/>
          <w:color w:val="auto"/>
          <w:highlight w:val="none"/>
        </w:rPr>
      </w:pPr>
      <w:r>
        <w:rPr>
          <w:rFonts w:hint="eastAsia" w:ascii="宋体" w:hAnsi="宋体" w:eastAsia="宋体" w:cs="宋体"/>
          <w:color w:val="auto"/>
          <w:highlight w:val="none"/>
        </w:rPr>
        <w:t>▲在资格性审查、符合性审查及详细评审投标文件时出现下列情况，按照</w:t>
      </w:r>
      <w:r>
        <w:rPr>
          <w:rFonts w:hint="eastAsia" w:ascii="宋体" w:hAnsi="宋体" w:eastAsia="宋体" w:cs="宋体"/>
          <w:b/>
          <w:bCs/>
          <w:color w:val="auto"/>
          <w:highlight w:val="none"/>
        </w:rPr>
        <w:t>无效投标</w:t>
      </w:r>
      <w:r>
        <w:rPr>
          <w:rFonts w:hint="eastAsia" w:ascii="宋体" w:hAnsi="宋体" w:eastAsia="宋体" w:cs="宋体"/>
          <w:color w:val="auto"/>
          <w:highlight w:val="none"/>
        </w:rPr>
        <w:t>处理</w:t>
      </w:r>
      <w:r>
        <w:rPr>
          <w:rFonts w:hint="eastAsia" w:ascii="宋体" w:hAnsi="宋体" w:eastAsia="宋体" w:cs="宋体"/>
          <w:b/>
          <w:bCs/>
          <w:color w:val="auto"/>
          <w:highlight w:val="none"/>
        </w:rPr>
        <w:t>：</w:t>
      </w:r>
    </w:p>
    <w:p w14:paraId="40E6F0D8">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报价不是固定价的；</w:t>
      </w:r>
    </w:p>
    <w:p w14:paraId="51E1C4F2">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投标报价超</w:t>
      </w:r>
      <w:r>
        <w:rPr>
          <w:rFonts w:hint="eastAsia" w:ascii="宋体" w:hAnsi="宋体" w:eastAsia="宋体" w:cs="宋体"/>
          <w:color w:val="auto"/>
          <w:szCs w:val="22"/>
          <w:highlight w:val="none"/>
          <w:lang w:eastAsia="zh-CN"/>
        </w:rPr>
        <w:t>过采购预算或</w:t>
      </w:r>
      <w:r>
        <w:rPr>
          <w:rFonts w:hint="eastAsia" w:ascii="宋体" w:hAnsi="宋体" w:eastAsia="宋体" w:cs="宋体"/>
          <w:color w:val="auto"/>
          <w:szCs w:val="22"/>
          <w:highlight w:val="none"/>
        </w:rPr>
        <w:t>最高限价的；</w:t>
      </w:r>
    </w:p>
    <w:p w14:paraId="71F09559">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投标有效期不足的；</w:t>
      </w:r>
    </w:p>
    <w:p w14:paraId="2438C0E7">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报价出现前后不一致，又不接受评标委员会修正的；</w:t>
      </w:r>
    </w:p>
    <w:p w14:paraId="5F7E4364">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highlight w:val="none"/>
        </w:rPr>
      </w:pPr>
      <w:r>
        <w:rPr>
          <w:rFonts w:hint="eastAsia" w:ascii="宋体" w:hAnsi="宋体" w:eastAsia="宋体" w:cs="宋体"/>
          <w:color w:val="auto"/>
          <w:szCs w:val="22"/>
          <w:highlight w:val="none"/>
        </w:rPr>
        <w:t>“</w:t>
      </w:r>
      <w:r>
        <w:rPr>
          <w:rFonts w:hint="eastAsia" w:ascii="宋体" w:hAnsi="宋体" w:eastAsia="宋体" w:cs="宋体"/>
          <w:color w:val="auto"/>
          <w:szCs w:val="22"/>
          <w:highlight w:val="none"/>
          <w:lang w:eastAsia="zh-CN"/>
        </w:rPr>
        <w:t>资格审查文件</w:t>
      </w:r>
      <w:r>
        <w:rPr>
          <w:rFonts w:hint="eastAsia" w:ascii="宋体" w:hAnsi="宋体" w:eastAsia="宋体" w:cs="宋体"/>
          <w:color w:val="auto"/>
          <w:szCs w:val="22"/>
          <w:highlight w:val="none"/>
        </w:rPr>
        <w:t>”、“商务技术文件”、“报价文件”制作在一起的或“</w:t>
      </w:r>
      <w:r>
        <w:rPr>
          <w:rFonts w:hint="eastAsia" w:ascii="宋体" w:hAnsi="宋体" w:eastAsia="宋体" w:cs="宋体"/>
          <w:color w:val="auto"/>
          <w:szCs w:val="22"/>
          <w:highlight w:val="none"/>
          <w:lang w:eastAsia="zh-CN"/>
        </w:rPr>
        <w:t>资格审查文件</w:t>
      </w:r>
      <w:r>
        <w:rPr>
          <w:rFonts w:hint="eastAsia" w:ascii="宋体" w:hAnsi="宋体" w:eastAsia="宋体" w:cs="宋体"/>
          <w:color w:val="auto"/>
          <w:szCs w:val="22"/>
          <w:highlight w:val="none"/>
        </w:rPr>
        <w:t>”、“商务技术文件”中出现本项目的投标价格信息的；</w:t>
      </w:r>
    </w:p>
    <w:p w14:paraId="1BFBF2B5">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highlight w:val="none"/>
        </w:rPr>
      </w:pPr>
      <w:r>
        <w:rPr>
          <w:rStyle w:val="232"/>
          <w:rFonts w:hint="eastAsia" w:ascii="宋体" w:hAnsi="宋体" w:eastAsia="宋体" w:cs="宋体"/>
          <w:color w:val="auto"/>
          <w:szCs w:val="21"/>
          <w:highlight w:val="none"/>
        </w:rPr>
        <w:t>未按</w:t>
      </w:r>
      <w:r>
        <w:rPr>
          <w:rStyle w:val="232"/>
          <w:rFonts w:hint="eastAsia" w:ascii="宋体" w:hAnsi="宋体" w:eastAsia="宋体" w:cs="宋体"/>
          <w:color w:val="auto"/>
          <w:szCs w:val="21"/>
          <w:highlight w:val="none"/>
          <w:lang w:eastAsia="zh-CN"/>
        </w:rPr>
        <w:t>招标文件</w:t>
      </w:r>
      <w:r>
        <w:rPr>
          <w:rStyle w:val="232"/>
          <w:rFonts w:hint="eastAsia" w:ascii="宋体" w:hAnsi="宋体" w:eastAsia="宋体" w:cs="宋体"/>
          <w:color w:val="auto"/>
          <w:szCs w:val="21"/>
          <w:highlight w:val="none"/>
        </w:rPr>
        <w:t>要求进行签字或盖章的；</w:t>
      </w:r>
    </w:p>
    <w:p w14:paraId="1D683DDB">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1"/>
          <w:highlight w:val="none"/>
        </w:rPr>
        <w:t>未按招标</w:t>
      </w:r>
      <w:r>
        <w:rPr>
          <w:rFonts w:hint="eastAsia" w:ascii="宋体" w:hAnsi="宋体" w:eastAsia="宋体" w:cs="宋体"/>
          <w:color w:val="auto"/>
          <w:szCs w:val="21"/>
          <w:highlight w:val="none"/>
          <w:lang w:eastAsia="zh-CN"/>
        </w:rPr>
        <w:t>文件</w:t>
      </w:r>
      <w:r>
        <w:rPr>
          <w:rFonts w:hint="eastAsia" w:ascii="宋体" w:hAnsi="宋体" w:eastAsia="宋体" w:cs="宋体"/>
          <w:color w:val="auto"/>
          <w:szCs w:val="21"/>
          <w:highlight w:val="none"/>
        </w:rPr>
        <w:t>要求提供投标保证金的</w:t>
      </w:r>
      <w:r>
        <w:rPr>
          <w:rFonts w:hint="eastAsia" w:ascii="宋体" w:hAnsi="宋体" w:eastAsia="宋体" w:cs="宋体"/>
          <w:color w:val="auto"/>
          <w:szCs w:val="21"/>
          <w:highlight w:val="none"/>
          <w:lang w:eastAsia="zh-CN"/>
        </w:rPr>
        <w:t>；</w:t>
      </w:r>
    </w:p>
    <w:p w14:paraId="5B8BE5AB">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1"/>
          <w:highlight w:val="none"/>
        </w:rPr>
        <w:t>投标截止时间止，投标供应商仅递交了“备份投标文件”而未将电子加密投标文件上传至“</w:t>
      </w:r>
      <w:r>
        <w:rPr>
          <w:rFonts w:hint="eastAsia" w:ascii="宋体" w:hAnsi="宋体" w:cs="宋体"/>
          <w:color w:val="auto"/>
          <w:szCs w:val="21"/>
          <w:highlight w:val="none"/>
          <w:lang w:eastAsia="zh-CN"/>
        </w:rPr>
        <w:t>乐采云平台</w:t>
      </w:r>
      <w:r>
        <w:rPr>
          <w:rFonts w:hint="eastAsia" w:ascii="宋体" w:hAnsi="宋体" w:eastAsia="宋体" w:cs="宋体"/>
          <w:color w:val="auto"/>
          <w:szCs w:val="21"/>
          <w:highlight w:val="none"/>
        </w:rPr>
        <w:t>”的；</w:t>
      </w:r>
    </w:p>
    <w:p w14:paraId="01B4BD44">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投标文件含有</w:t>
      </w:r>
      <w:r>
        <w:rPr>
          <w:rFonts w:hint="eastAsia" w:ascii="宋体" w:hAnsi="宋体" w:eastAsia="宋体" w:cs="宋体"/>
          <w:color w:val="auto"/>
          <w:szCs w:val="22"/>
          <w:highlight w:val="none"/>
          <w:lang w:eastAsia="zh-CN"/>
        </w:rPr>
        <w:t>采购人</w:t>
      </w:r>
      <w:r>
        <w:rPr>
          <w:rFonts w:hint="eastAsia" w:ascii="宋体" w:hAnsi="宋体" w:eastAsia="宋体" w:cs="宋体"/>
          <w:color w:val="auto"/>
          <w:szCs w:val="22"/>
          <w:highlight w:val="none"/>
        </w:rPr>
        <w:t>不能接受的附加条件的；</w:t>
      </w:r>
    </w:p>
    <w:p w14:paraId="7214D29E">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存在串标、抬标或弄虚作假情况的；</w:t>
      </w:r>
    </w:p>
    <w:p w14:paraId="406DA5B8">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不具备</w:t>
      </w:r>
      <w:r>
        <w:rPr>
          <w:rFonts w:hint="eastAsia" w:ascii="宋体" w:hAnsi="宋体" w:eastAsia="宋体" w:cs="宋体"/>
          <w:color w:val="auto"/>
          <w:szCs w:val="22"/>
          <w:highlight w:val="none"/>
          <w:lang w:eastAsia="zh-CN"/>
        </w:rPr>
        <w:t>招标文件</w:t>
      </w:r>
      <w:r>
        <w:rPr>
          <w:rFonts w:hint="eastAsia" w:ascii="宋体" w:hAnsi="宋体" w:eastAsia="宋体" w:cs="宋体"/>
          <w:color w:val="auto"/>
          <w:szCs w:val="22"/>
          <w:highlight w:val="none"/>
        </w:rPr>
        <w:t>中规定资格要求的；</w:t>
      </w:r>
    </w:p>
    <w:p w14:paraId="3B3CEC78">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highlight w:val="none"/>
        </w:rPr>
        <w:t>未</w:t>
      </w:r>
      <w:r>
        <w:rPr>
          <w:rFonts w:hint="eastAsia" w:ascii="宋体" w:hAnsi="宋体" w:eastAsia="宋体" w:cs="宋体"/>
          <w:color w:val="auto"/>
          <w:highlight w:val="none"/>
          <w:lang w:eastAsia="zh-CN"/>
        </w:rPr>
        <w:t>在规定时间内解密的</w:t>
      </w:r>
      <w:r>
        <w:rPr>
          <w:rFonts w:hint="eastAsia" w:ascii="宋体" w:hAnsi="宋体" w:eastAsia="宋体" w:cs="宋体"/>
          <w:color w:val="auto"/>
          <w:highlight w:val="none"/>
        </w:rPr>
        <w:t>；</w:t>
      </w:r>
    </w:p>
    <w:p w14:paraId="5170EA57">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未实质性响应</w:t>
      </w:r>
      <w:r>
        <w:rPr>
          <w:rFonts w:hint="eastAsia" w:ascii="宋体" w:hAnsi="宋体" w:eastAsia="宋体" w:cs="宋体"/>
          <w:color w:val="auto"/>
          <w:szCs w:val="22"/>
          <w:highlight w:val="none"/>
          <w:lang w:eastAsia="zh-CN"/>
        </w:rPr>
        <w:t>招标文件</w:t>
      </w:r>
      <w:r>
        <w:rPr>
          <w:rFonts w:hint="eastAsia" w:ascii="宋体" w:hAnsi="宋体" w:eastAsia="宋体" w:cs="宋体"/>
          <w:color w:val="auto"/>
          <w:szCs w:val="22"/>
          <w:highlight w:val="none"/>
        </w:rPr>
        <w:t>要求的；</w:t>
      </w:r>
    </w:p>
    <w:p w14:paraId="6C8B93C9">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主要技术要求不满足要求或商务有重大偏离或保留的；</w:t>
      </w:r>
    </w:p>
    <w:p w14:paraId="166A20B1">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若投标文件为授权代表签署而未提供有效的法定代表人授权书的；</w:t>
      </w:r>
    </w:p>
    <w:p w14:paraId="68379EE1">
      <w:pPr>
        <w:keepNext w:val="0"/>
        <w:keepLines w:val="0"/>
        <w:pageBreakBefore w:val="0"/>
        <w:widowControl w:val="0"/>
        <w:numPr>
          <w:ilvl w:val="0"/>
          <w:numId w:val="14"/>
        </w:numPr>
        <w:tabs>
          <w:tab w:val="left" w:pos="420"/>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存在不良信用记录的；</w:t>
      </w:r>
    </w:p>
    <w:p w14:paraId="5268BE18">
      <w:pPr>
        <w:keepNext w:val="0"/>
        <w:keepLines w:val="0"/>
        <w:pageBreakBefore w:val="0"/>
        <w:widowControl w:val="0"/>
        <w:numPr>
          <w:ilvl w:val="0"/>
          <w:numId w:val="14"/>
        </w:numPr>
        <w:tabs>
          <w:tab w:val="left" w:pos="420"/>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评标委员会认为投标供应商的报价明显低于其他通过符合性审查投标供应商的报价，有可能影响服务质量或者不能诚信履约且不能在规定时间内证明其报价合理性的；</w:t>
      </w:r>
    </w:p>
    <w:p w14:paraId="2E353945">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不符合法律、法规和</w:t>
      </w:r>
      <w:r>
        <w:rPr>
          <w:rFonts w:hint="eastAsia" w:ascii="宋体" w:hAnsi="宋体" w:eastAsia="宋体" w:cs="宋体"/>
          <w:color w:val="auto"/>
          <w:szCs w:val="22"/>
          <w:highlight w:val="none"/>
          <w:lang w:eastAsia="zh-CN"/>
        </w:rPr>
        <w:t>招标文件</w:t>
      </w:r>
      <w:r>
        <w:rPr>
          <w:rFonts w:hint="eastAsia" w:ascii="宋体" w:hAnsi="宋体" w:eastAsia="宋体" w:cs="宋体"/>
          <w:color w:val="auto"/>
          <w:szCs w:val="22"/>
          <w:highlight w:val="none"/>
        </w:rPr>
        <w:t>规定的其他实质性要求的。</w:t>
      </w:r>
    </w:p>
    <w:p w14:paraId="7471DD45">
      <w:pPr>
        <w:numPr>
          <w:ilvl w:val="1"/>
          <w:numId w:val="6"/>
        </w:numPr>
        <w:tabs>
          <w:tab w:val="left" w:pos="592"/>
        </w:tabs>
        <w:snapToGrid w:val="0"/>
        <w:spacing w:line="360" w:lineRule="exact"/>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澄清有关问题：对投标文件中含义不明确、同类问题表述不一致或者有明显文字和计算错误的内容，评标委员会以电子形式在线要求投标供应商作出必要的澄清、说明或者补正。投标供应商的澄清、说明或者补正在规定的时间内以电子形式在线提交（并加盖电子签章，或者由法定代表人或其授权的代表签字），并不得超出投标文件的范围或者改变投标文件的实质性内容。</w:t>
      </w:r>
      <w:r>
        <w:rPr>
          <w:rFonts w:hint="eastAsia" w:ascii="宋体" w:hAnsi="宋体" w:eastAsia="宋体" w:cs="宋体"/>
          <w:b/>
          <w:bCs/>
          <w:color w:val="auto"/>
          <w:szCs w:val="22"/>
          <w:highlight w:val="none"/>
        </w:rPr>
        <w:t>评标委员会将通过“</w:t>
      </w:r>
      <w:r>
        <w:rPr>
          <w:rFonts w:hint="eastAsia" w:ascii="宋体" w:hAnsi="宋体" w:eastAsia="宋体" w:cs="宋体"/>
          <w:b/>
          <w:bCs/>
          <w:color w:val="auto"/>
          <w:szCs w:val="22"/>
          <w:highlight w:val="none"/>
          <w:lang w:eastAsia="zh-CN"/>
        </w:rPr>
        <w:t>乐采云</w:t>
      </w:r>
      <w:r>
        <w:rPr>
          <w:rFonts w:hint="eastAsia" w:ascii="宋体" w:hAnsi="宋体" w:eastAsia="宋体" w:cs="宋体"/>
          <w:b/>
          <w:bCs/>
          <w:color w:val="auto"/>
          <w:szCs w:val="22"/>
          <w:highlight w:val="none"/>
        </w:rPr>
        <w:t>”在线询标的形式要求供应商在规定的时间内作出必要的澄清、说明或者补正。供应商的澄清、说明或者补正应当通过“</w:t>
      </w:r>
      <w:r>
        <w:rPr>
          <w:rFonts w:hint="eastAsia" w:ascii="宋体" w:hAnsi="宋体" w:eastAsia="宋体" w:cs="宋体"/>
          <w:b/>
          <w:bCs/>
          <w:color w:val="auto"/>
          <w:szCs w:val="22"/>
          <w:highlight w:val="none"/>
          <w:lang w:eastAsia="zh-CN"/>
        </w:rPr>
        <w:t>乐采云</w:t>
      </w:r>
      <w:r>
        <w:rPr>
          <w:rFonts w:hint="eastAsia" w:ascii="宋体" w:hAnsi="宋体" w:eastAsia="宋体" w:cs="宋体"/>
          <w:b/>
          <w:bCs/>
          <w:color w:val="auto"/>
          <w:szCs w:val="22"/>
          <w:highlight w:val="none"/>
        </w:rPr>
        <w:t>”在线答复形式提交，并加盖电子签章，或者由法定代表人或其授权的代表签字。</w:t>
      </w:r>
    </w:p>
    <w:p w14:paraId="378538D8">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比较与评价：评标委员会按招标文件第六部分“评标办法”。规定的评标方法和标准，对资格性检查和符合性检查合格的投标文件进行商务技术评估，综合比较与评价。</w:t>
      </w:r>
      <w:r>
        <w:rPr>
          <w:rFonts w:hint="eastAsia" w:ascii="宋体" w:hAnsi="宋体" w:eastAsia="宋体" w:cs="宋体"/>
          <w:snapToGrid w:val="0"/>
          <w:color w:val="auto"/>
          <w:kern w:val="0"/>
          <w:highlight w:val="none"/>
          <w:u w:val="wave"/>
        </w:rPr>
        <w:t xml:space="preserve">评标委员会对投标文件的判定，只依据投标文件内容本身，不依据任何外来证明 </w:t>
      </w:r>
      <w:r>
        <w:rPr>
          <w:rFonts w:hint="eastAsia" w:ascii="宋体" w:hAnsi="宋体" w:eastAsia="宋体" w:cs="宋体"/>
          <w:color w:val="auto"/>
          <w:highlight w:val="none"/>
        </w:rPr>
        <w:t>。</w:t>
      </w:r>
    </w:p>
    <w:p w14:paraId="26FFE228">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snapToGrid w:val="0"/>
          <w:color w:val="auto"/>
          <w:kern w:val="0"/>
          <w:sz w:val="21"/>
          <w:szCs w:val="21"/>
          <w:highlight w:val="none"/>
        </w:rPr>
        <w:t>本次招标评标采用综合评估法，</w:t>
      </w:r>
      <w:r>
        <w:rPr>
          <w:rFonts w:hint="eastAsia" w:ascii="宋体" w:hAnsi="宋体" w:eastAsia="宋体" w:cs="宋体"/>
          <w:snapToGrid w:val="0"/>
          <w:color w:val="auto"/>
          <w:kern w:val="0"/>
          <w:sz w:val="21"/>
          <w:szCs w:val="21"/>
          <w:highlight w:val="none"/>
          <w:lang w:val="en-US" w:eastAsia="zh-CN"/>
        </w:rPr>
        <w:t>详见第六部分评标办法</w:t>
      </w:r>
      <w:r>
        <w:rPr>
          <w:rFonts w:hint="eastAsia" w:ascii="宋体" w:hAnsi="宋体" w:eastAsia="宋体" w:cs="宋体"/>
          <w:snapToGrid w:val="0"/>
          <w:color w:val="auto"/>
          <w:kern w:val="0"/>
          <w:sz w:val="21"/>
          <w:szCs w:val="21"/>
          <w:highlight w:val="none"/>
        </w:rPr>
        <w:t>。</w:t>
      </w:r>
    </w:p>
    <w:p w14:paraId="3945D3C0">
      <w:pPr>
        <w:numPr>
          <w:ilvl w:val="0"/>
          <w:numId w:val="6"/>
        </w:numPr>
        <w:spacing w:line="360" w:lineRule="auto"/>
        <w:ind w:left="841" w:hanging="841" w:hangingChars="399"/>
        <w:rPr>
          <w:rFonts w:hint="eastAsia" w:ascii="宋体" w:hAnsi="宋体" w:eastAsia="宋体" w:cs="宋体"/>
          <w:b/>
          <w:bCs/>
          <w:color w:val="auto"/>
          <w:highlight w:val="none"/>
        </w:rPr>
      </w:pPr>
      <w:r>
        <w:rPr>
          <w:rFonts w:hint="eastAsia" w:ascii="宋体" w:hAnsi="宋体" w:eastAsia="宋体" w:cs="宋体"/>
          <w:b/>
          <w:bCs/>
          <w:color w:val="auto"/>
          <w:highlight w:val="none"/>
        </w:rPr>
        <w:t>评标过程保密</w:t>
      </w:r>
    </w:p>
    <w:p w14:paraId="7E4CE61A">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开标之后，直到授予</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合同止，凡是属于审查、澄清、评价和比较投标的有关资料以及授标意向等，均不得向</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或其他无关的人员透露。</w:t>
      </w:r>
    </w:p>
    <w:p w14:paraId="0BBA2AB2">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在评标期间，</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企图影响</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或评标委员会的任何活动，都将导致投标被否决，并由其承担相应的法律责任。</w:t>
      </w:r>
    </w:p>
    <w:p w14:paraId="2202CB29">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中标人的确定</w:t>
      </w:r>
    </w:p>
    <w:p w14:paraId="0F9F8164">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按评标委员会的评审结果，在评标委员会推荐的候选供应商中依法确定排名第一的候选供应商（投标价不超过采购预算资金的前提下）为中标供应商。</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将在“浙江省政府采购网”（http://zfcg.czt.zj.gov.cn/）</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“温州国企采购平台”（网址：https://wzgzw-cg.zhengcaiyun.cn/）</w:t>
      </w:r>
      <w:r>
        <w:rPr>
          <w:rFonts w:hint="eastAsia" w:ascii="宋体" w:hAnsi="宋体" w:eastAsia="宋体" w:cs="宋体"/>
          <w:color w:val="auto"/>
          <w:highlight w:val="none"/>
          <w:lang w:eastAsia="zh-CN"/>
        </w:rPr>
        <w:t>及相关网站</w:t>
      </w:r>
      <w:r>
        <w:rPr>
          <w:rFonts w:hint="eastAsia" w:ascii="宋体" w:hAnsi="宋体" w:eastAsia="宋体" w:cs="宋体"/>
          <w:color w:val="auto"/>
          <w:highlight w:val="none"/>
        </w:rPr>
        <w:t>发布《中标结果公示》，同时向中标供应商发出中标通知书。</w:t>
      </w:r>
    </w:p>
    <w:p w14:paraId="622BA19E">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lang w:val="en-US" w:eastAsia="zh-CN"/>
        </w:rPr>
        <w:t>拒绝</w:t>
      </w:r>
      <w:r>
        <w:rPr>
          <w:rFonts w:hint="eastAsia" w:ascii="宋体" w:hAnsi="宋体" w:eastAsia="宋体" w:cs="宋体"/>
          <w:b/>
          <w:color w:val="auto"/>
          <w:highlight w:val="none"/>
        </w:rPr>
        <w:t>任何或所有投标的权利</w:t>
      </w:r>
    </w:p>
    <w:p w14:paraId="51278E9E">
      <w:pPr>
        <w:numPr>
          <w:ilvl w:val="1"/>
          <w:numId w:val="6"/>
        </w:numPr>
        <w:tabs>
          <w:tab w:val="left" w:pos="592"/>
        </w:tabs>
        <w:snapToGrid w:val="0"/>
        <w:spacing w:line="360" w:lineRule="auto"/>
        <w:ind w:left="577" w:hanging="576" w:hangingChars="280"/>
        <w:rPr>
          <w:rFonts w:hint="eastAsia" w:ascii="宋体" w:hAnsi="宋体" w:eastAsia="宋体" w:cs="宋体"/>
          <w:b w:val="0"/>
          <w:bCs w:val="0"/>
          <w:color w:val="auto"/>
          <w:szCs w:val="21"/>
          <w:highlight w:val="none"/>
          <w:lang w:val="zh-CN" w:eastAsia="zh-CN"/>
        </w:rPr>
      </w:pPr>
      <w:r>
        <w:rPr>
          <w:rFonts w:hint="eastAsia" w:ascii="宋体" w:hAnsi="宋体" w:eastAsia="宋体" w:cs="宋体"/>
          <w:color w:val="auto"/>
          <w:spacing w:val="-2"/>
          <w:highlight w:val="none"/>
        </w:rPr>
        <w:t>评标委员会经评审，认为任何或所有投标都不符合招标文件要求的，可以否决任何或所有投标</w:t>
      </w:r>
      <w:r>
        <w:rPr>
          <w:rFonts w:hint="eastAsia" w:ascii="宋体" w:hAnsi="宋体" w:eastAsia="宋体" w:cs="宋体"/>
          <w:color w:val="auto"/>
          <w:highlight w:val="none"/>
        </w:rPr>
        <w:t>。</w:t>
      </w:r>
    </w:p>
    <w:p w14:paraId="637C30FA">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lang w:val="zh-CN" w:eastAsia="zh-CN"/>
        </w:rPr>
      </w:pPr>
      <w:r>
        <w:rPr>
          <w:rFonts w:hint="eastAsia" w:ascii="宋体" w:hAnsi="宋体" w:eastAsia="宋体" w:cs="宋体"/>
          <w:b w:val="0"/>
          <w:bCs w:val="0"/>
          <w:color w:val="auto"/>
          <w:szCs w:val="21"/>
          <w:highlight w:val="none"/>
          <w:lang w:val="zh-CN" w:eastAsia="zh-CN"/>
        </w:rPr>
        <w:t>如果中标候选供应商的部分或全部投标高于</w:t>
      </w:r>
      <w:r>
        <w:rPr>
          <w:rFonts w:hint="eastAsia" w:ascii="宋体" w:hAnsi="宋体" w:eastAsia="宋体" w:cs="宋体"/>
          <w:b w:val="0"/>
          <w:bCs w:val="0"/>
          <w:color w:val="auto"/>
          <w:szCs w:val="21"/>
          <w:highlight w:val="none"/>
          <w:lang w:val="en-US" w:eastAsia="zh-CN"/>
        </w:rPr>
        <w:t>国企</w:t>
      </w:r>
      <w:r>
        <w:rPr>
          <w:rFonts w:hint="eastAsia" w:ascii="宋体" w:hAnsi="宋体" w:eastAsia="宋体" w:cs="宋体"/>
          <w:b w:val="0"/>
          <w:bCs w:val="0"/>
          <w:color w:val="auto"/>
          <w:szCs w:val="21"/>
          <w:highlight w:val="none"/>
          <w:lang w:val="zh-CN" w:eastAsia="zh-CN"/>
        </w:rPr>
        <w:t>采购预算金额时，采购代理机构将取消其中标资格，对受影响的投标人不承担任何责任，也无义务向受影响的投标人解释采取这一行动的理由。</w:t>
      </w:r>
    </w:p>
    <w:p w14:paraId="32069555">
      <w:pPr>
        <w:numPr>
          <w:ilvl w:val="1"/>
          <w:numId w:val="6"/>
        </w:numPr>
        <w:tabs>
          <w:tab w:val="left" w:pos="592"/>
        </w:tabs>
        <w:snapToGrid w:val="0"/>
        <w:spacing w:line="360" w:lineRule="auto"/>
        <w:ind w:left="588" w:hanging="588" w:hangingChars="280"/>
        <w:rPr>
          <w:rFonts w:hint="eastAsia" w:ascii="宋体" w:hAnsi="宋体" w:eastAsia="宋体" w:cs="宋体"/>
          <w:color w:val="auto"/>
          <w:szCs w:val="21"/>
          <w:highlight w:val="none"/>
        </w:rPr>
      </w:pPr>
      <w:r>
        <w:rPr>
          <w:rFonts w:hint="eastAsia" w:ascii="宋体" w:hAnsi="宋体" w:eastAsia="宋体" w:cs="宋体"/>
          <w:b w:val="0"/>
          <w:bCs w:val="0"/>
          <w:color w:val="auto"/>
          <w:szCs w:val="21"/>
          <w:highlight w:val="none"/>
          <w:lang w:val="zh-CN" w:eastAsia="zh-CN"/>
        </w:rPr>
        <w:t>若在开、评标期间出现符合条件的投标人或者对采购文件作出实质响应的投标人（有效投标）不足三家，按《温州市市属国有企业采购管理办法》的通知第三十六条：</w:t>
      </w:r>
      <w:r>
        <w:rPr>
          <w:rFonts w:hint="eastAsia" w:ascii="宋体" w:hAnsi="宋体" w:eastAsia="宋体" w:cs="宋体"/>
          <w:b w:val="0"/>
          <w:bCs w:val="0"/>
          <w:color w:val="auto"/>
          <w:szCs w:val="21"/>
          <w:highlight w:val="none"/>
          <w:lang w:val="en-US" w:eastAsia="zh-CN"/>
        </w:rPr>
        <w:t>采购响应（指投标或谈判、报价）截止时间止及评审期间，出现有效供应商不足三家的情形，如采购文件事先已在指定媒体公开征求了供应商意见且无重大异议，或经专家论证且出具了“供应商资格条件和项目技术指标等没有歧视性和倾向性”意见的，同时采购信息已在本办法规定的媒体上公告，采购文件的发售和截止时间符合法定或本办法规定，由实质性响应的供应商认可后，可以按原采购方式继续进行采购活动，但采购项目第一次评审活动除外。</w:t>
      </w:r>
    </w:p>
    <w:p w14:paraId="491F5C43">
      <w:pPr>
        <w:numPr>
          <w:ilvl w:val="1"/>
          <w:numId w:val="6"/>
        </w:numPr>
        <w:tabs>
          <w:tab w:val="left" w:pos="592"/>
        </w:tabs>
        <w:snapToGrid w:val="0"/>
        <w:spacing w:line="360" w:lineRule="auto"/>
        <w:ind w:left="588" w:hanging="588" w:hangingChars="280"/>
        <w:rPr>
          <w:rFonts w:hint="eastAsia" w:ascii="宋体" w:hAnsi="宋体" w:eastAsia="宋体" w:cs="宋体"/>
          <w:color w:val="auto"/>
          <w:szCs w:val="21"/>
          <w:highlight w:val="none"/>
        </w:rPr>
      </w:pPr>
      <w:r>
        <w:rPr>
          <w:rFonts w:hint="eastAsia" w:ascii="宋体" w:hAnsi="宋体" w:eastAsia="宋体" w:cs="宋体"/>
          <w:color w:val="auto"/>
          <w:szCs w:val="21"/>
          <w:highlight w:val="none"/>
        </w:rPr>
        <w:t>排名第一的中标候选人放弃中标；因不可抗力提出不能履行合同；或者招标文件规定应当提交履约保证金而在规定的期限内未能提交的；或未能在规定时间内与</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签订合同的；或者经质疑，</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审查后，确因排名第一的中标候选人在本次招标活动中存在违法违规行为或其他原因使质疑成立的，</w:t>
      </w:r>
      <w:r>
        <w:rPr>
          <w:rFonts w:hint="eastAsia" w:ascii="宋体" w:hAnsi="宋体" w:eastAsia="宋体" w:cs="宋体"/>
          <w:snapToGrid w:val="0"/>
          <w:color w:val="auto"/>
          <w:kern w:val="0"/>
          <w:szCs w:val="21"/>
          <w:highlight w:val="none"/>
          <w:lang w:eastAsia="zh-CN"/>
        </w:rPr>
        <w:t>采购人</w:t>
      </w:r>
      <w:r>
        <w:rPr>
          <w:rFonts w:hint="eastAsia" w:ascii="宋体" w:hAnsi="宋体" w:eastAsia="宋体" w:cs="宋体"/>
          <w:snapToGrid w:val="0"/>
          <w:color w:val="auto"/>
          <w:kern w:val="0"/>
          <w:szCs w:val="21"/>
          <w:highlight w:val="none"/>
        </w:rPr>
        <w:t>可视具体情况确定是否由排名第二的中标候选人为中标供应商，以此类推或</w:t>
      </w:r>
      <w:r>
        <w:rPr>
          <w:rFonts w:hint="eastAsia" w:ascii="宋体" w:hAnsi="宋体" w:eastAsia="宋体" w:cs="宋体"/>
          <w:color w:val="auto"/>
          <w:szCs w:val="21"/>
          <w:highlight w:val="none"/>
        </w:rPr>
        <w:t>重新招标。</w:t>
      </w:r>
    </w:p>
    <w:p w14:paraId="071A6182">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对决标结果不做任何解释，也不保证最低报价者中标。</w:t>
      </w:r>
    </w:p>
    <w:p w14:paraId="169430A3">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评标结果质疑与投诉</w:t>
      </w:r>
    </w:p>
    <w:p w14:paraId="7D63B046">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bookmarkStart w:id="63" w:name="_Toc495977859"/>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认为招标文件、招标过程和中标结果使自己的合法权益受到损害的，在知道或者应知其权益受到损害之日起七个工作日内，以书面形式实名向</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、招标代理机构提出质疑。</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对招标采购单位的质疑答复不满意或者招标采购单位未在规定时间内作出答复的，可以在答复期满后五个工作日内向采购监管部门投诉。</w:t>
      </w:r>
    </w:p>
    <w:p w14:paraId="433EE22A">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对</w:t>
      </w:r>
      <w:r>
        <w:rPr>
          <w:rFonts w:hint="eastAsia" w:ascii="宋体" w:hAnsi="宋体" w:eastAsia="宋体" w:cs="宋体"/>
          <w:color w:val="auto"/>
          <w:highlight w:val="none"/>
          <w:lang w:val="en-US" w:eastAsia="zh-CN"/>
        </w:rPr>
        <w:t>采购公告</w:t>
      </w:r>
      <w:r>
        <w:rPr>
          <w:rFonts w:hint="eastAsia" w:ascii="宋体" w:hAnsi="宋体" w:eastAsia="宋体" w:cs="宋体"/>
          <w:color w:val="auto"/>
          <w:highlight w:val="none"/>
        </w:rPr>
        <w:t>信息（含供应商资格条件）或申请获取的</w:t>
      </w:r>
      <w:r>
        <w:rPr>
          <w:rFonts w:hint="eastAsia" w:ascii="宋体" w:hAnsi="宋体" w:eastAsia="宋体" w:cs="宋体"/>
          <w:color w:val="auto"/>
          <w:highlight w:val="none"/>
          <w:lang w:val="en-US" w:eastAsia="zh-CN"/>
        </w:rPr>
        <w:t>招标</w:t>
      </w:r>
      <w:r>
        <w:rPr>
          <w:rFonts w:hint="eastAsia" w:ascii="宋体" w:hAnsi="宋体" w:eastAsia="宋体" w:cs="宋体"/>
          <w:color w:val="auto"/>
          <w:highlight w:val="none"/>
        </w:rPr>
        <w:t>文件提出质疑的，质疑期限自采购</w:t>
      </w:r>
      <w:r>
        <w:rPr>
          <w:rFonts w:hint="eastAsia" w:ascii="宋体" w:hAnsi="宋体" w:eastAsia="宋体" w:cs="宋体"/>
          <w:color w:val="auto"/>
          <w:highlight w:val="none"/>
          <w:lang w:val="en-US" w:eastAsia="zh-CN"/>
        </w:rPr>
        <w:t>采购公告</w:t>
      </w:r>
      <w:r>
        <w:rPr>
          <w:rFonts w:hint="eastAsia" w:ascii="宋体" w:hAnsi="宋体" w:eastAsia="宋体" w:cs="宋体"/>
          <w:color w:val="auto"/>
          <w:highlight w:val="none"/>
        </w:rPr>
        <w:t>或</w:t>
      </w:r>
      <w:r>
        <w:rPr>
          <w:rFonts w:hint="eastAsia" w:ascii="宋体" w:hAnsi="宋体" w:eastAsia="宋体" w:cs="宋体"/>
          <w:color w:val="auto"/>
          <w:highlight w:val="none"/>
          <w:lang w:val="en-US" w:eastAsia="zh-CN"/>
        </w:rPr>
        <w:t>招标</w:t>
      </w:r>
      <w:r>
        <w:rPr>
          <w:rFonts w:hint="eastAsia" w:ascii="宋体" w:hAnsi="宋体" w:eastAsia="宋体" w:cs="宋体"/>
          <w:color w:val="auto"/>
          <w:highlight w:val="none"/>
        </w:rPr>
        <w:t>文件发布之日起计算，且应当在</w:t>
      </w:r>
      <w:r>
        <w:rPr>
          <w:rFonts w:hint="eastAsia" w:ascii="宋体" w:hAnsi="宋体" w:eastAsia="宋体" w:cs="宋体"/>
          <w:color w:val="auto"/>
          <w:highlight w:val="none"/>
          <w:lang w:val="en-US" w:eastAsia="zh-CN"/>
        </w:rPr>
        <w:t>投标</w:t>
      </w:r>
      <w:r>
        <w:rPr>
          <w:rFonts w:hint="eastAsia" w:ascii="宋体" w:hAnsi="宋体" w:eastAsia="宋体" w:cs="宋体"/>
          <w:color w:val="auto"/>
          <w:highlight w:val="none"/>
        </w:rPr>
        <w:t>响应截止时间之前提出，否则，被质疑人可不予接受。</w:t>
      </w:r>
    </w:p>
    <w:p w14:paraId="37C7B726">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质疑、投诉应当采用书面形式，质疑书、投诉书均应明确阐述招标文件、招标过程和中标结果中使自己合法权益受到损害的实质性内容，提供相关事实、依据和证据及其来源或线索，便于有关单位调查、答复和处理。</w:t>
      </w:r>
    </w:p>
    <w:p w14:paraId="059952CA">
      <w:pPr>
        <w:tabs>
          <w:tab w:val="left" w:pos="900"/>
        </w:tabs>
        <w:spacing w:line="360" w:lineRule="auto"/>
        <w:ind w:left="840" w:leftChars="400"/>
        <w:rPr>
          <w:rFonts w:hint="eastAsia" w:ascii="宋体" w:hAnsi="宋体" w:eastAsia="宋体" w:cs="宋体"/>
          <w:color w:val="auto"/>
          <w:highlight w:val="none"/>
          <w:lang w:eastAsia="zh-CN"/>
        </w:rPr>
      </w:pPr>
      <w:r>
        <w:rPr>
          <w:rFonts w:hint="eastAsia" w:ascii="宋体" w:hAnsi="宋体" w:cs="宋体"/>
          <w:color w:val="auto"/>
          <w:highlight w:val="none"/>
          <w:lang w:eastAsia="zh-CN"/>
        </w:rPr>
        <w:t>（</w:t>
      </w:r>
      <w:r>
        <w:rPr>
          <w:rFonts w:hint="eastAsia" w:ascii="宋体" w:hAnsi="宋体" w:eastAsia="宋体" w:cs="宋体"/>
          <w:color w:val="auto"/>
          <w:highlight w:val="none"/>
        </w:rPr>
        <w:t>1</w:t>
      </w:r>
      <w:r>
        <w:rPr>
          <w:rFonts w:hint="eastAsia" w:ascii="宋体" w:hAnsi="宋体" w:cs="宋体"/>
          <w:color w:val="auto"/>
          <w:highlight w:val="none"/>
          <w:lang w:eastAsia="zh-CN"/>
        </w:rPr>
        <w:t>）</w:t>
      </w:r>
      <w:r>
        <w:rPr>
          <w:rFonts w:hint="eastAsia" w:ascii="宋体" w:hAnsi="宋体" w:eastAsia="宋体" w:cs="宋体"/>
          <w:color w:val="auto"/>
          <w:highlight w:val="none"/>
        </w:rPr>
        <w:t>质疑受理机构：</w:t>
      </w:r>
      <w:r>
        <w:rPr>
          <w:rFonts w:hint="eastAsia" w:ascii="宋体" w:hAnsi="宋体" w:eastAsia="宋体" w:cs="宋体"/>
          <w:color w:val="auto"/>
          <w:highlight w:val="none"/>
          <w:lang w:eastAsia="zh-CN"/>
        </w:rPr>
        <w:t>温州市兴城工程造价审计咨询事务所（普通合伙）</w:t>
      </w:r>
    </w:p>
    <w:p w14:paraId="2E032051">
      <w:pPr>
        <w:tabs>
          <w:tab w:val="left" w:pos="900"/>
        </w:tabs>
        <w:spacing w:line="360" w:lineRule="auto"/>
        <w:ind w:left="840" w:leftChars="400"/>
        <w:rPr>
          <w:rFonts w:hint="eastAsia" w:ascii="宋体" w:hAnsi="宋体" w:eastAsia="宋体" w:cs="宋体"/>
          <w:color w:val="auto"/>
          <w:highlight w:val="none"/>
          <w:lang w:eastAsia="zh-CN"/>
        </w:rPr>
      </w:pPr>
      <w:r>
        <w:rPr>
          <w:rFonts w:hint="eastAsia" w:ascii="宋体" w:hAnsi="宋体" w:eastAsia="宋体" w:cs="宋体"/>
          <w:color w:val="auto"/>
          <w:highlight w:val="none"/>
        </w:rPr>
        <w:t>联系电话：</w:t>
      </w:r>
      <w:r>
        <w:rPr>
          <w:rFonts w:hint="eastAsia" w:ascii="宋体" w:hAnsi="宋体" w:eastAsia="宋体" w:cs="宋体"/>
          <w:color w:val="auto"/>
          <w:highlight w:val="none"/>
          <w:lang w:eastAsia="zh-CN"/>
        </w:rPr>
        <w:t>0577-88370285</w:t>
      </w:r>
    </w:p>
    <w:p w14:paraId="71A2EAFF">
      <w:pPr>
        <w:keepNext w:val="0"/>
        <w:keepLines w:val="0"/>
        <w:pageBreakBefore w:val="0"/>
        <w:tabs>
          <w:tab w:val="left" w:pos="900"/>
        </w:tabs>
        <w:kinsoku/>
        <w:wordWrap/>
        <w:overflowPunct/>
        <w:topLinePunct w:val="0"/>
        <w:autoSpaceDE/>
        <w:autoSpaceDN/>
        <w:bidi w:val="0"/>
        <w:adjustRightInd/>
        <w:spacing w:line="360" w:lineRule="auto"/>
        <w:ind w:left="840" w:leftChars="400"/>
        <w:textAlignment w:val="auto"/>
        <w:rPr>
          <w:rFonts w:hint="eastAsia" w:ascii="宋体" w:hAnsi="宋体" w:eastAsia="宋体" w:cs="宋体"/>
          <w:color w:val="auto"/>
          <w:highlight w:val="none"/>
          <w:lang w:eastAsia="zh-CN"/>
        </w:rPr>
      </w:pPr>
      <w:r>
        <w:rPr>
          <w:rFonts w:hint="eastAsia" w:ascii="宋体" w:hAnsi="宋体" w:cs="宋体"/>
          <w:color w:val="auto"/>
          <w:highlight w:val="none"/>
          <w:lang w:eastAsia="zh-CN"/>
        </w:rPr>
        <w:t>（</w:t>
      </w:r>
      <w:r>
        <w:rPr>
          <w:rFonts w:hint="eastAsia" w:ascii="宋体" w:hAnsi="宋体" w:eastAsia="宋体" w:cs="宋体"/>
          <w:color w:val="auto"/>
          <w:highlight w:val="none"/>
        </w:rPr>
        <w:t>2</w:t>
      </w:r>
      <w:r>
        <w:rPr>
          <w:rFonts w:hint="eastAsia" w:ascii="宋体" w:hAnsi="宋体" w:cs="宋体"/>
          <w:color w:val="auto"/>
          <w:highlight w:val="none"/>
          <w:lang w:eastAsia="zh-CN"/>
        </w:rPr>
        <w:t>）</w:t>
      </w:r>
      <w:r>
        <w:rPr>
          <w:rFonts w:hint="eastAsia" w:ascii="宋体" w:hAnsi="宋体" w:eastAsia="宋体" w:cs="宋体"/>
          <w:color w:val="auto"/>
          <w:highlight w:val="none"/>
        </w:rPr>
        <w:t>投诉受理机构：</w:t>
      </w:r>
      <w:r>
        <w:rPr>
          <w:rFonts w:hint="eastAsia" w:ascii="宋体" w:hAnsi="宋体" w:cs="宋体"/>
          <w:color w:val="auto"/>
          <w:sz w:val="21"/>
          <w:szCs w:val="21"/>
          <w:highlight w:val="none"/>
          <w:lang w:eastAsia="zh-CN"/>
        </w:rPr>
        <w:t>温州市工业与能源发展集团有限公司</w:t>
      </w:r>
    </w:p>
    <w:p w14:paraId="097A6707">
      <w:pPr>
        <w:keepNext w:val="0"/>
        <w:keepLines w:val="0"/>
        <w:pageBreakBefore w:val="0"/>
        <w:tabs>
          <w:tab w:val="left" w:pos="900"/>
        </w:tabs>
        <w:kinsoku/>
        <w:wordWrap/>
        <w:overflowPunct/>
        <w:topLinePunct w:val="0"/>
        <w:autoSpaceDE/>
        <w:autoSpaceDN/>
        <w:bidi w:val="0"/>
        <w:adjustRightInd/>
        <w:spacing w:line="360" w:lineRule="auto"/>
        <w:ind w:left="840" w:leftChars="4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投诉电话：</w:t>
      </w:r>
      <w:r>
        <w:rPr>
          <w:rFonts w:hint="eastAsia" w:ascii="宋体" w:hAnsi="宋体" w:cs="宋体"/>
          <w:color w:val="auto"/>
          <w:highlight w:val="none"/>
          <w:lang w:eastAsia="zh-CN"/>
        </w:rPr>
        <w:t>0577-55598012</w:t>
      </w:r>
    </w:p>
    <w:p w14:paraId="37DDDF55">
      <w:pPr>
        <w:tabs>
          <w:tab w:val="left" w:pos="900"/>
        </w:tabs>
        <w:spacing w:line="360" w:lineRule="auto"/>
        <w:rPr>
          <w:rFonts w:hint="eastAsia" w:ascii="宋体" w:hAnsi="宋体" w:eastAsia="宋体" w:cs="宋体"/>
          <w:color w:val="auto"/>
          <w:highlight w:val="none"/>
        </w:rPr>
      </w:pPr>
    </w:p>
    <w:p w14:paraId="36EE8A3D">
      <w:pPr>
        <w:spacing w:line="360" w:lineRule="auto"/>
        <w:jc w:val="center"/>
        <w:outlineLvl w:val="1"/>
        <w:rPr>
          <w:rFonts w:hint="eastAsia" w:ascii="宋体" w:hAnsi="宋体" w:eastAsia="宋体" w:cs="宋体"/>
          <w:b/>
          <w:bCs/>
          <w:color w:val="auto"/>
          <w:sz w:val="28"/>
          <w:highlight w:val="none"/>
        </w:rPr>
      </w:pPr>
      <w:bookmarkStart w:id="64" w:name="_Toc3290"/>
      <w:bookmarkStart w:id="65" w:name="_Toc3079"/>
      <w:bookmarkStart w:id="66" w:name="_Toc15051"/>
      <w:r>
        <w:rPr>
          <w:rFonts w:hint="eastAsia" w:ascii="宋体" w:hAnsi="宋体" w:eastAsia="宋体" w:cs="宋体"/>
          <w:b/>
          <w:bCs/>
          <w:color w:val="auto"/>
          <w:sz w:val="28"/>
          <w:highlight w:val="none"/>
        </w:rPr>
        <w:t>（七）授予合同</w:t>
      </w:r>
      <w:bookmarkEnd w:id="63"/>
      <w:bookmarkEnd w:id="64"/>
      <w:bookmarkEnd w:id="65"/>
      <w:bookmarkEnd w:id="66"/>
    </w:p>
    <w:p w14:paraId="140FC57F">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合同授予标准</w:t>
      </w:r>
    </w:p>
    <w:p w14:paraId="20EA1E04">
      <w:pPr>
        <w:numPr>
          <w:ilvl w:val="1"/>
          <w:numId w:val="6"/>
        </w:numPr>
        <w:tabs>
          <w:tab w:val="left" w:pos="680"/>
          <w:tab w:val="clear" w:pos="1003"/>
        </w:tabs>
        <w:snapToGrid w:val="0"/>
        <w:spacing w:line="360" w:lineRule="auto"/>
        <w:ind w:left="680" w:hanging="680"/>
        <w:rPr>
          <w:rFonts w:hint="eastAsia" w:ascii="宋体" w:hAnsi="宋体" w:eastAsia="宋体" w:cs="宋体"/>
          <w:color w:val="auto"/>
          <w:highlight w:val="none"/>
        </w:rPr>
      </w:pPr>
      <w:r>
        <w:rPr>
          <w:rFonts w:hint="eastAsia" w:ascii="宋体" w:hAnsi="宋体" w:eastAsia="宋体" w:cs="宋体"/>
          <w:color w:val="auto"/>
          <w:highlight w:val="none"/>
        </w:rPr>
        <w:t>最终审查</w:t>
      </w:r>
    </w:p>
    <w:p w14:paraId="4465D9B8">
      <w:pPr>
        <w:numPr>
          <w:ilvl w:val="1"/>
          <w:numId w:val="6"/>
        </w:numPr>
        <w:tabs>
          <w:tab w:val="left" w:pos="680"/>
          <w:tab w:val="clear" w:pos="1003"/>
        </w:tabs>
        <w:snapToGrid w:val="0"/>
        <w:spacing w:line="360" w:lineRule="auto"/>
        <w:ind w:left="680" w:hanging="680"/>
        <w:rPr>
          <w:rFonts w:hint="eastAsia" w:ascii="宋体" w:hAnsi="宋体" w:eastAsia="宋体" w:cs="宋体"/>
          <w:color w:val="auto"/>
          <w:highlight w:val="none"/>
        </w:rPr>
      </w:pPr>
      <w:r>
        <w:rPr>
          <w:rFonts w:hint="eastAsia" w:ascii="宋体" w:hAnsi="宋体" w:eastAsia="宋体" w:cs="宋体"/>
          <w:color w:val="auto"/>
          <w:highlight w:val="none"/>
        </w:rPr>
        <w:t>评审结束后，</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将对中标候选人进行最终审查，审查内容主要是：</w:t>
      </w:r>
    </w:p>
    <w:p w14:paraId="4D5B9560">
      <w:pPr>
        <w:numPr>
          <w:ilvl w:val="0"/>
          <w:numId w:val="15"/>
        </w:numPr>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投标供应商</w:t>
      </w:r>
      <w:r>
        <w:rPr>
          <w:rFonts w:hint="eastAsia" w:ascii="宋体" w:hAnsi="宋体" w:eastAsia="宋体" w:cs="宋体"/>
          <w:color w:val="auto"/>
          <w:szCs w:val="21"/>
          <w:highlight w:val="none"/>
        </w:rPr>
        <w:t>的实力、资信的真实性及行业口碑等；</w:t>
      </w:r>
    </w:p>
    <w:p w14:paraId="7703B3F4">
      <w:pPr>
        <w:numPr>
          <w:ilvl w:val="0"/>
          <w:numId w:val="15"/>
        </w:numPr>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投标供应商</w:t>
      </w:r>
      <w:r>
        <w:rPr>
          <w:rFonts w:hint="eastAsia" w:ascii="宋体" w:hAnsi="宋体" w:eastAsia="宋体" w:cs="宋体"/>
          <w:color w:val="auto"/>
          <w:szCs w:val="21"/>
          <w:highlight w:val="none"/>
        </w:rPr>
        <w:t>履行合同的能力；</w:t>
      </w:r>
    </w:p>
    <w:p w14:paraId="4A90DB42">
      <w:pPr>
        <w:numPr>
          <w:ilvl w:val="1"/>
          <w:numId w:val="6"/>
        </w:numPr>
        <w:tabs>
          <w:tab w:val="left" w:pos="680"/>
          <w:tab w:val="clear" w:pos="1003"/>
        </w:tabs>
        <w:snapToGrid w:val="0"/>
        <w:spacing w:line="360" w:lineRule="auto"/>
        <w:ind w:left="680" w:hanging="680"/>
        <w:rPr>
          <w:rFonts w:hint="eastAsia" w:ascii="宋体" w:hAnsi="宋体" w:eastAsia="宋体" w:cs="宋体"/>
          <w:color w:val="auto"/>
          <w:highlight w:val="none"/>
        </w:rPr>
      </w:pPr>
      <w:r>
        <w:rPr>
          <w:rFonts w:hint="eastAsia" w:ascii="宋体" w:hAnsi="宋体" w:eastAsia="宋体" w:cs="宋体"/>
          <w:color w:val="auto"/>
          <w:highlight w:val="none"/>
        </w:rPr>
        <w:t>最终审查工作如需中标人配合，中标人必须接受。</w:t>
      </w:r>
    </w:p>
    <w:p w14:paraId="5022104A">
      <w:pPr>
        <w:numPr>
          <w:ilvl w:val="1"/>
          <w:numId w:val="6"/>
        </w:numPr>
        <w:tabs>
          <w:tab w:val="left" w:pos="680"/>
          <w:tab w:val="clear" w:pos="1003"/>
        </w:tabs>
        <w:snapToGrid w:val="0"/>
        <w:spacing w:line="360" w:lineRule="auto"/>
        <w:ind w:left="680" w:hanging="680"/>
        <w:rPr>
          <w:rFonts w:hint="eastAsia" w:ascii="宋体" w:hAnsi="宋体" w:eastAsia="宋体" w:cs="宋体"/>
          <w:color w:val="auto"/>
          <w:highlight w:val="none"/>
        </w:rPr>
      </w:pPr>
      <w:r>
        <w:rPr>
          <w:rFonts w:hint="eastAsia" w:ascii="宋体" w:hAnsi="宋体" w:eastAsia="宋体" w:cs="宋体"/>
          <w:color w:val="auto"/>
          <w:highlight w:val="none"/>
        </w:rPr>
        <w:t>中标人如未能通过最终审查，</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将视具体情况，提出具体限时整改要求，中标人如未能达到整改要求，其中标资格将被取消。</w:t>
      </w:r>
    </w:p>
    <w:p w14:paraId="108FCD71">
      <w:pPr>
        <w:numPr>
          <w:ilvl w:val="1"/>
          <w:numId w:val="6"/>
        </w:numPr>
        <w:tabs>
          <w:tab w:val="left" w:pos="680"/>
          <w:tab w:val="clear" w:pos="1003"/>
        </w:tabs>
        <w:snapToGrid w:val="0"/>
        <w:spacing w:line="360" w:lineRule="auto"/>
        <w:ind w:left="680" w:hanging="680"/>
        <w:rPr>
          <w:rFonts w:hint="eastAsia" w:ascii="宋体" w:hAnsi="宋体" w:eastAsia="宋体" w:cs="宋体"/>
          <w:color w:val="auto"/>
          <w:highlight w:val="none"/>
        </w:rPr>
      </w:pP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将合同授予获接受的</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w:t>
      </w:r>
    </w:p>
    <w:p w14:paraId="1290D664">
      <w:pPr>
        <w:numPr>
          <w:ilvl w:val="1"/>
          <w:numId w:val="6"/>
        </w:numPr>
        <w:tabs>
          <w:tab w:val="left" w:pos="680"/>
          <w:tab w:val="clear" w:pos="1003"/>
        </w:tabs>
        <w:snapToGrid w:val="0"/>
        <w:spacing w:line="360" w:lineRule="auto"/>
        <w:ind w:left="680" w:hanging="680"/>
        <w:rPr>
          <w:rFonts w:hint="eastAsia" w:ascii="宋体" w:hAnsi="宋体" w:eastAsia="宋体" w:cs="宋体"/>
          <w:color w:val="auto"/>
          <w:highlight w:val="none"/>
        </w:rPr>
      </w:pPr>
      <w:r>
        <w:rPr>
          <w:rFonts w:hint="eastAsia" w:ascii="宋体" w:hAnsi="宋体" w:eastAsia="宋体" w:cs="宋体"/>
          <w:color w:val="auto"/>
          <w:highlight w:val="none"/>
        </w:rPr>
        <w:t>合同签订后，中标人在供货过程中出现质量或其他问题，</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根据合同约定终止合同，视具体情况确定是否由排名第二的中标候选人为中标供应商，以此类推或重新招标。</w:t>
      </w:r>
    </w:p>
    <w:p w14:paraId="33914472">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中标通知</w:t>
      </w:r>
    </w:p>
    <w:p w14:paraId="37891724">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在投标有效期期满之前，</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将用书面形式向获接受的</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发出书面的《中标通知书》。</w:t>
      </w:r>
    </w:p>
    <w:p w14:paraId="4867609A">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《中标通知书》将是合同的一个组成部分。</w:t>
      </w:r>
    </w:p>
    <w:p w14:paraId="565BC190">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签订合同</w:t>
      </w:r>
    </w:p>
    <w:p w14:paraId="46AE063F">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在收到《中标通知书》后，中标人应按照“通知书”的规定，派遣其代表前往与</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（见本招标文件第四部分）签署书面合同。</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不得再要求订立背离合同实质性内容的其它合同或要求</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签署其它任何声明或合同，否则将被取消其中标资格。</w:t>
      </w:r>
    </w:p>
    <w:p w14:paraId="2EC7A915">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招标文件、中标人的投标文件及投标修改文件、评标过程中有关澄清文件、经双方签字的询标纪要和中标通知书，均应作为签订合同的依据。</w:t>
      </w:r>
    </w:p>
    <w:p w14:paraId="0941132E">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中标人不遵守招标文件或投标书的要约、承诺，擅自修改报价或在接到中标通知书后，借故拖延、拒签合同者，除赔偿采购人损失外，采购代理机构即可直接没收投标保证金。同时，采购代理机构取消该单位的中标资格，另选其它投标人中标</w:t>
      </w:r>
      <w:r>
        <w:rPr>
          <w:rFonts w:hint="eastAsia" w:ascii="宋体" w:hAnsi="宋体" w:eastAsia="宋体" w:cs="宋体"/>
          <w:color w:val="auto"/>
          <w:highlight w:val="none"/>
          <w:lang w:eastAsia="zh-CN"/>
        </w:rPr>
        <w:t>。</w:t>
      </w:r>
    </w:p>
    <w:p w14:paraId="14A5C409">
      <w:pPr>
        <w:keepNext w:val="0"/>
        <w:keepLines w:val="0"/>
        <w:pageBreakBefore w:val="0"/>
        <w:numPr>
          <w:ilvl w:val="1"/>
          <w:numId w:val="6"/>
        </w:numPr>
        <w:tabs>
          <w:tab w:val="left" w:pos="592"/>
        </w:tabs>
        <w:kinsoku/>
        <w:wordWrap/>
        <w:overflowPunct/>
        <w:topLinePunct w:val="0"/>
        <w:autoSpaceDE/>
        <w:autoSpaceDN/>
        <w:bidi w:val="0"/>
        <w:adjustRightInd/>
        <w:snapToGrid w:val="0"/>
        <w:spacing w:line="360" w:lineRule="auto"/>
        <w:ind w:left="588" w:hanging="588" w:hangingChars="280"/>
        <w:textAlignment w:val="auto"/>
        <w:rPr>
          <w:rFonts w:hint="eastAsia" w:ascii="宋体" w:hAnsi="宋体" w:eastAsia="宋体" w:cs="宋体"/>
          <w:color w:val="auto"/>
          <w:sz w:val="21"/>
          <w:szCs w:val="21"/>
          <w:highlight w:val="none"/>
        </w:rPr>
      </w:pPr>
      <w:r>
        <w:rPr>
          <w:rFonts w:hint="eastAsia" w:ascii="宋体" w:hAnsi="宋体" w:eastAsia="宋体" w:cs="宋体"/>
          <w:color w:val="auto"/>
          <w:highlight w:val="none"/>
        </w:rPr>
        <w:t>拒</w:t>
      </w:r>
      <w:r>
        <w:rPr>
          <w:rFonts w:hint="eastAsia" w:ascii="宋体" w:hAnsi="宋体" w:eastAsia="宋体" w:cs="宋体"/>
          <w:color w:val="auto"/>
          <w:sz w:val="21"/>
          <w:szCs w:val="21"/>
          <w:highlight w:val="none"/>
        </w:rPr>
        <w:t>签合同的责任：中标人接到中标通知书后，在规定时间内借故否认已经承诺的条件而拒签合同或拒交履约保证金者，以投标违约处理，并赔偿</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由此造成的直接经济损失。</w:t>
      </w:r>
    </w:p>
    <w:p w14:paraId="354502D4">
      <w:pPr>
        <w:keepNext w:val="0"/>
        <w:keepLines w:val="0"/>
        <w:pageBreakBefore w:val="0"/>
        <w:widowControl/>
        <w:numPr>
          <w:ilvl w:val="0"/>
          <w:numId w:val="6"/>
        </w:numPr>
        <w:tabs>
          <w:tab w:val="left" w:pos="425"/>
          <w:tab w:val="clear" w:pos="687"/>
        </w:tabs>
        <w:kinsoku/>
        <w:wordWrap/>
        <w:overflowPunct/>
        <w:topLinePunct w:val="0"/>
        <w:autoSpaceDE/>
        <w:autoSpaceDN/>
        <w:bidi w:val="0"/>
        <w:adjustRightInd/>
        <w:spacing w:line="360" w:lineRule="auto"/>
        <w:ind w:left="425" w:hanging="425"/>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eastAsia="zh-CN"/>
        </w:rPr>
        <w:t>代理服务费</w:t>
      </w:r>
    </w:p>
    <w:p w14:paraId="33F39FD2">
      <w:pPr>
        <w:keepNext w:val="0"/>
        <w:keepLines w:val="0"/>
        <w:pageBreakBefore w:val="0"/>
        <w:widowControl w:val="0"/>
        <w:numPr>
          <w:ilvl w:val="0"/>
          <w:numId w:val="0"/>
        </w:numPr>
        <w:tabs>
          <w:tab w:val="left" w:pos="540"/>
        </w:tabs>
        <w:kinsoku/>
        <w:wordWrap/>
        <w:overflowPunct/>
        <w:topLinePunct w:val="0"/>
        <w:autoSpaceDE/>
        <w:autoSpaceDN/>
        <w:bidi w:val="0"/>
        <w:adjustRightIn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38.1</w:t>
      </w:r>
      <w:r>
        <w:rPr>
          <w:rFonts w:hint="eastAsia" w:ascii="宋体" w:hAnsi="宋体" w:eastAsia="宋体" w:cs="宋体"/>
          <w:b/>
          <w:bCs/>
          <w:color w:val="auto"/>
          <w:sz w:val="21"/>
          <w:szCs w:val="21"/>
          <w:highlight w:val="none"/>
        </w:rPr>
        <w:t>本次采购代理服务费按</w:t>
      </w:r>
      <w:r>
        <w:rPr>
          <w:rFonts w:hint="eastAsia" w:ascii="宋体" w:hAnsi="宋体" w:eastAsia="宋体" w:cs="宋体"/>
          <w:b/>
          <w:bCs/>
          <w:color w:val="auto"/>
          <w:sz w:val="21"/>
          <w:szCs w:val="21"/>
          <w:highlight w:val="none"/>
          <w:lang w:eastAsia="zh-CN"/>
        </w:rPr>
        <w:t>壹万</w:t>
      </w:r>
      <w:r>
        <w:rPr>
          <w:rFonts w:hint="eastAsia" w:ascii="宋体" w:hAnsi="宋体" w:cs="宋体"/>
          <w:b/>
          <w:bCs/>
          <w:color w:val="auto"/>
          <w:sz w:val="21"/>
          <w:szCs w:val="21"/>
          <w:highlight w:val="none"/>
          <w:lang w:eastAsia="zh-CN"/>
        </w:rPr>
        <w:t>贰</w:t>
      </w:r>
      <w:r>
        <w:rPr>
          <w:rFonts w:hint="eastAsia" w:ascii="宋体" w:hAnsi="宋体" w:eastAsia="宋体" w:cs="宋体"/>
          <w:b/>
          <w:bCs/>
          <w:color w:val="auto"/>
          <w:sz w:val="21"/>
          <w:szCs w:val="21"/>
          <w:highlight w:val="none"/>
          <w:lang w:eastAsia="zh-CN"/>
        </w:rPr>
        <w:t>仟元计取</w:t>
      </w:r>
      <w:r>
        <w:rPr>
          <w:rFonts w:hint="eastAsia" w:ascii="宋体" w:hAnsi="宋体" w:eastAsia="宋体" w:cs="宋体"/>
          <w:b/>
          <w:bCs/>
          <w:color w:val="auto"/>
          <w:sz w:val="21"/>
          <w:szCs w:val="21"/>
          <w:highlight w:val="none"/>
        </w:rPr>
        <w:t>，由中标（成交）人在领取中标（成交）通知书之前付给采购代理机构。</w:t>
      </w:r>
    </w:p>
    <w:p w14:paraId="73C4425E">
      <w:pPr>
        <w:keepNext w:val="0"/>
        <w:keepLines w:val="0"/>
        <w:pageBreakBefore w:val="0"/>
        <w:widowControl w:val="0"/>
        <w:numPr>
          <w:ilvl w:val="0"/>
          <w:numId w:val="0"/>
        </w:numPr>
        <w:tabs>
          <w:tab w:val="left" w:pos="540"/>
        </w:tabs>
        <w:kinsoku/>
        <w:wordWrap/>
        <w:overflowPunct/>
        <w:topLinePunct w:val="0"/>
        <w:autoSpaceDE/>
        <w:autoSpaceDN/>
        <w:bidi w:val="0"/>
        <w:adjustRightInd/>
        <w:spacing w:line="360" w:lineRule="auto"/>
        <w:ind w:leftChars="0"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采购代理服务费可以是现金、支票或汇票。</w:t>
      </w:r>
    </w:p>
    <w:p w14:paraId="5A592B20">
      <w:pPr>
        <w:pStyle w:val="152"/>
        <w:keepNext w:val="0"/>
        <w:keepLines w:val="0"/>
        <w:pageBreakBefore w:val="0"/>
        <w:widowControl w:val="0"/>
        <w:kinsoku/>
        <w:wordWrap/>
        <w:overflowPunct/>
        <w:topLinePunct w:val="0"/>
        <w:autoSpaceDE/>
        <w:autoSpaceDN/>
        <w:bidi w:val="0"/>
        <w:adjustRightInd/>
        <w:snapToGrid w:val="0"/>
        <w:spacing w:before="0" w:beforeLines="0" w:after="0" w:afterLines="0" w:line="360" w:lineRule="auto"/>
        <w:ind w:firstLine="0" w:firstLineChars="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 xml:space="preserve">    开户银行：兴业银行股份有限公司温州鹿城支行</w:t>
      </w:r>
    </w:p>
    <w:p w14:paraId="63CF3C06">
      <w:pPr>
        <w:pStyle w:val="152"/>
        <w:keepNext w:val="0"/>
        <w:keepLines w:val="0"/>
        <w:pageBreakBefore w:val="0"/>
        <w:widowControl w:val="0"/>
        <w:kinsoku/>
        <w:wordWrap/>
        <w:overflowPunct/>
        <w:topLinePunct w:val="0"/>
        <w:autoSpaceDE/>
        <w:autoSpaceDN/>
        <w:bidi w:val="0"/>
        <w:adjustRightInd/>
        <w:snapToGrid w:val="0"/>
        <w:spacing w:before="0" w:beforeLines="0" w:after="0" w:afterLines="0" w:line="360" w:lineRule="auto"/>
        <w:ind w:firstLine="422" w:firstLineChars="20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开户名称：温州市兴城工程造价审计咨询事务所（普通合伙）</w:t>
      </w:r>
    </w:p>
    <w:p w14:paraId="6A5BEA9A">
      <w:pPr>
        <w:pStyle w:val="152"/>
        <w:keepNext w:val="0"/>
        <w:keepLines w:val="0"/>
        <w:pageBreakBefore w:val="0"/>
        <w:widowControl w:val="0"/>
        <w:kinsoku/>
        <w:wordWrap/>
        <w:overflowPunct/>
        <w:topLinePunct w:val="0"/>
        <w:autoSpaceDE/>
        <w:autoSpaceDN/>
        <w:bidi w:val="0"/>
        <w:adjustRightInd/>
        <w:snapToGrid w:val="0"/>
        <w:spacing w:before="0" w:beforeLines="0" w:after="0" w:afterLines="0" w:line="360" w:lineRule="auto"/>
        <w:ind w:firstLine="422" w:firstLineChars="20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开户帐号：355 860 100 1000 51218</w:t>
      </w:r>
    </w:p>
    <w:p w14:paraId="159E3205">
      <w:pPr>
        <w:pStyle w:val="152"/>
        <w:keepNext w:val="0"/>
        <w:keepLines w:val="0"/>
        <w:pageBreakBefore w:val="0"/>
        <w:widowControl w:val="0"/>
        <w:kinsoku/>
        <w:wordWrap/>
        <w:overflowPunct/>
        <w:topLinePunct w:val="0"/>
        <w:autoSpaceDE/>
        <w:autoSpaceDN/>
        <w:bidi w:val="0"/>
        <w:adjustRightInd/>
        <w:snapToGrid w:val="0"/>
        <w:spacing w:before="0" w:beforeLines="0" w:after="0" w:afterLines="0" w:line="360" w:lineRule="auto"/>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38.2乐采云</w:t>
      </w:r>
      <w:r>
        <w:rPr>
          <w:rFonts w:hint="eastAsia" w:ascii="宋体" w:hAnsi="宋体" w:eastAsia="宋体" w:cs="宋体"/>
          <w:color w:val="auto"/>
          <w:sz w:val="21"/>
          <w:szCs w:val="21"/>
          <w:highlight w:val="none"/>
          <w:lang w:val="en-US" w:eastAsia="zh-CN"/>
        </w:rPr>
        <w:t>技术服务费（如有）；</w:t>
      </w:r>
    </w:p>
    <w:p w14:paraId="4C1AA0BC">
      <w:pPr>
        <w:pStyle w:val="152"/>
        <w:keepNext w:val="0"/>
        <w:keepLines w:val="0"/>
        <w:pageBreakBefore w:val="0"/>
        <w:widowControl w:val="0"/>
        <w:kinsoku/>
        <w:wordWrap/>
        <w:overflowPunct/>
        <w:topLinePunct w:val="0"/>
        <w:autoSpaceDE/>
        <w:autoSpaceDN/>
        <w:bidi w:val="0"/>
        <w:adjustRightInd/>
        <w:snapToGrid w:val="0"/>
        <w:spacing w:before="0" w:beforeLines="0" w:after="0" w:afterLines="0" w:line="360" w:lineRule="auto"/>
        <w:ind w:firstLine="422"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fldChar w:fldCharType="begin"/>
      </w:r>
      <w:r>
        <w:rPr>
          <w:rFonts w:hint="eastAsia" w:ascii="宋体" w:hAnsi="宋体" w:eastAsia="宋体" w:cs="宋体"/>
          <w:color w:val="auto"/>
          <w:sz w:val="21"/>
          <w:szCs w:val="21"/>
          <w:highlight w:val="none"/>
          <w:lang w:val="en-US" w:eastAsia="zh-CN"/>
        </w:rPr>
        <w:instrText xml:space="preserve"> = 1 \* GB3 \* MERGEFORMAT </w:instrText>
      </w:r>
      <w:r>
        <w:rPr>
          <w:rFonts w:hint="eastAsia" w:ascii="宋体" w:hAnsi="宋体" w:eastAsia="宋体" w:cs="宋体"/>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en-US" w:eastAsia="zh-CN"/>
        </w:rPr>
        <w:t>①</w:t>
      </w:r>
      <w:r>
        <w:rPr>
          <w:rFonts w:hint="eastAsia" w:ascii="宋体" w:hAnsi="宋体" w:eastAsia="宋体" w:cs="宋体"/>
          <w:color w:val="auto"/>
          <w:sz w:val="21"/>
          <w:szCs w:val="21"/>
          <w:highlight w:val="none"/>
          <w:lang w:val="en-US" w:eastAsia="zh-CN"/>
        </w:rPr>
        <w:fldChar w:fldCharType="end"/>
      </w:r>
      <w:r>
        <w:rPr>
          <w:rFonts w:hint="eastAsia" w:ascii="宋体" w:hAnsi="宋体" w:eastAsia="宋体" w:cs="宋体"/>
          <w:color w:val="auto"/>
          <w:sz w:val="21"/>
          <w:szCs w:val="21"/>
          <w:highlight w:val="none"/>
          <w:lang w:val="en-US" w:eastAsia="zh-CN"/>
        </w:rPr>
        <w:t>中标价80万元以下(含80万元的) : 按800元收取；</w:t>
      </w:r>
    </w:p>
    <w:p w14:paraId="4DD82045">
      <w:pPr>
        <w:pStyle w:val="152"/>
        <w:keepNext w:val="0"/>
        <w:keepLines w:val="0"/>
        <w:pageBreakBefore w:val="0"/>
        <w:widowControl w:val="0"/>
        <w:kinsoku/>
        <w:wordWrap/>
        <w:overflowPunct/>
        <w:topLinePunct w:val="0"/>
        <w:autoSpaceDE/>
        <w:autoSpaceDN/>
        <w:bidi w:val="0"/>
        <w:adjustRightInd/>
        <w:snapToGrid w:val="0"/>
        <w:spacing w:before="0" w:beforeLines="0" w:after="0" w:afterLines="0" w:line="360" w:lineRule="auto"/>
        <w:ind w:firstLine="422"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fldChar w:fldCharType="begin"/>
      </w:r>
      <w:r>
        <w:rPr>
          <w:rFonts w:hint="eastAsia" w:ascii="宋体" w:hAnsi="宋体" w:eastAsia="宋体" w:cs="宋体"/>
          <w:color w:val="auto"/>
          <w:sz w:val="21"/>
          <w:szCs w:val="21"/>
          <w:highlight w:val="none"/>
          <w:lang w:val="en-US" w:eastAsia="zh-CN"/>
        </w:rPr>
        <w:instrText xml:space="preserve"> = 2 \* GB3 \* MERGEFORMAT </w:instrText>
      </w:r>
      <w:r>
        <w:rPr>
          <w:rFonts w:hint="eastAsia" w:ascii="宋体" w:hAnsi="宋体" w:eastAsia="宋体" w:cs="宋体"/>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en-US" w:eastAsia="zh-CN"/>
        </w:rPr>
        <w:t>②</w:t>
      </w:r>
      <w:r>
        <w:rPr>
          <w:rFonts w:hint="eastAsia" w:ascii="宋体" w:hAnsi="宋体" w:eastAsia="宋体" w:cs="宋体"/>
          <w:color w:val="auto"/>
          <w:sz w:val="21"/>
          <w:szCs w:val="21"/>
          <w:highlight w:val="none"/>
          <w:lang w:val="en-US" w:eastAsia="zh-CN"/>
        </w:rPr>
        <w:fldChar w:fldCharType="end"/>
      </w:r>
      <w:r>
        <w:rPr>
          <w:rFonts w:hint="eastAsia" w:ascii="宋体" w:hAnsi="宋体" w:eastAsia="宋体" w:cs="宋体"/>
          <w:color w:val="auto"/>
          <w:sz w:val="21"/>
          <w:szCs w:val="21"/>
          <w:highlight w:val="none"/>
          <w:lang w:val="en-US" w:eastAsia="zh-CN"/>
        </w:rPr>
        <w:t>中标价超过80万元的:中标价的千分之一 (0.1%)，以30000元封顶。中标后，由中标人支付给乐采云公司。</w:t>
      </w:r>
    </w:p>
    <w:p w14:paraId="6DAD8CEC">
      <w:pPr>
        <w:keepNext w:val="0"/>
        <w:keepLines w:val="0"/>
        <w:pageBreakBefore w:val="0"/>
        <w:widowControl/>
        <w:numPr>
          <w:ilvl w:val="0"/>
          <w:numId w:val="6"/>
        </w:numPr>
        <w:tabs>
          <w:tab w:val="left" w:pos="425"/>
          <w:tab w:val="clear" w:pos="687"/>
        </w:tabs>
        <w:kinsoku/>
        <w:wordWrap/>
        <w:overflowPunct/>
        <w:topLinePunct w:val="0"/>
        <w:autoSpaceDE/>
        <w:autoSpaceDN/>
        <w:bidi w:val="0"/>
        <w:adjustRightInd/>
        <w:spacing w:line="360" w:lineRule="auto"/>
        <w:ind w:left="425" w:hanging="425"/>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招标结束</w:t>
      </w:r>
    </w:p>
    <w:p w14:paraId="36DB6F47">
      <w:pPr>
        <w:keepNext w:val="0"/>
        <w:keepLines w:val="0"/>
        <w:pageBreakBefore w:val="0"/>
        <w:numPr>
          <w:ilvl w:val="1"/>
          <w:numId w:val="6"/>
        </w:numPr>
        <w:tabs>
          <w:tab w:val="left" w:pos="567"/>
          <w:tab w:val="clear" w:pos="1003"/>
        </w:tabs>
        <w:kinsoku/>
        <w:wordWrap/>
        <w:overflowPunct/>
        <w:topLinePunct w:val="0"/>
        <w:autoSpaceDE/>
        <w:autoSpaceDN/>
        <w:bidi w:val="0"/>
        <w:adjustRightInd/>
        <w:snapToGrid w:val="0"/>
        <w:spacing w:line="360" w:lineRule="auto"/>
        <w:ind w:left="567"/>
        <w:textAlignment w:val="auto"/>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中标人与</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签订合同协议书后即为招标结束。</w:t>
      </w:r>
    </w:p>
    <w:p w14:paraId="246DD2FB">
      <w:pPr>
        <w:pStyle w:val="20"/>
        <w:spacing w:after="50" w:line="360" w:lineRule="auto"/>
        <w:ind w:firstLine="420" w:firstLineChars="0"/>
        <w:jc w:val="center"/>
        <w:outlineLvl w:val="0"/>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br w:type="page"/>
      </w:r>
      <w:bookmarkStart w:id="67" w:name="_Toc15784"/>
      <w:bookmarkStart w:id="68" w:name="_Toc28483"/>
      <w:bookmarkStart w:id="69" w:name="_Toc24076"/>
      <w:r>
        <w:rPr>
          <w:rFonts w:hint="eastAsia" w:ascii="宋体" w:hAnsi="宋体" w:eastAsia="宋体" w:cs="宋体"/>
          <w:b/>
          <w:bCs/>
          <w:color w:val="auto"/>
          <w:szCs w:val="28"/>
          <w:highlight w:val="none"/>
        </w:rPr>
        <w:t>第三部分  招标内容及技术要求</w:t>
      </w:r>
      <w:bookmarkEnd w:id="67"/>
      <w:bookmarkEnd w:id="68"/>
      <w:bookmarkEnd w:id="69"/>
      <w:bookmarkStart w:id="70" w:name="_Toc361996155"/>
    </w:p>
    <w:p w14:paraId="374FF80A">
      <w:pPr>
        <w:pStyle w:val="228"/>
        <w:numPr>
          <w:ilvl w:val="0"/>
          <w:numId w:val="0"/>
        </w:numPr>
        <w:tabs>
          <w:tab w:val="left" w:pos="486"/>
          <w:tab w:val="left" w:pos="972"/>
        </w:tabs>
        <w:spacing w:line="360" w:lineRule="auto"/>
        <w:jc w:val="center"/>
        <w:outlineLvl w:val="2"/>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rPr>
        <w:t>（一）概述</w:t>
      </w:r>
    </w:p>
    <w:p w14:paraId="783A0F82">
      <w:pPr>
        <w:keepNext w:val="0"/>
        <w:keepLines w:val="0"/>
        <w:pageBreakBefore w:val="0"/>
        <w:widowControl w:val="0"/>
        <w:kinsoku/>
        <w:wordWrap/>
        <w:overflowPunct/>
        <w:topLinePunct w:val="0"/>
        <w:autoSpaceDE/>
        <w:autoSpaceDN/>
        <w:bidi w:val="0"/>
        <w:adjustRightInd/>
        <w:snapToGrid w:val="0"/>
        <w:spacing w:line="360" w:lineRule="auto"/>
        <w:ind w:left="420" w:hanging="420" w:hanging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1.1 </w:t>
      </w:r>
      <w:r>
        <w:rPr>
          <w:rFonts w:hint="eastAsia" w:ascii="宋体" w:hAnsi="宋体" w:eastAsia="宋体" w:cs="宋体"/>
          <w:color w:val="auto"/>
          <w:sz w:val="21"/>
          <w:szCs w:val="21"/>
          <w:highlight w:val="none"/>
          <w:lang w:eastAsia="zh-CN"/>
        </w:rPr>
        <w:t>投标供应商</w:t>
      </w:r>
      <w:r>
        <w:rPr>
          <w:rFonts w:hint="eastAsia" w:ascii="宋体" w:hAnsi="宋体" w:eastAsia="宋体" w:cs="宋体"/>
          <w:color w:val="auto"/>
          <w:sz w:val="21"/>
          <w:szCs w:val="21"/>
          <w:highlight w:val="none"/>
        </w:rPr>
        <w:t>应根据招标文件所提出的产品技术规格、参数、数量和服务要求，综合考虑货物的适应性，选择具有最佳性能价格比的产品前来投标。希望</w:t>
      </w:r>
      <w:r>
        <w:rPr>
          <w:rFonts w:hint="eastAsia" w:ascii="宋体" w:hAnsi="宋体" w:eastAsia="宋体" w:cs="宋体"/>
          <w:color w:val="auto"/>
          <w:sz w:val="21"/>
          <w:szCs w:val="21"/>
          <w:highlight w:val="none"/>
          <w:lang w:eastAsia="zh-CN"/>
        </w:rPr>
        <w:t>投标供应商</w:t>
      </w:r>
      <w:r>
        <w:rPr>
          <w:rFonts w:hint="eastAsia" w:ascii="宋体" w:hAnsi="宋体" w:eastAsia="宋体" w:cs="宋体"/>
          <w:color w:val="auto"/>
          <w:sz w:val="21"/>
          <w:szCs w:val="21"/>
          <w:highlight w:val="none"/>
        </w:rPr>
        <w:t>以优质的产品、优良的服务和优惠的价格，充分显示自身的竞争实力</w:t>
      </w:r>
    </w:p>
    <w:p w14:paraId="79655984">
      <w:pPr>
        <w:keepNext w:val="0"/>
        <w:keepLines w:val="0"/>
        <w:pageBreakBefore w:val="0"/>
        <w:widowControl w:val="0"/>
        <w:kinsoku/>
        <w:wordWrap/>
        <w:overflowPunct/>
        <w:topLinePunct w:val="0"/>
        <w:autoSpaceDE/>
        <w:autoSpaceDN/>
        <w:bidi w:val="0"/>
        <w:adjustRightInd/>
        <w:snapToGrid w:val="0"/>
        <w:spacing w:line="360" w:lineRule="auto"/>
        <w:ind w:left="420" w:hanging="420" w:hanging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1.2 本技术规范只是对招标技术要求的一些原则性规定，并不是详尽的要求，</w:t>
      </w:r>
      <w:r>
        <w:rPr>
          <w:rFonts w:hint="eastAsia" w:ascii="宋体" w:hAnsi="宋体" w:eastAsia="宋体" w:cs="宋体"/>
          <w:bCs/>
          <w:color w:val="auto"/>
          <w:sz w:val="21"/>
          <w:szCs w:val="21"/>
          <w:highlight w:val="none"/>
          <w:lang w:eastAsia="zh-CN"/>
        </w:rPr>
        <w:t>投标供应商</w:t>
      </w:r>
      <w:r>
        <w:rPr>
          <w:rFonts w:hint="eastAsia" w:ascii="宋体" w:hAnsi="宋体" w:eastAsia="宋体" w:cs="宋体"/>
          <w:bCs/>
          <w:color w:val="auto"/>
          <w:sz w:val="21"/>
          <w:szCs w:val="21"/>
          <w:highlight w:val="none"/>
        </w:rPr>
        <w:t>有责任对招标的</w:t>
      </w:r>
      <w:r>
        <w:rPr>
          <w:rFonts w:hint="eastAsia" w:ascii="宋体" w:hAnsi="宋体" w:eastAsia="宋体" w:cs="宋体"/>
          <w:color w:val="auto"/>
          <w:sz w:val="21"/>
          <w:szCs w:val="21"/>
          <w:highlight w:val="none"/>
        </w:rPr>
        <w:t>货物</w:t>
      </w:r>
      <w:r>
        <w:rPr>
          <w:rFonts w:hint="eastAsia" w:ascii="宋体" w:hAnsi="宋体" w:eastAsia="宋体" w:cs="宋体"/>
          <w:bCs/>
          <w:color w:val="auto"/>
          <w:sz w:val="21"/>
          <w:szCs w:val="21"/>
          <w:highlight w:val="none"/>
        </w:rPr>
        <w:t>符合技术规范的要求负责。</w:t>
      </w:r>
    </w:p>
    <w:p w14:paraId="14DCE220">
      <w:pPr>
        <w:keepNext w:val="0"/>
        <w:keepLines w:val="0"/>
        <w:pageBreakBefore w:val="0"/>
        <w:widowControl w:val="0"/>
        <w:kinsoku/>
        <w:wordWrap/>
        <w:overflowPunct/>
        <w:topLinePunct w:val="0"/>
        <w:autoSpaceDE/>
        <w:autoSpaceDN/>
        <w:bidi w:val="0"/>
        <w:adjustRightInd/>
        <w:snapToGrid w:val="0"/>
        <w:spacing w:line="360" w:lineRule="auto"/>
        <w:ind w:left="420" w:hanging="420" w:hanging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1.3 在投标之前，</w:t>
      </w:r>
      <w:r>
        <w:rPr>
          <w:rFonts w:hint="eastAsia" w:ascii="宋体" w:hAnsi="宋体" w:eastAsia="宋体" w:cs="宋体"/>
          <w:bCs/>
          <w:color w:val="auto"/>
          <w:sz w:val="21"/>
          <w:szCs w:val="21"/>
          <w:highlight w:val="none"/>
          <w:lang w:eastAsia="zh-CN"/>
        </w:rPr>
        <w:t>投标供应商</w:t>
      </w:r>
      <w:r>
        <w:rPr>
          <w:rFonts w:hint="eastAsia" w:ascii="宋体" w:hAnsi="宋体" w:eastAsia="宋体" w:cs="宋体"/>
          <w:bCs/>
          <w:color w:val="auto"/>
          <w:sz w:val="21"/>
          <w:szCs w:val="21"/>
          <w:highlight w:val="none"/>
        </w:rPr>
        <w:t>须仔细阅读招标文件，如发现有任何疑问、冲突或技术问题，</w:t>
      </w:r>
      <w:r>
        <w:rPr>
          <w:rFonts w:hint="eastAsia" w:ascii="宋体" w:hAnsi="宋体" w:eastAsia="宋体" w:cs="宋体"/>
          <w:bCs/>
          <w:color w:val="auto"/>
          <w:sz w:val="21"/>
          <w:szCs w:val="21"/>
          <w:highlight w:val="none"/>
          <w:lang w:eastAsia="zh-CN"/>
        </w:rPr>
        <w:t>投标供应商</w:t>
      </w:r>
      <w:r>
        <w:rPr>
          <w:rFonts w:hint="eastAsia" w:ascii="宋体" w:hAnsi="宋体" w:eastAsia="宋体" w:cs="宋体"/>
          <w:bCs/>
          <w:color w:val="auto"/>
          <w:sz w:val="21"/>
          <w:szCs w:val="21"/>
          <w:highlight w:val="none"/>
        </w:rPr>
        <w:t>须向</w:t>
      </w:r>
      <w:r>
        <w:rPr>
          <w:rFonts w:hint="eastAsia" w:ascii="宋体" w:hAnsi="宋体" w:eastAsia="宋体" w:cs="宋体"/>
          <w:bCs/>
          <w:color w:val="auto"/>
          <w:sz w:val="21"/>
          <w:szCs w:val="21"/>
          <w:highlight w:val="none"/>
          <w:lang w:eastAsia="zh-CN"/>
        </w:rPr>
        <w:t>采购人</w:t>
      </w:r>
      <w:r>
        <w:rPr>
          <w:rFonts w:hint="eastAsia" w:ascii="宋体" w:hAnsi="宋体" w:eastAsia="宋体" w:cs="宋体"/>
          <w:bCs/>
          <w:color w:val="auto"/>
          <w:sz w:val="21"/>
          <w:szCs w:val="21"/>
          <w:highlight w:val="none"/>
        </w:rPr>
        <w:t>或招标代理单位咨询。</w:t>
      </w:r>
    </w:p>
    <w:p w14:paraId="30427ECF">
      <w:pPr>
        <w:keepNext w:val="0"/>
        <w:keepLines w:val="0"/>
        <w:pageBreakBefore w:val="0"/>
        <w:widowControl w:val="0"/>
        <w:kinsoku/>
        <w:wordWrap/>
        <w:overflowPunct/>
        <w:topLinePunct w:val="0"/>
        <w:autoSpaceDE/>
        <w:autoSpaceDN/>
        <w:bidi w:val="0"/>
        <w:adjustRightInd/>
        <w:snapToGrid w:val="0"/>
        <w:spacing w:line="360" w:lineRule="auto"/>
        <w:ind w:left="420" w:hanging="420" w:hangingChars="200"/>
        <w:textAlignment w:val="auto"/>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 xml:space="preserve">1.4 </w:t>
      </w:r>
      <w:r>
        <w:rPr>
          <w:rFonts w:hint="eastAsia" w:ascii="宋体" w:hAnsi="宋体" w:eastAsia="宋体" w:cs="宋体"/>
          <w:bCs/>
          <w:color w:val="auto"/>
          <w:sz w:val="21"/>
          <w:szCs w:val="21"/>
          <w:highlight w:val="none"/>
          <w:lang w:eastAsia="zh-CN"/>
        </w:rPr>
        <w:t>投标供应商</w:t>
      </w:r>
      <w:r>
        <w:rPr>
          <w:rFonts w:hint="eastAsia" w:ascii="宋体" w:hAnsi="宋体" w:eastAsia="宋体" w:cs="宋体"/>
          <w:bCs/>
          <w:color w:val="auto"/>
          <w:sz w:val="21"/>
          <w:szCs w:val="21"/>
          <w:highlight w:val="none"/>
        </w:rPr>
        <w:t>须对招标文件中涉及到的知识产权负责，并保证不伤害招标单位的利益。在法律范围内，所有文字、商标和技术侵权造成的相关费用，招标单位概不负责。</w:t>
      </w:r>
    </w:p>
    <w:p w14:paraId="43BEDB0A">
      <w:pPr>
        <w:keepNext w:val="0"/>
        <w:keepLines w:val="0"/>
        <w:pageBreakBefore w:val="0"/>
        <w:widowControl w:val="0"/>
        <w:kinsoku/>
        <w:wordWrap/>
        <w:overflowPunct/>
        <w:topLinePunct w:val="0"/>
        <w:autoSpaceDE/>
        <w:autoSpaceDN/>
        <w:bidi w:val="0"/>
        <w:adjustRightInd/>
        <w:snapToGrid w:val="0"/>
        <w:spacing w:line="360" w:lineRule="auto"/>
        <w:ind w:left="420" w:hanging="420" w:hanging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 本次招标设一个标段。</w:t>
      </w:r>
      <w:r>
        <w:rPr>
          <w:rFonts w:hint="eastAsia" w:ascii="宋体" w:hAnsi="宋体" w:eastAsia="宋体" w:cs="宋体"/>
          <w:color w:val="auto"/>
          <w:sz w:val="21"/>
          <w:szCs w:val="21"/>
          <w:highlight w:val="none"/>
          <w:lang w:eastAsia="zh-CN"/>
        </w:rPr>
        <w:t>投标供应商</w:t>
      </w:r>
      <w:r>
        <w:rPr>
          <w:rFonts w:hint="eastAsia" w:ascii="宋体" w:hAnsi="宋体" w:eastAsia="宋体" w:cs="宋体"/>
          <w:color w:val="auto"/>
          <w:sz w:val="21"/>
          <w:szCs w:val="21"/>
          <w:highlight w:val="none"/>
        </w:rPr>
        <w:t>须对招标范围内的全部内容进行报价，而不允许只对范围内其中部分内容进行报价，否则有可能失去投标资格。</w:t>
      </w:r>
    </w:p>
    <w:p w14:paraId="02B316A7">
      <w:pPr>
        <w:keepNext w:val="0"/>
        <w:keepLines w:val="0"/>
        <w:pageBreakBefore w:val="0"/>
        <w:widowControl w:val="0"/>
        <w:kinsoku/>
        <w:wordWrap/>
        <w:overflowPunct/>
        <w:topLinePunct w:val="0"/>
        <w:autoSpaceDE/>
        <w:autoSpaceDN/>
        <w:bidi w:val="0"/>
        <w:adjustRightInd/>
        <w:snapToGrid w:val="0"/>
        <w:spacing w:line="360" w:lineRule="auto"/>
        <w:ind w:left="420" w:hanging="420" w:hanging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color w:val="auto"/>
          <w:sz w:val="21"/>
          <w:szCs w:val="21"/>
          <w:highlight w:val="none"/>
        </w:rPr>
        <w:t>1.6 本次招标货物所列的每一项技术指标和配置均为基本要求，</w:t>
      </w:r>
      <w:r>
        <w:rPr>
          <w:rFonts w:hint="eastAsia" w:ascii="宋体" w:hAnsi="宋体" w:eastAsia="宋体" w:cs="宋体"/>
          <w:color w:val="auto"/>
          <w:sz w:val="21"/>
          <w:szCs w:val="21"/>
          <w:highlight w:val="none"/>
          <w:lang w:eastAsia="zh-CN"/>
        </w:rPr>
        <w:t>投标供应商</w:t>
      </w:r>
      <w:r>
        <w:rPr>
          <w:rFonts w:hint="eastAsia" w:ascii="宋体" w:hAnsi="宋体" w:eastAsia="宋体" w:cs="宋体"/>
          <w:color w:val="auto"/>
          <w:sz w:val="21"/>
          <w:szCs w:val="21"/>
          <w:highlight w:val="none"/>
        </w:rPr>
        <w:t>必须保证选用的货物在技术指标、性能、功能、配置等于或高于招标文件要求，并完全满足招标需要,否则将可能作出对</w:t>
      </w:r>
      <w:r>
        <w:rPr>
          <w:rFonts w:hint="eastAsia" w:ascii="宋体" w:hAnsi="宋体" w:eastAsia="宋体" w:cs="宋体"/>
          <w:color w:val="auto"/>
          <w:sz w:val="21"/>
          <w:szCs w:val="21"/>
          <w:highlight w:val="none"/>
          <w:lang w:eastAsia="zh-CN"/>
        </w:rPr>
        <w:t>投标供应商</w:t>
      </w:r>
      <w:r>
        <w:rPr>
          <w:rFonts w:hint="eastAsia" w:ascii="宋体" w:hAnsi="宋体" w:eastAsia="宋体" w:cs="宋体"/>
          <w:color w:val="auto"/>
          <w:sz w:val="21"/>
          <w:szCs w:val="21"/>
          <w:highlight w:val="none"/>
        </w:rPr>
        <w:t>不利的评定。</w:t>
      </w:r>
      <w:bookmarkEnd w:id="70"/>
      <w:bookmarkStart w:id="71" w:name="_Toc1008"/>
      <w:bookmarkStart w:id="72" w:name="_Toc4026"/>
      <w:bookmarkStart w:id="73" w:name="_Toc26689"/>
      <w:bookmarkStart w:id="74" w:name="_Toc14436"/>
      <w:bookmarkStart w:id="75" w:name="_Toc17865"/>
      <w:bookmarkStart w:id="76" w:name="_Toc22616"/>
    </w:p>
    <w:p w14:paraId="0B8A0CA2">
      <w:pPr>
        <w:pStyle w:val="228"/>
        <w:numPr>
          <w:ilvl w:val="0"/>
          <w:numId w:val="0"/>
        </w:numPr>
        <w:tabs>
          <w:tab w:val="left" w:pos="486"/>
          <w:tab w:val="left" w:pos="972"/>
        </w:tabs>
        <w:spacing w:line="360" w:lineRule="auto"/>
        <w:jc w:val="center"/>
        <w:outlineLvl w:val="2"/>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rPr>
        <w:t>（二）采购内容及要求</w:t>
      </w:r>
    </w:p>
    <w:p w14:paraId="2881B7B9">
      <w:pPr>
        <w:keepNext w:val="0"/>
        <w:keepLines w:val="0"/>
        <w:pageBreakBefore w:val="0"/>
        <w:widowControl w:val="0"/>
        <w:tabs>
          <w:tab w:val="left" w:pos="927"/>
        </w:tabs>
        <w:kinsoku/>
        <w:wordWrap/>
        <w:overflowPunct/>
        <w:topLinePunct w:val="0"/>
        <w:autoSpaceDE/>
        <w:autoSpaceDN/>
        <w:bidi w:val="0"/>
        <w:snapToGrid w:val="0"/>
        <w:spacing w:line="360" w:lineRule="auto"/>
        <w:jc w:val="both"/>
        <w:outlineLvl w:val="9"/>
        <w:rPr>
          <w:rFonts w:hint="eastAsia" w:ascii="宋体" w:hAnsi="宋体" w:eastAsia="宋体" w:cs="宋体"/>
          <w:b/>
          <w:bCs/>
          <w:color w:val="auto"/>
          <w:sz w:val="24"/>
          <w:szCs w:val="24"/>
          <w:highlight w:val="none"/>
        </w:rPr>
      </w:pPr>
    </w:p>
    <w:bookmarkEnd w:id="71"/>
    <w:bookmarkEnd w:id="72"/>
    <w:bookmarkEnd w:id="73"/>
    <w:bookmarkEnd w:id="74"/>
    <w:p w14:paraId="10F4DDAD">
      <w:pPr>
        <w:keepNext w:val="0"/>
        <w:keepLines w:val="0"/>
        <w:pageBreakBefore w:val="0"/>
        <w:widowControl w:val="0"/>
        <w:tabs>
          <w:tab w:val="left" w:pos="927"/>
        </w:tabs>
        <w:kinsoku/>
        <w:wordWrap/>
        <w:overflowPunct/>
        <w:topLinePunct w:val="0"/>
        <w:autoSpaceDE/>
        <w:autoSpaceDN/>
        <w:bidi w:val="0"/>
        <w:adjustRightInd/>
        <w:snapToGrid w:val="0"/>
        <w:spacing w:line="360" w:lineRule="auto"/>
        <w:jc w:val="both"/>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一、</w:t>
      </w:r>
      <w:r>
        <w:rPr>
          <w:rFonts w:hint="eastAsia" w:ascii="宋体" w:hAnsi="宋体" w:cs="宋体"/>
          <w:b/>
          <w:bCs/>
          <w:color w:val="auto"/>
          <w:sz w:val="21"/>
          <w:szCs w:val="21"/>
          <w:highlight w:val="none"/>
          <w:lang w:val="en-US" w:eastAsia="zh-CN"/>
        </w:rPr>
        <w:t>采购</w:t>
      </w:r>
      <w:r>
        <w:rPr>
          <w:rFonts w:hint="eastAsia" w:ascii="宋体" w:hAnsi="宋体" w:eastAsia="宋体" w:cs="宋体"/>
          <w:b/>
          <w:bCs/>
          <w:color w:val="auto"/>
          <w:sz w:val="21"/>
          <w:szCs w:val="21"/>
          <w:highlight w:val="none"/>
          <w:lang w:val="en-US" w:eastAsia="zh-CN"/>
        </w:rPr>
        <w:t>概况：</w:t>
      </w:r>
    </w:p>
    <w:p w14:paraId="62CC26A1">
      <w:pPr>
        <w:snapToGrid w:val="0"/>
        <w:spacing w:line="360" w:lineRule="auto"/>
        <w:ind w:left="0" w:firstLine="420" w:firstLineChars="200"/>
        <w:rPr>
          <w:rFonts w:hint="eastAsia" w:ascii="宋体" w:hAnsi="宋体" w:cs="宋体"/>
          <w:b w:val="0"/>
          <w:bCs w:val="0"/>
          <w:color w:val="auto"/>
          <w:spacing w:val="0"/>
          <w:w w:val="100"/>
          <w:kern w:val="2"/>
          <w:position w:val="0"/>
          <w:sz w:val="21"/>
          <w:szCs w:val="21"/>
          <w:highlight w:val="none"/>
          <w:u w:val="none"/>
          <w:shd w:val="clear"/>
          <w:lang w:val="en-US" w:eastAsia="zh-CN" w:bidi="zh-TW"/>
        </w:rPr>
      </w:pPr>
      <w:r>
        <w:rPr>
          <w:rFonts w:hint="eastAsia" w:ascii="宋体" w:hAnsi="宋体" w:cs="宋体"/>
          <w:b w:val="0"/>
          <w:bCs w:val="0"/>
          <w:color w:val="auto"/>
          <w:spacing w:val="0"/>
          <w:w w:val="100"/>
          <w:kern w:val="2"/>
          <w:position w:val="0"/>
          <w:sz w:val="21"/>
          <w:szCs w:val="21"/>
          <w:highlight w:val="none"/>
          <w:u w:val="none"/>
          <w:shd w:val="clear"/>
          <w:lang w:val="en-US" w:eastAsia="zh-CN" w:bidi="zh-TW"/>
        </w:rPr>
        <w:t>本项目为瓯窑产业化项目研发生产提效设备-陶艺工作室仪器设备，工程地点为瑞安市陶山镇南戏演艺中心三楼。项目占用建筑面积约1000平方米，主要建设内容包括瓯窑材料应用中心、瓯窑快速打样中心、古陶瓷修复中心、非遗工艺生产中心所需专业设备配置（详见采购清单），设备采购主要涵盖与陶瓷相关的陶艺工作室仪器设备。采购预算金额：962900元。资金来源：公司自筹。</w:t>
      </w:r>
    </w:p>
    <w:p w14:paraId="7F4FA91C">
      <w:pPr>
        <w:snapToGrid w:val="0"/>
        <w:spacing w:line="360" w:lineRule="auto"/>
        <w:ind w:left="420" w:hanging="422" w:hangingChars="200"/>
        <w:rPr>
          <w:rFonts w:hint="eastAsia" w:ascii="宋体" w:hAnsi="宋体" w:eastAsia="宋体" w:cs="宋体"/>
          <w:b/>
          <w:bCs/>
          <w:color w:val="auto"/>
          <w:spacing w:val="0"/>
          <w:w w:val="100"/>
          <w:kern w:val="2"/>
          <w:position w:val="0"/>
          <w:sz w:val="21"/>
          <w:szCs w:val="21"/>
          <w:highlight w:val="none"/>
          <w:u w:val="none"/>
          <w:shd w:val="clear" w:color="auto" w:fill="auto"/>
          <w:lang w:val="en-US" w:eastAsia="zh-CN" w:bidi="zh-TW"/>
        </w:rPr>
      </w:pPr>
      <w:r>
        <w:rPr>
          <w:rFonts w:hint="eastAsia" w:ascii="宋体" w:hAnsi="宋体" w:eastAsia="宋体" w:cs="宋体"/>
          <w:b/>
          <w:bCs/>
          <w:color w:val="auto"/>
          <w:spacing w:val="0"/>
          <w:w w:val="100"/>
          <w:kern w:val="2"/>
          <w:position w:val="0"/>
          <w:sz w:val="21"/>
          <w:szCs w:val="21"/>
          <w:highlight w:val="none"/>
          <w:u w:val="none"/>
          <w:shd w:val="clear" w:color="auto" w:fill="auto"/>
          <w:lang w:val="en-US" w:eastAsia="zh-CN" w:bidi="zh-TW"/>
        </w:rPr>
        <w:br w:type="page"/>
      </w:r>
    </w:p>
    <w:p w14:paraId="0E3CA7E5">
      <w:pPr>
        <w:pStyle w:val="20"/>
        <w:keepNext w:val="0"/>
        <w:keepLines w:val="0"/>
        <w:pageBreakBefore w:val="0"/>
        <w:widowControl w:val="0"/>
        <w:kinsoku/>
        <w:wordWrap/>
        <w:overflowPunct/>
        <w:topLinePunct w:val="0"/>
        <w:autoSpaceDE/>
        <w:autoSpaceDN/>
        <w:bidi w:val="0"/>
        <w:spacing w:after="50" w:line="360" w:lineRule="auto"/>
        <w:ind w:left="0" w:leftChars="0" w:firstLine="0" w:firstLineChars="0"/>
        <w:jc w:val="both"/>
        <w:outlineLvl w:val="9"/>
        <w:rPr>
          <w:rFonts w:hint="eastAsia" w:ascii="宋体" w:hAnsi="宋体" w:eastAsia="宋体" w:cs="宋体"/>
          <w:color w:val="auto"/>
          <w:sz w:val="21"/>
          <w:szCs w:val="21"/>
          <w:highlight w:val="none"/>
        </w:rPr>
      </w:pPr>
      <w:r>
        <w:rPr>
          <w:rFonts w:hint="eastAsia" w:ascii="宋体" w:hAnsi="宋体" w:eastAsia="宋体" w:cs="宋体"/>
          <w:b/>
          <w:bCs/>
          <w:color w:val="auto"/>
          <w:spacing w:val="0"/>
          <w:w w:val="100"/>
          <w:kern w:val="2"/>
          <w:position w:val="0"/>
          <w:sz w:val="21"/>
          <w:szCs w:val="21"/>
          <w:highlight w:val="none"/>
          <w:u w:val="none"/>
          <w:shd w:val="clear" w:color="auto" w:fill="auto"/>
          <w:lang w:val="en-US" w:eastAsia="zh-CN" w:bidi="zh-TW"/>
        </w:rPr>
        <w:t>二、主要设备及内容清单</w:t>
      </w:r>
    </w:p>
    <w:tbl>
      <w:tblPr>
        <w:tblStyle w:val="49"/>
        <w:tblW w:w="10764" w:type="dxa"/>
        <w:tblInd w:w="-72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86"/>
        <w:gridCol w:w="1200"/>
        <w:gridCol w:w="6568"/>
        <w:gridCol w:w="750"/>
        <w:gridCol w:w="795"/>
        <w:gridCol w:w="765"/>
      </w:tblGrid>
      <w:tr w14:paraId="7529A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0"/>
            <w:vAlign w:val="center"/>
          </w:tcPr>
          <w:p w14:paraId="76D46A53">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序号</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4D905C64">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设备名称</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3F56EC4E">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产品技术参数要求</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1A7303AB">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数量</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21248A8">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单位</w:t>
            </w: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659387D5">
            <w:pPr>
              <w:keepNext w:val="0"/>
              <w:keepLines w:val="0"/>
              <w:widowControl/>
              <w:suppressLineNumbers w:val="0"/>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备注</w:t>
            </w:r>
          </w:p>
        </w:tc>
      </w:tr>
      <w:tr w14:paraId="7526EF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8"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0BADD77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28AC6B9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实验操作台（含升降椅）</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060A133B">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实验工作台，工作台整体尺寸为，L2400*W1120*H910mm（±10mm）；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台上架尺寸L2400*w200*H460mm（±10mm）；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工作台主架采用202不锈钢50*50*1.5方管焊接成型、并配四台脚杯，台面采用1.5厚不锈钢和欧松板厚度30毫米制作；</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洗手柜，柜体尺寸为L1120*w500*H910（±10mm）；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柜体台面配单不锈钢洗手盆，抽拉式大弯冷热水龙头一套，柜体下面配二级沉淀池一台，沉淀池尺寸为L800*W350*H365（±10mm），沉淀池配四台1.5寸万向轮。</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升降椅尺寸：（一个实验室操作台配置4把升降椅）</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1、椅面直径35cm（±10mm）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2、升降高度45-61cm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cs="宋体"/>
                <w:i w:val="0"/>
                <w:iCs w:val="0"/>
                <w:color w:val="auto"/>
                <w:kern w:val="0"/>
                <w:sz w:val="21"/>
                <w:szCs w:val="21"/>
                <w:u w:val="none"/>
                <w:lang w:val="en-US" w:eastAsia="zh-CN" w:bidi="ar"/>
              </w:rPr>
              <w:t>3</w:t>
            </w:r>
            <w:r>
              <w:rPr>
                <w:rFonts w:hint="eastAsia" w:ascii="宋体" w:hAnsi="宋体" w:eastAsia="宋体" w:cs="宋体"/>
                <w:i w:val="0"/>
                <w:iCs w:val="0"/>
                <w:color w:val="auto"/>
                <w:kern w:val="0"/>
                <w:sz w:val="21"/>
                <w:szCs w:val="21"/>
                <w:u w:val="none"/>
                <w:lang w:val="en-US" w:eastAsia="zh-CN" w:bidi="ar"/>
              </w:rPr>
              <w:t>、五星脚底座直径52cm（±5mm）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cs="宋体"/>
                <w:i w:val="0"/>
                <w:iCs w:val="0"/>
                <w:color w:val="auto"/>
                <w:kern w:val="0"/>
                <w:sz w:val="21"/>
                <w:szCs w:val="21"/>
                <w:u w:val="none"/>
                <w:lang w:val="en-US" w:eastAsia="zh-CN" w:bidi="ar"/>
              </w:rPr>
              <w:t>4</w:t>
            </w:r>
            <w:r>
              <w:rPr>
                <w:rFonts w:hint="eastAsia" w:ascii="宋体" w:hAnsi="宋体" w:eastAsia="宋体" w:cs="宋体"/>
                <w:i w:val="0"/>
                <w:iCs w:val="0"/>
                <w:color w:val="auto"/>
                <w:kern w:val="0"/>
                <w:sz w:val="21"/>
                <w:szCs w:val="21"/>
                <w:u w:val="none"/>
                <w:lang w:val="en-US" w:eastAsia="zh-CN" w:bidi="ar"/>
              </w:rPr>
              <w:t>、轮子直径50mm（±2mm）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cs="宋体"/>
                <w:i w:val="0"/>
                <w:iCs w:val="0"/>
                <w:color w:val="auto"/>
                <w:kern w:val="0"/>
                <w:sz w:val="21"/>
                <w:szCs w:val="21"/>
                <w:u w:val="none"/>
                <w:lang w:val="en-US" w:eastAsia="zh-CN" w:bidi="ar"/>
              </w:rPr>
              <w:t>5</w:t>
            </w:r>
            <w:r>
              <w:rPr>
                <w:rFonts w:hint="eastAsia" w:ascii="宋体" w:hAnsi="宋体" w:eastAsia="宋体" w:cs="宋体"/>
                <w:i w:val="0"/>
                <w:iCs w:val="0"/>
                <w:color w:val="auto"/>
                <w:kern w:val="0"/>
                <w:sz w:val="21"/>
                <w:szCs w:val="21"/>
                <w:u w:val="none"/>
                <w:lang w:val="en-US" w:eastAsia="zh-CN" w:bidi="ar"/>
              </w:rPr>
              <w:t>、产品净重≈3.9kg</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cs="宋体"/>
                <w:i w:val="0"/>
                <w:iCs w:val="0"/>
                <w:color w:val="auto"/>
                <w:kern w:val="0"/>
                <w:sz w:val="21"/>
                <w:szCs w:val="21"/>
                <w:u w:val="none"/>
                <w:lang w:val="en-US" w:eastAsia="zh-CN" w:bidi="ar"/>
              </w:rPr>
              <w:t>6</w:t>
            </w:r>
            <w:r>
              <w:rPr>
                <w:rFonts w:hint="eastAsia" w:ascii="宋体" w:hAnsi="宋体" w:eastAsia="宋体" w:cs="宋体"/>
                <w:i w:val="0"/>
                <w:iCs w:val="0"/>
                <w:color w:val="auto"/>
                <w:kern w:val="0"/>
                <w:sz w:val="21"/>
                <w:szCs w:val="21"/>
                <w:u w:val="none"/>
                <w:lang w:val="en-US" w:eastAsia="zh-CN" w:bidi="ar"/>
              </w:rPr>
              <w:t>、外箱尺寸460*160*480（±5mm）</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2E7A595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767D39F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3D179F9B">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用于釉料、泥料配比实验（含工作椅）</w:t>
            </w:r>
          </w:p>
        </w:tc>
      </w:tr>
      <w:tr w14:paraId="2F6BA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61B405A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1201A57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釉料配比工作台</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0AD5B445">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产品尺寸：L1800*W600*H850（±10mm）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产品材质：不锈钢</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产品</w:t>
            </w:r>
            <w:r>
              <w:rPr>
                <w:rFonts w:hint="eastAsia" w:ascii="宋体" w:hAnsi="宋体" w:cs="宋体"/>
                <w:i w:val="0"/>
                <w:iCs w:val="0"/>
                <w:color w:val="auto"/>
                <w:kern w:val="0"/>
                <w:sz w:val="21"/>
                <w:szCs w:val="21"/>
                <w:u w:val="none"/>
                <w:lang w:val="en-US" w:eastAsia="zh-CN" w:bidi="ar"/>
              </w:rPr>
              <w:t>要求</w:t>
            </w:r>
            <w:r>
              <w:rPr>
                <w:rFonts w:hint="eastAsia" w:ascii="宋体" w:hAnsi="宋体" w:eastAsia="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1、采用国标201不锈钢做整体结构，厚度约1.5mm。采用国标不锈钢管做骨架，尺寸为38*38mm，有承重的作用。整体重量不低于120公斤。</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2、底部装有6台可以调节高低的不锈钢带TPU防震胶脚杯，通过调节脚杯可以使桌子适合不同的地面使用要求。共有10台尺寸为H500*W200*L350mm釉料储存内斗。</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20C8584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4AB39EF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21328098">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用于存放原矿材料，上面可进行釉料的配比制备</w:t>
            </w:r>
          </w:p>
        </w:tc>
      </w:tr>
      <w:tr w14:paraId="004CED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007E605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6C43241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冷热水池</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1BE90981">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水池外形尺寸：长1800*宽700*台面高800（±10mm）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沉淀池外形尺寸：长1500*宽430*高420（±10mm）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材质：304不锈钢</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结构：四只脚分两片，采用可拆卸结构；</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沉淀池过滤网材质：网孔板不锈钢</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沉淀池采用二级沉淀装置，配备四台把手，底部沉淀池安装四台万向轮</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配件：水龙头3台，生料带1卷，不锈钢/4分双内丝，长80CM编织软管2根</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单台沉淀池外形尺寸：长1500*宽430*高420（±10mm）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沉淀池材质：不锈钢</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沉淀池过滤网材质：不锈钢200目</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沉淀池采用二级沉淀装置；</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沉淀池配备四台把手，底部沉淀池安装四台万向轮。</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65ADBBF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6374B5E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27691A6F">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用于材料实验室清洁</w:t>
            </w:r>
          </w:p>
        </w:tc>
      </w:tr>
      <w:tr w14:paraId="07414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07116E4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710B023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安全防护用品标准柜</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7D10E9DE">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1.柜体：规格尺寸H1800*W900*D450（±10mm），尺寸误差≤20mm，甲醛报告限值≤5mg/kg，甲苯报告限值≤0.1%，苯报告限值≤0.002%。</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2.柜门：双开门，可视窗设计，柜体采用≥1.2mm优质冷轧钢板。</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3.3块活动层板，T型隔物架结构，承重≥100KG。</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4.配有应急安全锤。</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5.应急物资1套。</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6.柜体原材料环保符合ROHS指令（EU）2015/863和指令（EU）2017/2102附件II的规定。</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5CB9237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6E76A8E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2147CD97">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放置实验室安全防护用品</w:t>
            </w:r>
          </w:p>
        </w:tc>
      </w:tr>
      <w:tr w14:paraId="4F5762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611A92C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3084995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试剂柜</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2EEC8FBB">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1.规格尺寸H1800*W900*D450（±10mm），采用不小于8mm厚瓷白色PP聚丙烯板制作，门框一体折弯成型无焊缝，内置四根加强型PP立柱折弯成型；</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2.门型：上下四开门设计。采用≥15mm瓷白色PP聚丙烯整版雕刻，上柜门≥5mm厚pvc透明视窗；</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3.层板：一次注塑成型层板4个，高度可调；采用PP聚丙烯原料板包钢加固，底部格栅加强筋，四周设有防溢立边，承重量≥100KG。</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4.把手：采用一次成型耐腐蚀PP聚丙烯材质。</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5.锁扣：不少于4个。</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6.锁鼻：不少于4个。</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7.锁具：橡胶防腐铜芯锁2副。</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8.标志：符合危险化学品的分类及标志的要求，张贴“腐蚀性”标签。</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9.柜体张贴"腐蚀品"标识。</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47FFCE7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3AB7CB6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5A78AC6">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用于放置实验试剂</w:t>
            </w:r>
          </w:p>
        </w:tc>
      </w:tr>
      <w:tr w14:paraId="4A4521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57C41B0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68E916D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器皿柜</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26EA576C">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1.规格尺寸H1800*W900*D450（±10mm），采用≥1.0mm厚冷轧钢板制作。</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2.3块活动层板，可以上下调节。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3.1.5mm厚不锈钢板经数控冲床模具成型的层板挂钩；</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4.选配视窗，外框采用双层≥1.0mm厚冷轧钢板制作，环氧树脂静电喷涂，框内嵌入钢化玻璃；</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5.透气孔由数控机床一次成型；</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6.底部均配有调整脚，以保证柜体平衡。</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3687369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10E6F13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7D34E328">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用于放置实验器皿容器</w:t>
            </w:r>
          </w:p>
        </w:tc>
      </w:tr>
      <w:tr w14:paraId="50B66C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1D5CD22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4CDBD22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实验台（含钢制岛式线槽）</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088C19EF">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1.规格：L*1500*850（±10mm）。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2.台面：采用12.7mm厚，耐腐蚀实芯耐蚀理化板，边缘加厚至25.4mm。24小时以上抗强化学腐蚀，抗划痕，抗撞击，耐沸水，低甲醛排放。</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3.柜体：钢制落地柜体，内嵌门/外盖门。柜体采用1.0mm厚优质镀锌钢板，一体折弯成型，内外表面经阿克苏诺贝尔环氧树脂粉末静电喷涂。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4.配件：拉手采用不锈钢工字型拉手或一体成型折弯拉手或内嵌式拉手或45°斜切式拉手。导轨采用三节静音阻尼导轨。铰链采用304不锈钢合页/实验室专用防腐蚀铰链。</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升降椅尺寸：（一个实验台（含钢制岛式线槽）配置2把升降椅）</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1、椅面直径35cm（±10mm）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2、海绵厚度8cm（±5mm）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3、升降高度45-61cm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4、五星脚底座直径52cm（±5mm）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5、轮子直径50mm（±2mm）</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397905B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4DBFA39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C5F2B00">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用于材料检测操作桌</w:t>
            </w:r>
          </w:p>
        </w:tc>
      </w:tr>
      <w:tr w14:paraId="4B9A9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7A44556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213DC51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烘干箱</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7D8EC3EE">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1.温度范围：室温+10～250℃；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2.波 动 度：±1℃；</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3.显示精度：1℃；</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4.工作室尺寸：550*600*600（±5mm）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5.外形近似尺寸：790*890*780（±5mm）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7.整机功率：≥2000W；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8.电 源：220V（±10%），50Hz；</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9.测 温 口：PT100传感器从箱体后方进入；</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10.接 线 柱：发热元件接线柱位于箱体后下方位置；</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11.控 制 器：位于箱体左侧，内置控制系统；</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12.发热元件：不锈钢加热器；</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7EEA7E5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3D5FE90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68327333">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加快实验试片干燥</w:t>
            </w:r>
          </w:p>
        </w:tc>
      </w:tr>
      <w:tr w14:paraId="68A853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4"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547AC45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9</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44A6812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实验电窑（圆窑）</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49716B5F">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净空容积：0.05m³</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开门方式：顶开门</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外形尺寸：L837（含温控器）*W820*H860（±10mm）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炉膛尺寸： Ø420H345mm（±5mm）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棚    板：φ350（mm）1块/层（配送一层）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电    源：220V±10V（50HZ)</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功    率：6KW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电    流：28A</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用户空开：2P/40A</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用户线径：2*10+1*6平方国标铜芯线</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热 电 偶：S型，单点控温</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炉    丝：国产合金炉丝，环形布置</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智能仪表：4.3寸，6组程序，12段曲线设置</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炉内温差：±5℃</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额定温度：1240℃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整备质量：≈90KG</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框架材质：Q235-A+铝合金</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73ABB6C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00B4E19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3A7AB5DB">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烧制实验试片</w:t>
            </w:r>
          </w:p>
        </w:tc>
      </w:tr>
      <w:tr w14:paraId="786176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2D4A032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17C18A1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圆窑窑具套装</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07E82298">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匹配棚板马脚窑具：</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圆形棚板35cm （4块）</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直径马脚5cm（6个）</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马脚8cm（6个）</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马脚10cm（3个）</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马脚12cm（3个）</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马脚18cm（3个）</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5739E74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F77939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3A6D5C16">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搭配实验电窑使用</w:t>
            </w:r>
          </w:p>
        </w:tc>
      </w:tr>
      <w:tr w14:paraId="2BD6F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5"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72EDBC7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11</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2ED9D5A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窑具收纳车</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5AA872BA">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1.外形尺寸：L1034*W490*H1013（±10mm）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材质结构：底部采用综合实木板做支撑。表面无油漆处理，防止长时间和棚板接触而产生反应。木板上两侧各配置有16根金属立柱，采用国标Q235方钢管打磨抛光后拼接组成，可放置9组棚板。立柱高度680（±10mm），最大可放置550*600（±5mm）的棚板。两侧立柱的间距是320（±5mm），可根据棚板尺寸按不同方向放置。立柱上方采用综合实木板做封板，便于随时收纳放置其他工具，四周采用国标Q235碳钢组成围板，围板高度180（±5mm），形成一个闭合的收纳空间，采用20mm（±2mm）厚的实木板隔断，可分类收纳。</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0FD472B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C7DCDA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81E90DC">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用于收纳窑具硼板</w:t>
            </w:r>
          </w:p>
        </w:tc>
      </w:tr>
      <w:tr w14:paraId="63BE07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3"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4ECC546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4120703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破碎机</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7FB5524C">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尺寸：</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1、外形(mm)650×360×550（±5mm）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2、出料口(mm)100×60（±2mm）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材质：</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1、 颚板   高猛钢（静颚板230*100±2mm、动颚板290*100±2mm）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2、动颚体  铸钢</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3、皮带轮 ，配重轮    铸铁</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功能描述：</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1、入料粒度（mm）≤60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2、出料粒度（mm）≤3～13（可调）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2、生产率（kg/h）200～500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3、适应全水分≤12%</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4、电机功率（kW）1.5</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5、整机重量（kg）≈120</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5D9D3D8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2FDAF40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4F840019">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用于泥料原材料破碎</w:t>
            </w:r>
          </w:p>
        </w:tc>
      </w:tr>
      <w:tr w14:paraId="41376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7142A1B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66F87B7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球磨机</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78C50E04">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球磨机最大外形尺寸(包含把手)：L1100xW860xH860（±5mm）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功率：500W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球磨罐转速：90r/min</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瓷瓶球磨罐数量：4个</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单个球磨罐可装容量：5KG</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重量：≈150kg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颜色：白色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电机：DD电机</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配套4个5KG球磨罐，10kg 3cm和10kg 2cm球磨子</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136C834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1C7F02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C8CA10E">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用于材料碾磨</w:t>
            </w:r>
          </w:p>
        </w:tc>
      </w:tr>
      <w:tr w14:paraId="12F851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420ECB0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14</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0C3C3FF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行星式球磨机</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06E257F5">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1、规格：油封静音型</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2、主盘结构：行星主盘齿轮侵泡润滑油增强处理，噪音隔离处理</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3、最大进样尺寸（材料各异）：&lt; 5mm 土壤&lt;10mm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4、出样粒度：&lt; 100nm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5、最小处理量：500ml/罐</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6、最大处理量：4 X 500ml</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7、载体体积：≥500ml</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8、主盘转速：10-400r/min</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9、球磨罐转速：20-800r/min</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10、总研磨转速：≥1200/min</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11、传动比（行星盘/球磨罐）：1：2</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12、球磨载体材质：玛瑙</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13、球磨介质材质：玛瑙</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14、介质直径：10/15/20mm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15、同时处理样品种数：≥4 种</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16、载体数量：≥4个</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17、尺寸（长宽高）：立体型 78*58*68cm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18、功率描述：220V/750W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cs="宋体"/>
                <w:i w:val="0"/>
                <w:iCs w:val="0"/>
                <w:color w:val="auto"/>
                <w:kern w:val="0"/>
                <w:sz w:val="21"/>
                <w:szCs w:val="21"/>
                <w:u w:val="none"/>
                <w:lang w:val="en-US" w:eastAsia="zh-CN" w:bidi="ar"/>
              </w:rPr>
              <w:t>19</w:t>
            </w:r>
            <w:r>
              <w:rPr>
                <w:rFonts w:hint="eastAsia" w:ascii="宋体" w:hAnsi="宋体" w:eastAsia="宋体" w:cs="宋体"/>
                <w:i w:val="0"/>
                <w:iCs w:val="0"/>
                <w:color w:val="auto"/>
                <w:kern w:val="0"/>
                <w:sz w:val="21"/>
                <w:szCs w:val="21"/>
                <w:u w:val="none"/>
                <w:lang w:val="en-US" w:eastAsia="zh-CN" w:bidi="ar"/>
              </w:rPr>
              <w:t>、可储存运行方式：程序记忆、断电记忆</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w:t>
            </w:r>
            <w:r>
              <w:rPr>
                <w:rFonts w:hint="eastAsia" w:ascii="宋体" w:hAnsi="宋体" w:cs="宋体"/>
                <w:i w:val="0"/>
                <w:iCs w:val="0"/>
                <w:color w:val="auto"/>
                <w:kern w:val="0"/>
                <w:sz w:val="21"/>
                <w:szCs w:val="21"/>
                <w:u w:val="none"/>
                <w:lang w:val="en-US" w:eastAsia="zh-CN" w:bidi="ar"/>
              </w:rPr>
              <w:t>0</w:t>
            </w:r>
            <w:r>
              <w:rPr>
                <w:rFonts w:hint="eastAsia" w:ascii="宋体" w:hAnsi="宋体" w:eastAsia="宋体" w:cs="宋体"/>
                <w:i w:val="0"/>
                <w:iCs w:val="0"/>
                <w:color w:val="auto"/>
                <w:kern w:val="0"/>
                <w:sz w:val="21"/>
                <w:szCs w:val="21"/>
                <w:u w:val="none"/>
                <w:lang w:val="en-US" w:eastAsia="zh-CN" w:bidi="ar"/>
              </w:rPr>
              <w:t>、正、逆向运行： 是</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w:t>
            </w:r>
            <w:r>
              <w:rPr>
                <w:rFonts w:hint="eastAsia" w:ascii="宋体" w:hAnsi="宋体" w:cs="宋体"/>
                <w:i w:val="0"/>
                <w:iCs w:val="0"/>
                <w:color w:val="auto"/>
                <w:kern w:val="0"/>
                <w:sz w:val="21"/>
                <w:szCs w:val="21"/>
                <w:u w:val="none"/>
                <w:lang w:val="en-US" w:eastAsia="zh-CN" w:bidi="ar"/>
              </w:rPr>
              <w:t>1</w:t>
            </w:r>
            <w:r>
              <w:rPr>
                <w:rFonts w:hint="eastAsia" w:ascii="宋体" w:hAnsi="宋体" w:eastAsia="宋体" w:cs="宋体"/>
                <w:i w:val="0"/>
                <w:iCs w:val="0"/>
                <w:color w:val="auto"/>
                <w:kern w:val="0"/>
                <w:sz w:val="21"/>
                <w:szCs w:val="21"/>
                <w:u w:val="none"/>
                <w:lang w:val="en-US" w:eastAsia="zh-CN" w:bidi="ar"/>
              </w:rPr>
              <w:t>、连续运行时间设定：00:01:00-99:59:59</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w:t>
            </w:r>
            <w:r>
              <w:rPr>
                <w:rFonts w:hint="eastAsia" w:ascii="宋体" w:hAnsi="宋体" w:cs="宋体"/>
                <w:i w:val="0"/>
                <w:iCs w:val="0"/>
                <w:color w:val="auto"/>
                <w:kern w:val="0"/>
                <w:sz w:val="21"/>
                <w:szCs w:val="21"/>
                <w:u w:val="none"/>
                <w:lang w:val="en-US" w:eastAsia="zh-CN" w:bidi="ar"/>
              </w:rPr>
              <w:t>2</w:t>
            </w:r>
            <w:r>
              <w:rPr>
                <w:rFonts w:hint="eastAsia" w:ascii="宋体" w:hAnsi="宋体" w:eastAsia="宋体" w:cs="宋体"/>
                <w:i w:val="0"/>
                <w:iCs w:val="0"/>
                <w:color w:val="auto"/>
                <w:kern w:val="0"/>
                <w:sz w:val="21"/>
                <w:szCs w:val="21"/>
                <w:u w:val="none"/>
                <w:lang w:val="en-US" w:eastAsia="zh-CN" w:bidi="ar"/>
              </w:rPr>
              <w:t>、暂停时间设定：00:01:00-99:59:59</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w:t>
            </w:r>
            <w:r>
              <w:rPr>
                <w:rFonts w:hint="eastAsia" w:ascii="宋体" w:hAnsi="宋体" w:cs="宋体"/>
                <w:i w:val="0"/>
                <w:iCs w:val="0"/>
                <w:color w:val="auto"/>
                <w:kern w:val="0"/>
                <w:sz w:val="21"/>
                <w:szCs w:val="21"/>
                <w:u w:val="none"/>
                <w:lang w:val="en-US" w:eastAsia="zh-CN" w:bidi="ar"/>
              </w:rPr>
              <w:t>3</w:t>
            </w:r>
            <w:r>
              <w:rPr>
                <w:rFonts w:hint="eastAsia" w:ascii="宋体" w:hAnsi="宋体" w:eastAsia="宋体" w:cs="宋体"/>
                <w:i w:val="0"/>
                <w:iCs w:val="0"/>
                <w:color w:val="auto"/>
                <w:kern w:val="0"/>
                <w:sz w:val="21"/>
                <w:szCs w:val="21"/>
                <w:u w:val="none"/>
                <w:lang w:val="en-US" w:eastAsia="zh-CN" w:bidi="ar"/>
              </w:rPr>
              <w:t>、紧急停止： 是</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w:t>
            </w:r>
            <w:r>
              <w:rPr>
                <w:rFonts w:hint="eastAsia" w:ascii="宋体" w:hAnsi="宋体" w:cs="宋体"/>
                <w:i w:val="0"/>
                <w:iCs w:val="0"/>
                <w:color w:val="auto"/>
                <w:kern w:val="0"/>
                <w:sz w:val="21"/>
                <w:szCs w:val="21"/>
                <w:u w:val="none"/>
                <w:lang w:val="en-US" w:eastAsia="zh-CN" w:bidi="ar"/>
              </w:rPr>
              <w:t>4</w:t>
            </w:r>
            <w:r>
              <w:rPr>
                <w:rFonts w:hint="eastAsia" w:ascii="宋体" w:hAnsi="宋体" w:eastAsia="宋体" w:cs="宋体"/>
                <w:i w:val="0"/>
                <w:iCs w:val="0"/>
                <w:color w:val="auto"/>
                <w:kern w:val="0"/>
                <w:sz w:val="21"/>
                <w:szCs w:val="21"/>
                <w:u w:val="none"/>
                <w:lang w:val="en-US" w:eastAsia="zh-CN" w:bidi="ar"/>
              </w:rPr>
              <w:t>、噪声描述：&lt; 60dB（3 米范围内）</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w:t>
            </w:r>
            <w:r>
              <w:rPr>
                <w:rFonts w:hint="eastAsia" w:ascii="宋体" w:hAnsi="宋体" w:cs="宋体"/>
                <w:i w:val="0"/>
                <w:iCs w:val="0"/>
                <w:color w:val="auto"/>
                <w:kern w:val="0"/>
                <w:sz w:val="21"/>
                <w:szCs w:val="21"/>
                <w:u w:val="none"/>
                <w:lang w:val="en-US" w:eastAsia="zh-CN" w:bidi="ar"/>
              </w:rPr>
              <w:t>5</w:t>
            </w:r>
            <w:r>
              <w:rPr>
                <w:rFonts w:hint="eastAsia" w:ascii="宋体" w:hAnsi="宋体" w:eastAsia="宋体" w:cs="宋体"/>
                <w:i w:val="0"/>
                <w:iCs w:val="0"/>
                <w:color w:val="auto"/>
                <w:kern w:val="0"/>
                <w:sz w:val="21"/>
                <w:szCs w:val="21"/>
                <w:u w:val="none"/>
                <w:lang w:val="en-US" w:eastAsia="zh-CN" w:bidi="ar"/>
              </w:rPr>
              <w:t>、配备4个500mlA级玛瑙罐、4套玛瑙球磨子（单套球磨子包含10/15/20mm三种规格）</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w:t>
            </w:r>
            <w:r>
              <w:rPr>
                <w:rFonts w:hint="eastAsia" w:ascii="宋体" w:hAnsi="宋体" w:cs="宋体"/>
                <w:i w:val="0"/>
                <w:iCs w:val="0"/>
                <w:color w:val="auto"/>
                <w:kern w:val="0"/>
                <w:sz w:val="21"/>
                <w:szCs w:val="21"/>
                <w:u w:val="none"/>
                <w:lang w:val="en-US" w:eastAsia="zh-CN" w:bidi="ar"/>
              </w:rPr>
              <w:t>6</w:t>
            </w:r>
            <w:r>
              <w:rPr>
                <w:rFonts w:hint="eastAsia" w:ascii="宋体" w:hAnsi="宋体" w:eastAsia="宋体" w:cs="宋体"/>
                <w:i w:val="0"/>
                <w:iCs w:val="0"/>
                <w:color w:val="auto"/>
                <w:kern w:val="0"/>
                <w:sz w:val="21"/>
                <w:szCs w:val="21"/>
                <w:u w:val="none"/>
                <w:lang w:val="en-US" w:eastAsia="zh-CN" w:bidi="ar"/>
              </w:rPr>
              <w:t>、结构形式:油封静音行星式，油封箱尺寸:≥26.5*10cn。</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w:t>
            </w:r>
            <w:r>
              <w:rPr>
                <w:rFonts w:hint="eastAsia" w:ascii="宋体" w:hAnsi="宋体" w:cs="宋体"/>
                <w:i w:val="0"/>
                <w:iCs w:val="0"/>
                <w:color w:val="auto"/>
                <w:kern w:val="0"/>
                <w:sz w:val="21"/>
                <w:szCs w:val="21"/>
                <w:u w:val="none"/>
                <w:lang w:val="en-US" w:eastAsia="zh-CN" w:bidi="ar"/>
              </w:rPr>
              <w:t>7</w:t>
            </w:r>
            <w:r>
              <w:rPr>
                <w:rFonts w:hint="eastAsia" w:ascii="宋体" w:hAnsi="宋体" w:eastAsia="宋体" w:cs="宋体"/>
                <w:i w:val="0"/>
                <w:iCs w:val="0"/>
                <w:color w:val="auto"/>
                <w:kern w:val="0"/>
                <w:sz w:val="21"/>
                <w:szCs w:val="21"/>
                <w:u w:val="none"/>
                <w:lang w:val="en-US" w:eastAsia="zh-CN" w:bidi="ar"/>
              </w:rPr>
              <w:t>、油封量:≥220n1，多通量功能:4-8通量，通量容积:50n1-100n1，行星盘直径:≥26.5cm，弧形套筒球磨罐装置，U型一体罐套5级安全</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191CCAE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B2085C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748008DF">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用于材料碾磨</w:t>
            </w:r>
          </w:p>
        </w:tc>
      </w:tr>
      <w:tr w14:paraId="4761F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16A9A32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7E9DEEF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五层置物架</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5A5D4854">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钢架尺寸1600*1400*400（±10mm），钢架采用加厚方管，间隔四分五层，每层高分别为35、35、35、40cm，采用厚实木板作为支撑板，每层承重配4台2.5寸静音脚轮。</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木板为杉木实木板，经过酸性处理，有效防止高温潮湿环境下产生变形和开裂。</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3E59BCC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2664AE4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13D90006">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用于放置试片等材料耗材</w:t>
            </w:r>
          </w:p>
        </w:tc>
      </w:tr>
      <w:tr w14:paraId="51F631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1"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2F15B05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16</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2B5BEB1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货架</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6F168C76">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尺寸：2000*1200*400（±10mm）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材质：1.6mm，304不锈钢</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工艺描述： 拉丝不锈钢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功能描述： 四层隔板分区，收纳物品，蝴蝶卡扣固定，承重能力≥600公斤，结实耐用。</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42B63C3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1FD3FDC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7340449F">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用于存放货物</w:t>
            </w:r>
          </w:p>
        </w:tc>
      </w:tr>
      <w:tr w14:paraId="793706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3"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58046B9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17</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2126D78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陶瓷3D打印机</w:t>
            </w:r>
            <w:r>
              <w:rPr>
                <w:rFonts w:hint="eastAsia" w:ascii="宋体" w:hAnsi="宋体" w:cs="宋体"/>
                <w:i w:val="0"/>
                <w:iCs w:val="0"/>
                <w:color w:val="auto"/>
                <w:kern w:val="0"/>
                <w:sz w:val="21"/>
                <w:szCs w:val="21"/>
                <w:u w:val="none"/>
                <w:lang w:val="en-US" w:eastAsia="zh-CN" w:bidi="ar"/>
              </w:rPr>
              <w:t>1#</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50FCD013">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喷嘴直径  0.4mm、0.6mm、0.8mm、1mm、1.2mm、1.5mm、2mm、3mm、5mm、7mm(均可用)</w:t>
            </w:r>
          </w:p>
          <w:p w14:paraId="0CF749A4">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针头切换  快捷旋钮即插即用</w:t>
            </w:r>
          </w:p>
          <w:p w14:paraId="65B6A189">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打印精度（最小层厚） </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0.2mm</w:t>
            </w:r>
          </w:p>
          <w:p w14:paraId="43F8480F">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打印精度（最薄壁厚） 干燥收缩后</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0.5mm</w:t>
            </w:r>
          </w:p>
          <w:p w14:paraId="52C054B0">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打印速度    30-150mm/s范围可调</w:t>
            </w:r>
          </w:p>
          <w:p w14:paraId="496D1162">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最大成型尺寸   500*500*700 mm</w:t>
            </w:r>
          </w:p>
          <w:p w14:paraId="04925FF2">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电源规格   220V或110V可切换</w:t>
            </w:r>
          </w:p>
          <w:p w14:paraId="4C921838">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额定功率   1300W</w:t>
            </w:r>
          </w:p>
          <w:p w14:paraId="3E167ACC">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机箱结构  封闭式结构（正面亚克力大观察窗）</w:t>
            </w:r>
          </w:p>
          <w:p w14:paraId="40C02373">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照明功能   内置LED照明</w:t>
            </w:r>
          </w:p>
          <w:p w14:paraId="5207FE14">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调  平   四点半自动化辅助调平</w:t>
            </w:r>
          </w:p>
          <w:p w14:paraId="6D01A45A">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控制面板   7寸全彩触摸屏</w:t>
            </w:r>
          </w:p>
          <w:p w14:paraId="41A73148">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屏幕语言   中文/英文可自由切换</w:t>
            </w:r>
          </w:p>
          <w:p w14:paraId="393ECD86">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可用耗材   陶泥/瓷泥/紫砂泥/硅橡胶/水性油墨等具有一定流动性、黏性、可塑性的材料均可打印，满足多学科教学、实训需要</w:t>
            </w:r>
          </w:p>
          <w:p w14:paraId="6D807E57">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供料方式   精确可控的空气压力加高精密机加工螺杆挤出或DIW直写挤出</w:t>
            </w:r>
          </w:p>
          <w:p w14:paraId="7A4BB560">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支持文件格试  gcode/STL/OBJ等3D文件格式</w:t>
            </w:r>
          </w:p>
          <w:p w14:paraId="4B551574">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打印平台   金属铝板覆耐高温陶瓷板</w:t>
            </w:r>
          </w:p>
          <w:p w14:paraId="1367DD2F">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Wifi控制  可用</w:t>
            </w:r>
          </w:p>
          <w:p w14:paraId="78AB06CB">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暂停续打  支持</w:t>
            </w:r>
          </w:p>
          <w:p w14:paraId="31B829DB">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断电续打  支持</w:t>
            </w:r>
          </w:p>
          <w:p w14:paraId="389F79D4">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恒温热风循环   标配</w:t>
            </w:r>
          </w:p>
          <w:p w14:paraId="6DD37C87">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支持切片软件   cura/S3D等常见FDM切片软件（兼容第三方软件)</w:t>
            </w:r>
          </w:p>
          <w:p w14:paraId="29E019A2">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操作系统   Window系列/Mac OS/Linux</w:t>
            </w:r>
          </w:p>
          <w:p w14:paraId="782C67E9">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打印方式   SD卡/USB/WiFi</w:t>
            </w:r>
          </w:p>
          <w:p w14:paraId="138F15AE">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赠送配置   无油静音数显空压机一台，打印板三片，各种打印针头共30个，30公斤高白瓷泥耗材，30款各种已切片模型即插即用</w:t>
            </w:r>
          </w:p>
          <w:p w14:paraId="6F24CF1C">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料筒规格   10升带气缸不锈钢料筒并配置可移动式助力料架</w:t>
            </w:r>
          </w:p>
          <w:p w14:paraId="6CFF04F3">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自动泄压功能    有</w:t>
            </w:r>
          </w:p>
          <w:p w14:paraId="14A868C9">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 xml:space="preserve">断料检测功能    有 </w:t>
            </w:r>
          </w:p>
          <w:p w14:paraId="35B004B6">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 xml:space="preserve">机器重量  </w:t>
            </w:r>
            <w:r>
              <w:rPr>
                <w:rFonts w:hint="eastAsia" w:ascii="宋体" w:hAnsi="宋体" w:cs="宋体"/>
                <w:i w:val="0"/>
                <w:iCs w:val="0"/>
                <w:color w:val="auto"/>
                <w:kern w:val="0"/>
                <w:sz w:val="21"/>
                <w:szCs w:val="21"/>
                <w:u w:val="none"/>
                <w:lang w:val="en-US" w:eastAsia="zh-CN" w:bidi="ar"/>
              </w:rPr>
              <w:t>约</w:t>
            </w:r>
            <w:r>
              <w:rPr>
                <w:rFonts w:hint="eastAsia" w:ascii="宋体" w:hAnsi="宋体" w:eastAsia="宋体" w:cs="宋体"/>
                <w:i w:val="0"/>
                <w:iCs w:val="0"/>
                <w:color w:val="auto"/>
                <w:kern w:val="0"/>
                <w:sz w:val="21"/>
                <w:szCs w:val="21"/>
                <w:u w:val="none"/>
                <w:lang w:val="en-US" w:eastAsia="zh-CN" w:bidi="ar"/>
              </w:rPr>
              <w:t>60Kg</w:t>
            </w:r>
          </w:p>
          <w:p w14:paraId="001F8FEA">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配套云端三维渲染引擎平台，对3D数据在云端进行轻量化（轻量最高可达91%）、云渲染及三维分享，开放标准的SDK，不需要安装任何客户端，兼容Windows、MacOS、iOS、Android、Linux等系统，以及Chrome/Safari/Firefox /Edge/IE/QQ等浏览器。支持多种材质系统和多属性材质，以及各种类型光源与开合动画系统，引擎适配VRPN协议，驱动VR/AR硬件； 支持HTML5 WebGL平台，实现对产品的快速三维渲染和展示。</w:t>
            </w:r>
          </w:p>
          <w:p w14:paraId="6C9613AF">
            <w:pPr>
              <w:keepNext w:val="0"/>
              <w:keepLines w:val="0"/>
              <w:widowControl/>
              <w:suppressLineNumbers w:val="0"/>
              <w:jc w:val="left"/>
              <w:textAlignment w:val="center"/>
              <w:rPr>
                <w:rFonts w:hint="eastAsia"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配备3D素材库，开放账号完全权限，可下载全部模型。3D素材数量不低于1.5万个，涵盖不少于10种类别，拥有20个以上特色专题，每个专题包含至少5个以上同类别优质素材。素材库包含网站及APP使用，APP同步支持安卓及IOS下载。</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0B12010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25939D0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795ECF02">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精度陶瓷成型打印设备</w:t>
            </w:r>
          </w:p>
        </w:tc>
      </w:tr>
      <w:tr w14:paraId="26CB28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64"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3C8517A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75DCBC73">
            <w:pPr>
              <w:keepNext w:val="0"/>
              <w:keepLines w:val="0"/>
              <w:widowControl/>
              <w:suppressLineNumbers w:val="0"/>
              <w:jc w:val="center"/>
              <w:textAlignment w:val="center"/>
              <w:rPr>
                <w:rFonts w:hint="default"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陶瓷3D打印机</w:t>
            </w:r>
            <w:r>
              <w:rPr>
                <w:rFonts w:hint="eastAsia" w:ascii="宋体" w:hAnsi="宋体" w:cs="宋体"/>
                <w:i w:val="0"/>
                <w:iCs w:val="0"/>
                <w:color w:val="auto"/>
                <w:kern w:val="0"/>
                <w:sz w:val="21"/>
                <w:szCs w:val="21"/>
                <w:u w:val="none"/>
                <w:lang w:val="en-US" w:eastAsia="zh-CN" w:bidi="ar"/>
              </w:rPr>
              <w:t>2#</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1778BA12">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参数表</w:t>
            </w:r>
          </w:p>
          <w:p w14:paraId="493ACDBB">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喷嘴直径  0.4mm、0.6mm、0.8mm、1mm、1.2mm、1.5mm、2mm、3mm(均可用)</w:t>
            </w:r>
          </w:p>
          <w:p w14:paraId="70C14EB0">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针头切换  快捷旋钮即插即用</w:t>
            </w:r>
          </w:p>
          <w:p w14:paraId="411F1517">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打印精度（最小层厚）  0.2mm</w:t>
            </w:r>
          </w:p>
          <w:p w14:paraId="2DBB3784">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打印精度（最薄壁厚） 干燥收缩后0.5mm</w:t>
            </w:r>
          </w:p>
          <w:p w14:paraId="4020D753">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打印速度    30-150mm/s范围可调</w:t>
            </w:r>
          </w:p>
          <w:p w14:paraId="6F01DE8F">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最大成型尺寸 </w:t>
            </w:r>
            <w:r>
              <w:rPr>
                <w:rFonts w:hint="eastAsia" w:ascii="宋体" w:hAnsi="宋体" w:cs="宋体"/>
                <w:i w:val="0"/>
                <w:iCs w:val="0"/>
                <w:color w:val="auto"/>
                <w:kern w:val="0"/>
                <w:sz w:val="21"/>
                <w:szCs w:val="21"/>
                <w:u w:val="none"/>
                <w:lang w:val="en-US" w:eastAsia="zh-CN" w:bidi="ar"/>
              </w:rPr>
              <w:t xml:space="preserve"> </w:t>
            </w:r>
            <w:r>
              <w:rPr>
                <w:rFonts w:hint="eastAsia" w:ascii="宋体" w:hAnsi="宋体" w:eastAsia="宋体" w:cs="宋体"/>
                <w:i w:val="0"/>
                <w:iCs w:val="0"/>
                <w:color w:val="auto"/>
                <w:kern w:val="0"/>
                <w:sz w:val="21"/>
                <w:szCs w:val="21"/>
                <w:u w:val="none"/>
                <w:lang w:val="en-US" w:eastAsia="zh-CN" w:bidi="ar"/>
              </w:rPr>
              <w:t>180*180*200 mm</w:t>
            </w:r>
          </w:p>
          <w:p w14:paraId="751E736F">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电源规格   220V或110V可切换</w:t>
            </w:r>
          </w:p>
          <w:p w14:paraId="1DA10471">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额定功率   300W</w:t>
            </w:r>
          </w:p>
          <w:p w14:paraId="50A62FBA">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机箱结构  封闭式结构（正面亚克力大观察窗）</w:t>
            </w:r>
          </w:p>
          <w:p w14:paraId="68D3AE61">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照明功能   内置LED照明</w:t>
            </w:r>
          </w:p>
          <w:p w14:paraId="10724956">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调    平   四点半自动化辅助调平</w:t>
            </w:r>
          </w:p>
          <w:p w14:paraId="460BE943">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控制面板   3.5寸全彩触摸屏，挤出速度、移动速度、环境与打印头温度均可数字化控制，打印作品外观、打印进度与打印时间均可显示</w:t>
            </w:r>
          </w:p>
          <w:p w14:paraId="30EF457D">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屏幕语言    中文/英文可自由切换</w:t>
            </w:r>
          </w:p>
          <w:p w14:paraId="1B0D08AD">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可用耗材    陶泥/瓷泥/紫砂泥/硅橡胶/水性油墨等具有一定流动性、黏性、可塑性的材料均可打印，满足多学科教学、实训需要</w:t>
            </w:r>
          </w:p>
          <w:p w14:paraId="539CE321">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供料方式   精确可控的空气压力加高精密机加工螺杆挤出</w:t>
            </w:r>
          </w:p>
          <w:p w14:paraId="4F8E57B7">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挤出方式   精确可控的空气压力加高精密机加工螺杆挤出</w:t>
            </w:r>
          </w:p>
          <w:p w14:paraId="65006EF7">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支持文件格试   gcode/STL/OBJ等3D文件格式</w:t>
            </w:r>
          </w:p>
          <w:p w14:paraId="086F3F84">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打印平台   金属铝板覆钢化玻璃</w:t>
            </w:r>
          </w:p>
          <w:p w14:paraId="45737103">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Wifi控制    可用</w:t>
            </w:r>
          </w:p>
          <w:p w14:paraId="652F02B1">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暂停续打    支持</w:t>
            </w:r>
          </w:p>
          <w:p w14:paraId="294B84EC">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断电续打   支持</w:t>
            </w:r>
          </w:p>
          <w:p w14:paraId="000B8C61">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恒温热风循环   标配</w:t>
            </w:r>
          </w:p>
          <w:p w14:paraId="3D52830E">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支持切片软件   cura/S3D等常见FDM切片软件（兼容第三方软件)</w:t>
            </w:r>
          </w:p>
          <w:p w14:paraId="7057B71B">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操作系统   Window系列/Mac OS/Linux</w:t>
            </w:r>
          </w:p>
          <w:p w14:paraId="06611249">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打印方式   SD卡/USB/WiFi</w:t>
            </w:r>
          </w:p>
          <w:p w14:paraId="5A866DD0">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赠送配置   无油静音数显空压机一台，打印板三片，各种打印针头共30个，6公斤高白瓷泥耗材，30款以上各种已切片模型即插即用</w:t>
            </w:r>
          </w:p>
          <w:p w14:paraId="181BE2C6">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料筒规格   500CC透明高强度塑料罐，即插即用，实时可视耗材                                                                  </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7D12419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7F2A6E1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3998FCD2">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精度陶瓷成型打印设备</w:t>
            </w:r>
          </w:p>
        </w:tc>
      </w:tr>
      <w:tr w14:paraId="50017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3069B46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21</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5AE3CD6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光固化打印机</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54DCFCF1">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尺寸：</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1、整机尺寸：571*780*1850（±5mm）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2、包装尺寸：650*960*2050（±5mm）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3、打印尺寸：</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533*300*550mm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材质：</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1、设备外观为钣金一体化结构</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2、可打印材质：类ABS,高韧树脂或其它405nm波长的光敏树脂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功能描述：</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1、UV光功率：10mw/cm²</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2、光机分辨率：</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3840*2160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3、点像素尺寸：</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0.1388mm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4、打印速度：</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50mm/h</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5、打印层厚：0.025/0.05/0.1mm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6、输入电源:100-240V  50-60Hz</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7、整机功率:</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300W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8、产品净重：≈120kg</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9、配件包：3kg 类ABS树脂,U盘1个,金属铲1把,塑料刮板1个,一次性手套1包,一次性过滤漏斗50个,美工刀1把,斜口钳1把</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10、使用温度: 20℃～30℃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11、使用湿度: 40-60%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12、储存温度 -10℃～40℃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13、相对湿度 30%-90%RH（无结冰、无凝露）</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14、打印平台：打印平台可矫正</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15、配备一个3d素材库，素材库数量大于2万个，素材涵盖至少10种类别，素材拥有20个以上特色专题，每个专题包含至少5个以上同类别优质素材。素材库可提供网站访问及APP下载使用。</w:t>
            </w:r>
          </w:p>
          <w:p w14:paraId="37B46770">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16、配套同品牌云端三维渲染引擎平台，对3D数据在云端进行轻量化（轻量最高可达91%）、云渲染及三维分享，开放标准的SDK，不需要安装任何客户端。支持多种材质系统和多属性材质，以及各种类型光源与开合动画系统，实现对产品的快速三维渲染和展示。</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625AC843">
            <w:pPr>
              <w:keepNext w:val="0"/>
              <w:keepLines w:val="0"/>
              <w:widowControl/>
              <w:suppressLineNumbers w:val="0"/>
              <w:jc w:val="righ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051BE49C">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4540630">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大尺寸光固化打印机</w:t>
            </w:r>
          </w:p>
        </w:tc>
      </w:tr>
      <w:tr w14:paraId="5D655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9"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7C56C14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23</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0DFDCC4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固化机</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1A89982A">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1.机器功能：清洗、固化、净化；</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2.语音系统：中文/英文</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3.固化波长：405nm；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4.固化尺寸：≤直径340mm*高度 320mm；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5.整机尺寸≥447*400*571.5mm；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6.不带平台清洗体积：≥长296*宽 165*高</w:t>
            </w:r>
            <w:r>
              <w:rPr>
                <w:rFonts w:hint="eastAsia" w:ascii="宋体" w:hAnsi="宋体" w:cs="宋体"/>
                <w:i w:val="0"/>
                <w:iCs w:val="0"/>
                <w:color w:val="auto"/>
                <w:kern w:val="0"/>
                <w:sz w:val="21"/>
                <w:szCs w:val="21"/>
                <w:u w:val="none"/>
                <w:lang w:val="en-US" w:eastAsia="zh-CN" w:bidi="ar"/>
              </w:rPr>
              <w:t>215</w:t>
            </w:r>
            <w:r>
              <w:rPr>
                <w:rFonts w:hint="eastAsia" w:ascii="宋体" w:hAnsi="宋体" w:eastAsia="宋体" w:cs="宋体"/>
                <w:i w:val="0"/>
                <w:iCs w:val="0"/>
                <w:color w:val="auto"/>
                <w:kern w:val="0"/>
                <w:sz w:val="21"/>
                <w:szCs w:val="21"/>
                <w:u w:val="none"/>
                <w:lang w:val="en-US" w:eastAsia="zh-CN" w:bidi="ar"/>
              </w:rPr>
              <w:t xml:space="preserve">mm ；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7.电源输入：AC110-220V AC50-60HZ；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8.控制方式：液晶触摸屏； </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03A53E9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03BE62A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3F2A5587">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打印作品固化使用</w:t>
            </w:r>
          </w:p>
        </w:tc>
      </w:tr>
      <w:tr w14:paraId="65E7E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9"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0CB7F23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24</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2F4842C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10L超声波清洗机</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62D97F55">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技术参数：</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1.超声波频率：40KHz</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2.容量：≥10L</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3.时间控制：数码显示控制（1-99分钟）</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4.电源：AC 110V/220V  50/60Hz</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5.加热温度：室温-80℃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6.盖子/清洗篮：有</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7.超声功率：240W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8.加热功率：500W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9.脱气功能：有</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10.变波功能：有</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11.内槽尺寸：300*240*150（±2mm）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12.机体尺寸：380*270*275（±2mm）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13.机器重量：≈8kg</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41A4313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0E698F8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740B784">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用于清洗光固化作品及古瓷片</w:t>
            </w:r>
          </w:p>
        </w:tc>
      </w:tr>
      <w:tr w14:paraId="1DF8C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704B1F1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25</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7AE495E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30L超声波清洗机</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2FE429E9">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技术参数：</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1.超声波频率：40KHz</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2.容量：≥30L</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3.时间控制：数码显示控制（1-99分钟）</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4.电源：AC 110V/220V  50/60Hz</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5.加热温度：室温-80℃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6.盖子/清洗篮：有</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7.超声功率：600W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8.加热功率：600W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9.脱气功能：有</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10.变波功能：有</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11.内槽尺寸：500*300*200（±2mm）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12.机体尺寸：530*325*325（±2mm）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13.机器重量：≈14.6kg</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6BAB0BB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5AE8AAD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66B566E3">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用于清洗光固化作品及古瓷片</w:t>
            </w:r>
          </w:p>
        </w:tc>
      </w:tr>
      <w:tr w14:paraId="03B2B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346CC3B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26</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048C6EE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手动丝印台</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1E16309A">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设备尺寸：500*320*600（5mm），台面尺寸：300*400（5mm），机器精度可达到毫米级，10mm实心国标铝板台面。</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643ACEC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5FBF3C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3F390580">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主要用于给打印好的花纸刷封面油</w:t>
            </w:r>
          </w:p>
        </w:tc>
      </w:tr>
      <w:tr w14:paraId="54078B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1B94D19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27</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14E859D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花纸架</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6B3F8336">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网片尺寸：650*1000（±5mm）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网片外丝经：4.5mm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网片内丝径：2.5mm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层距：2.5cm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网格：11*13cm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角架厚度：5号*3台</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尼龙轮直径：75mm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外形尺寸：1100*750*1450（±5mm）</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3723CBD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239003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46B152A3">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用于放置花纸晾干</w:t>
            </w:r>
          </w:p>
        </w:tc>
      </w:tr>
      <w:tr w14:paraId="5C6260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16F506A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28</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65028D3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中型陶瓷花纸印刷机</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（A3全新机）</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5A9E00B2">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1、打印幅面:A3+（最大面积：300x1200mm)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2、打印分辨率:1200×1200dpi，最大：4800×1200dpi</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3、打印速度:20ppm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4、搭载RiNeo智慧操作平台，10.1英寸大尺寸SOP智能触摸屏</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5、内置1.3GHz新一代高速处理器</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6、标配2GB内存+2GB 内存，320GB硬盘</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cs="宋体"/>
                <w:i w:val="0"/>
                <w:iCs w:val="0"/>
                <w:color w:val="auto"/>
                <w:kern w:val="0"/>
                <w:sz w:val="21"/>
                <w:szCs w:val="21"/>
                <w:u w:val="none"/>
                <w:lang w:val="en-US" w:eastAsia="zh-CN" w:bidi="ar"/>
              </w:rPr>
              <w:t>7</w:t>
            </w:r>
            <w:r>
              <w:rPr>
                <w:rFonts w:hint="eastAsia" w:ascii="宋体" w:hAnsi="宋体" w:eastAsia="宋体" w:cs="宋体"/>
                <w:i w:val="0"/>
                <w:iCs w:val="0"/>
                <w:color w:val="auto"/>
                <w:kern w:val="0"/>
                <w:sz w:val="21"/>
                <w:szCs w:val="21"/>
                <w:u w:val="none"/>
                <w:lang w:val="en-US" w:eastAsia="zh-CN" w:bidi="ar"/>
              </w:rPr>
              <w:t>、首页输出时间为5.1秒（黑白）/7.4秒（彩色）</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cs="宋体"/>
                <w:i w:val="0"/>
                <w:iCs w:val="0"/>
                <w:color w:val="auto"/>
                <w:kern w:val="0"/>
                <w:sz w:val="21"/>
                <w:szCs w:val="21"/>
                <w:u w:val="none"/>
                <w:lang w:val="en-US" w:eastAsia="zh-CN" w:bidi="ar"/>
              </w:rPr>
              <w:t>8</w:t>
            </w:r>
            <w:r>
              <w:rPr>
                <w:rFonts w:hint="eastAsia" w:ascii="宋体" w:hAnsi="宋体" w:eastAsia="宋体" w:cs="宋体"/>
                <w:i w:val="0"/>
                <w:iCs w:val="0"/>
                <w:color w:val="auto"/>
                <w:kern w:val="0"/>
                <w:sz w:val="21"/>
                <w:szCs w:val="21"/>
                <w:u w:val="none"/>
                <w:lang w:val="en-US" w:eastAsia="zh-CN" w:bidi="ar"/>
              </w:rPr>
              <w:t>、打印机碳粉：优能专用陶瓷激光碳粉。烧制温度：780-830度</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cs="宋体"/>
                <w:i w:val="0"/>
                <w:iCs w:val="0"/>
                <w:color w:val="auto"/>
                <w:kern w:val="0"/>
                <w:sz w:val="21"/>
                <w:szCs w:val="21"/>
                <w:u w:val="none"/>
                <w:lang w:val="en-US" w:eastAsia="zh-CN" w:bidi="ar"/>
              </w:rPr>
              <w:t>9</w:t>
            </w:r>
            <w:r>
              <w:rPr>
                <w:rFonts w:hint="eastAsia" w:ascii="宋体" w:hAnsi="宋体" w:eastAsia="宋体" w:cs="宋体"/>
                <w:i w:val="0"/>
                <w:iCs w:val="0"/>
                <w:color w:val="auto"/>
                <w:kern w:val="0"/>
                <w:sz w:val="21"/>
                <w:szCs w:val="21"/>
                <w:u w:val="none"/>
                <w:lang w:val="en-US" w:eastAsia="zh-CN" w:bidi="ar"/>
              </w:rPr>
              <w:t>、自带恒湿调节系统，设备运行稳定,环保节能，适应各种工作环境。</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64CD354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ED4DD9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7B6A5B23">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花纸打印设备</w:t>
            </w:r>
          </w:p>
        </w:tc>
      </w:tr>
      <w:tr w14:paraId="7CA27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0B1AFFB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29</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3E14C5A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陶艺操作台（含2张陶艺工作凳）</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59431844">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整体尺寸：150cm*70cm*80cm（±10mm），桌面厚度40mm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含2个陶艺工作凳</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50D6920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BBA0A6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张</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31E8CB55">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放置手动丝印设备</w:t>
            </w:r>
          </w:p>
        </w:tc>
      </w:tr>
      <w:tr w14:paraId="1D68B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6CC211E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30</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4786DB6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陶瓷作品展示架</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23705D0C">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钢架尺寸1600*1400*400（±5mm），钢架采用加厚方管，间隔四分五层，每层高分别为35、35、35、40cm，采用厚实木板作为支撑板，每层承重配4台2.5寸静音脚轮。</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木板为杉木实木板，经过酸性处理，有效防止高温潮湿环境下产生变形和开裂。</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5C5C058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ED9707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66F7AA95">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用于放置物料作品</w:t>
            </w:r>
          </w:p>
        </w:tc>
      </w:tr>
      <w:tr w14:paraId="199D1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17F6BF9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31</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113001F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小白泥板机</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76E1366E">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外形尺寸：L1020*W920*H1100（±5mm）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泥板厚度：H2-60mm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压制泥板尺寸;L900*W450（±2mm）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安全支撑板尺寸:L300*W205*H35（±2mm）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重    量：≈55kg</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材质：Q235-A+铝合金</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    注：出厂标配一块板子，两块布</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5A5DD89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8514D4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1DE6DB3C">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用于陶瓷泥板成型工艺制作</w:t>
            </w:r>
          </w:p>
        </w:tc>
      </w:tr>
      <w:tr w14:paraId="097E3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157F595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32</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67777B4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真空练泥机</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75D7B20F">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外型尺寸:约1160*540*850（±5mm）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生产能力:</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350kg/H</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电源:AC220V</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功率:</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2.75KW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出泥口直径:</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80mm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接泥台:长650宽330高550（±2mm）</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5277FDF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745B41F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1FBF392D">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用于废泥料回收及试片制作</w:t>
            </w:r>
          </w:p>
        </w:tc>
      </w:tr>
      <w:tr w14:paraId="141D1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48D5198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33</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4DADC6F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拉坯机</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49BEDB35">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产品尺寸：L725*W640*H420-H520（含水盆高度）（±5mm）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产品描述：</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1.工作电压：AC 220v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2.功    率：400W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3.转速范围：0～300 r/min</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4.转盘直径：≥352mm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5.电机噪音：≤40dB</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6.重    量：≈36kg</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7.负    载：120kg</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8.电    机：DD电机</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9.框架表面处理：白色+静电喷涂，黑色</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10.电机：采用DD直驱电机驱动方式，电机负载具备扭矩自动补偿功能，满足各种工况下的拉坯创作。最低转速可达到≤3转/min，通过控制器和主控面板双向调节。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▲电机具有3 n(r/min)，负载≥120KG重量平顺运转功能；</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▲电机中心上方30cm处噪音≤40dB，距离电机中心上方60cm处噪音≤44dB；</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11.性能：产品可实现急启急停，且急停后不会出现回摆现象造成坯体变形，整机加速度响应时间＜1S，减速度响应时间＜2S，转速误差＜±1%，上水平跳动≤0.1mm，侧面跳动≤0.08mm，震动值＜0.12m/s，扭力值＞30Nm。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12.水盆：采用无卡位磁吸式结构设计。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13.脚踏板：采用霍尔效应原理；</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14.铝盘：采用国标含量95%的硬质铝合金材料压铸成型，表面抗划不变色，小于≤0.1mm表面跳动值。</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15.▲安全性：电控部份采用国标防漏电插头；</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16.配置实木拉坯凳一张：1.外观尺寸：25*35cm*45cm、实木，板厚15mm；2.材质松木，表面刷清漆。</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2EDD3F0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0F5451E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293AAE25">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用于陶瓷拉坯成型工艺制作</w:t>
            </w:r>
          </w:p>
        </w:tc>
      </w:tr>
      <w:tr w14:paraId="70898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7"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6CAD0A2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34</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2DDDE2F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拉坯架</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010AF1FB">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产品形尺寸：L760*W300*H740（±5mm）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产品材质：Q235-A+杉木实木板</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产品描述：</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1.主体框架：采用国标Q235碳钢管，厚度1.5mm。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2.木板：采用多层实木板做层间面板，板厚20mm。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3.结构：坯架共两层，层间距330mm。底部配有4个可调脚杯，可以通过快捷操作调整坯架高低，便于在不同的环境下使用。</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4D1643F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5C5BCC9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106E74C3">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用于放置陶瓷拉坯成型工艺作品</w:t>
            </w:r>
          </w:p>
        </w:tc>
      </w:tr>
      <w:tr w14:paraId="1435DF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211CFE4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35</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7BB3209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通风柜</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7AE483D1">
            <w:pPr>
              <w:keepNext w:val="0"/>
              <w:keepLines w:val="0"/>
              <w:widowControl/>
              <w:suppressLineNumbers w:val="0"/>
              <w:jc w:val="left"/>
              <w:textAlignment w:val="center"/>
              <w:rPr>
                <w:rFonts w:hint="eastAsia"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含全钢台式通风柜2套、PP万向罩8台、25cm 的消音器1个</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(一)全钢台式通风柜：</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尺寸：1500*850*2350（±10mm）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1.规格：通风柜整体尺寸（W宽度×D深度×H高度）：1800*850*2350（±10mm），左右置式配重；台面采用13mm厚实芯理化板，边沿加厚至26mm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2.钢板及喷涂：采用1.0mm厚一级优质冷轧钢板下柜</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3.导流板：采用耐腐蚀的高分子材料或类似材料，置于通风柜操作区内侧</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4.内衬板：采用耐腐蚀的高分子材料或类似材料，引导通风柜气体快速排出柜外，进入排风管道</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5.安全视窗：良好的可视范围，安全视窗的移动距离不小于750mm，操作人员可实时监测实验情况，6mm厚钢化玻璃；升降轨道、窗框、拉手采用全铝合金材质,环氧树脂喷涂；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6．窗口：采用6mm厚的钢化防暴玻璃。</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7. 液晶控制系统：通风柜控制器以微控制器为核心，采用模块化设计；</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（二）PP万向罩：</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关节:高密度PP材质，可360旋转调节方向</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关节松紧旋钮：纯不锈钢轴承，防止生锈抱死</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气流调节阀：手动调节外部阀门旋钮，控制气体流量</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集气罩：高密度PP材质</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申索导管：直径Φ75mmPVC材质</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万向：以固定架为中心活动半径≥1350mm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固定底座：非粘接而成，模具注塑一体成型，牢度强，不脱底</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（三）消音器：</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尺寸：25cm</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434567A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5C0A22F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66EF9D9D">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实验室排风系统</w:t>
            </w:r>
          </w:p>
        </w:tc>
      </w:tr>
      <w:tr w14:paraId="5A0C08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4A74B0A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36</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1AFBDCC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陶瓷修复工作桌（含2张工作凳）</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2BAB4542">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1、尺寸：2000*1000*800（±10mm），桌面厚度40mm。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2、桌面材质：实木板。</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3、桌面底部增加多条Q235碳钢方管作为加强支撑杆，有效大面积承重，确保桌面受力均匀，5年不变形。整体重量≈60公斤。</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4、铁架国标方钢管50mm×50mm，厚度均为1.5mm。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5、实木陶艺凳规格：（一张修复工作卓配套2张工作凳）</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7、长330×宽230×高450（±2mm）</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771E190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303BF4C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2CB87A72">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用于干燥清洗后的古瓷片，并进行瓷片修复拼接</w:t>
            </w:r>
          </w:p>
        </w:tc>
      </w:tr>
      <w:tr w14:paraId="4587C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1"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1B64E16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37</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6E0C3FE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水帘式吹釉柜（带转台）</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6236821E">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外形尺寸：78*72*167cm（±5mm）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框架材质：不锈钢+玻璃</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电压：220V</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电机转速：</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1500转</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电机功率：</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150W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风机功率：</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0.12KW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风机风量：</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2000m³/H</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水泵功率：</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0.125kw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转盘材质：铝合金</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转盘转速：0-200转/分</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7FE9E47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5E2F679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1C7FD341">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用于陶瓷作品施釉</w:t>
            </w:r>
          </w:p>
        </w:tc>
      </w:tr>
      <w:tr w14:paraId="1544F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5F8112A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38</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5500E43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喷釉用具三件套</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5AB15CA2">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1、空压机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 电压：220v</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 功率：</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1500w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 额定排气压力：0.7Mpa</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 公称容积流量：150L/min</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 转速：2850r/min</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 储气罐：≥30L</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 净重：≈35kg</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外形尺寸：约63*27.5*62.5cm（±5mm）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2、连接软管（带阀门和转接头）</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 尺寸：长20cm  直径：8mm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3、不堵塞喷釉壶</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 容量：≥450ml</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重量：≈0.35kg</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 材质：铝</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工作气压：0.3-0.4（mpa）</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喷涂距离：≥6200mm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喷洒面积：≥30mm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规格：直径：≥8cm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总高：≥16cm    </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2B3F076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35FD4E9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1CB63F68">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气泵及喷釉壶，配合吹釉柜使用</w:t>
            </w:r>
          </w:p>
        </w:tc>
      </w:tr>
      <w:tr w14:paraId="0198A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5C6FCB9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39</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586C018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高温电窑1</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41F6FE82">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净空容积：0.08m³</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开门方式：顶开门</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外形尺寸：L917（含温控器）*W886*H860(±10mm)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内膛尺寸：Ø480*H460(±5mm)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棚    板：Ø385（MM）*1块/层（配送一层）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电    源：220V±10V（50HZ）</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功    率：7.6KW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电    流：35A</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用户空开：2P/63A</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用户线径：2*10+1*6平方国标铜芯线</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热 电 偶：S型，单点控温</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炉    丝：国产合金炉丝，环形布置</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智能仪表：4.3寸，6组程序，12段曲线设置</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炉内温差：±3℃</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额定温度：1240℃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整备质量：≈114KG</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框架材质：Q235-A+铝合金</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表面处理：静电喷涂，灰色</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44FEBC7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5F26E8B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114A6254">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用于作品高温烧制需求</w:t>
            </w:r>
          </w:p>
        </w:tc>
      </w:tr>
      <w:tr w14:paraId="0EAF18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618CC7C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40</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1841CEC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圆窑08窑具套装</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3C857F7E">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建议适配的棚板马脚窑具(需单独购买）：</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棚板：φ385 （6块）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马脚5cm:18个（6层）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马脚8cm：12个（4层)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马脚10cm：9个（3层）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马脚18cm:6个（2层）</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4ED7A30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5B761BD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3222095">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配合高温电窑使用</w:t>
            </w:r>
          </w:p>
        </w:tc>
      </w:tr>
      <w:tr w14:paraId="323A98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4EC5CBE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41</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31AC1DD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高温电窑2</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1DEFE664">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兰焰电窑</w:t>
            </w:r>
          </w:p>
          <w:p w14:paraId="1476E81A">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净空容积：0.2m³</w:t>
            </w:r>
          </w:p>
          <w:p w14:paraId="338E3202">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开门方式：侧开门</w:t>
            </w:r>
          </w:p>
          <w:p w14:paraId="2D00489B">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外形尺寸：L888*W1165*H1465mm</w:t>
            </w:r>
          </w:p>
          <w:p w14:paraId="1A29F11F">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内膛尺寸：L500*W530*H750/690mm</w:t>
            </w:r>
          </w:p>
          <w:p w14:paraId="4E230AB3">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棚    板：40*45*1（CM）块/层（配送一层）</w:t>
            </w:r>
          </w:p>
          <w:p w14:paraId="5F680096">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    源：380V±10V（50HZ）</w:t>
            </w:r>
          </w:p>
          <w:p w14:paraId="2036D36B">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功    率：21KW</w:t>
            </w:r>
          </w:p>
          <w:p w14:paraId="643626B2">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    流：32A</w:t>
            </w:r>
          </w:p>
          <w:p w14:paraId="2EAEBF5B">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用户空开：4P/63A</w:t>
            </w:r>
          </w:p>
          <w:p w14:paraId="4B655610">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用户线径：3*10+2*6平方国标铜芯线</w:t>
            </w:r>
          </w:p>
          <w:p w14:paraId="21376648">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热 电 偶：S型，双层控温</w:t>
            </w:r>
          </w:p>
          <w:p w14:paraId="70348B50">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炉    丝：国产合金炉丝，五面布置</w:t>
            </w:r>
          </w:p>
          <w:p w14:paraId="2DCB4948">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智能仪表：7寸，6组程序，12段曲线设置</w:t>
            </w:r>
          </w:p>
          <w:p w14:paraId="0BF5B549">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炉内温差：±10℃</w:t>
            </w:r>
          </w:p>
          <w:p w14:paraId="41C7984F">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额定温度：1240℃</w:t>
            </w:r>
          </w:p>
          <w:p w14:paraId="0E42581B">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整备质量：≈516KG</w:t>
            </w:r>
          </w:p>
          <w:p w14:paraId="71CFDF25">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框架材质：Q235-A+不锈钢</w:t>
            </w:r>
          </w:p>
          <w:p w14:paraId="7600241D">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表面处理：不锈钢色</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66B2DDD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12D5209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30B4308">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用于作品高温烧制需求</w:t>
            </w:r>
          </w:p>
        </w:tc>
      </w:tr>
      <w:tr w14:paraId="7A100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1A03BDC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42</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5CA2DDF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08窑具套装</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5F534710">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规格参数：</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棚板30cm*34cm：8块（8层）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马脚5cm：20个（5层）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马脚8cm：16个（4层）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马脚10cm：12个（3层）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马脚18cm：8个（2层）</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3DD21DA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6A3F06C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FFE065E">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配合高温电窑使用</w:t>
            </w:r>
          </w:p>
        </w:tc>
      </w:tr>
      <w:tr w14:paraId="2A3412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628E1F5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43</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0795282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陶艺拉坯机</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66F02E0C">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外形尺寸:L600*W450(±5mm)*H405-505mm(含水盆高度）</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工作电压：AC220V</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功    率：300W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转速范围：0-300r/min</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转盘直径：</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285mm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整机噪音：≤55dB</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重    量：≈30KG</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电    机：碳刷电机</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框架材质：Q235-A</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表面处理：白色台面+黑色静电喷涂</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7E1005B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706EA84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784FEC71">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陶艺体验使用</w:t>
            </w:r>
          </w:p>
        </w:tc>
      </w:tr>
      <w:tr w14:paraId="5D4E6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2D9F15A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44</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7DAC3C5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陶艺拉坯机</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14:paraId="541806DA">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外型尺寸：L580*W420(±5mm)*H440-560mm（含水盆高度）</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支脚可调节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电压：AC220V</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转盘转速：0～250r/min</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转盘直径：</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 xml:space="preserve">315mm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功率：500w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转盘盘面上下跳动≤0.10mm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整机噪音  ≤65dB</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重量：≈38kg</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3646E14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41BBD23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F56C72E">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陶艺体验使用</w:t>
            </w:r>
          </w:p>
        </w:tc>
      </w:tr>
      <w:tr w14:paraId="16659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14:paraId="760780FA">
            <w:pPr>
              <w:jc w:val="center"/>
              <w:rPr>
                <w:rFonts w:hint="eastAsia" w:ascii="宋体" w:hAnsi="宋体" w:eastAsia="宋体" w:cs="宋体"/>
                <w:i w:val="0"/>
                <w:iCs w:val="0"/>
                <w:color w:val="auto"/>
                <w:sz w:val="21"/>
                <w:szCs w:val="21"/>
                <w:u w:val="none"/>
              </w:rPr>
            </w:pPr>
          </w:p>
        </w:tc>
        <w:tc>
          <w:tcPr>
            <w:tcW w:w="1200" w:type="dxa"/>
            <w:tcBorders>
              <w:top w:val="single" w:color="000000" w:sz="4" w:space="0"/>
              <w:left w:val="nil"/>
              <w:bottom w:val="single" w:color="000000" w:sz="4" w:space="0"/>
              <w:right w:val="nil"/>
            </w:tcBorders>
            <w:noWrap/>
            <w:vAlign w:val="center"/>
          </w:tcPr>
          <w:p w14:paraId="3D4348E6">
            <w:pPr>
              <w:jc w:val="center"/>
              <w:rPr>
                <w:rFonts w:hint="eastAsia" w:ascii="宋体" w:hAnsi="宋体" w:eastAsia="宋体" w:cs="宋体"/>
                <w:i w:val="0"/>
                <w:iCs w:val="0"/>
                <w:color w:val="auto"/>
                <w:sz w:val="21"/>
                <w:szCs w:val="21"/>
                <w:u w:val="none"/>
              </w:rPr>
            </w:pPr>
          </w:p>
        </w:tc>
        <w:tc>
          <w:tcPr>
            <w:tcW w:w="6568" w:type="dxa"/>
            <w:tcBorders>
              <w:top w:val="single" w:color="000000" w:sz="4" w:space="0"/>
              <w:left w:val="nil"/>
              <w:bottom w:val="single" w:color="000000" w:sz="4" w:space="0"/>
              <w:right w:val="nil"/>
            </w:tcBorders>
            <w:noWrap w:val="0"/>
            <w:vAlign w:val="center"/>
          </w:tcPr>
          <w:p w14:paraId="5F9032A8">
            <w:pPr>
              <w:jc w:val="center"/>
              <w:rPr>
                <w:rFonts w:hint="eastAsia" w:ascii="宋体" w:hAnsi="宋体" w:eastAsia="宋体" w:cs="宋体"/>
                <w:i w:val="0"/>
                <w:iCs w:val="0"/>
                <w:color w:val="auto"/>
                <w:sz w:val="21"/>
                <w:szCs w:val="21"/>
                <w:u w:val="none"/>
              </w:rPr>
            </w:pPr>
          </w:p>
        </w:tc>
        <w:tc>
          <w:tcPr>
            <w:tcW w:w="750" w:type="dxa"/>
            <w:tcBorders>
              <w:top w:val="single" w:color="000000" w:sz="4" w:space="0"/>
              <w:left w:val="nil"/>
              <w:bottom w:val="single" w:color="000000" w:sz="4" w:space="0"/>
              <w:right w:val="nil"/>
            </w:tcBorders>
            <w:noWrap/>
            <w:vAlign w:val="center"/>
          </w:tcPr>
          <w:p w14:paraId="52C1BD41">
            <w:pPr>
              <w:jc w:val="center"/>
              <w:rPr>
                <w:rFonts w:hint="eastAsia" w:ascii="宋体" w:hAnsi="宋体" w:eastAsia="宋体" w:cs="宋体"/>
                <w:i w:val="0"/>
                <w:iCs w:val="0"/>
                <w:color w:val="auto"/>
                <w:sz w:val="21"/>
                <w:szCs w:val="21"/>
                <w:u w:val="none"/>
              </w:rPr>
            </w:pPr>
          </w:p>
        </w:tc>
        <w:tc>
          <w:tcPr>
            <w:tcW w:w="795" w:type="dxa"/>
            <w:tcBorders>
              <w:top w:val="single" w:color="000000" w:sz="4" w:space="0"/>
              <w:left w:val="nil"/>
              <w:bottom w:val="single" w:color="000000" w:sz="4" w:space="0"/>
              <w:right w:val="nil"/>
            </w:tcBorders>
            <w:noWrap/>
            <w:vAlign w:val="center"/>
          </w:tcPr>
          <w:p w14:paraId="38C0B824">
            <w:pPr>
              <w:jc w:val="center"/>
              <w:rPr>
                <w:rFonts w:hint="eastAsia" w:ascii="宋体" w:hAnsi="宋体" w:eastAsia="宋体" w:cs="宋体"/>
                <w:i w:val="0"/>
                <w:iCs w:val="0"/>
                <w:color w:val="auto"/>
                <w:sz w:val="21"/>
                <w:szCs w:val="21"/>
                <w:u w:val="none"/>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48ED1FFE">
            <w:pPr>
              <w:rPr>
                <w:rFonts w:hint="eastAsia" w:ascii="宋体" w:hAnsi="宋体" w:eastAsia="宋体" w:cs="宋体"/>
                <w:i w:val="0"/>
                <w:iCs w:val="0"/>
                <w:color w:val="auto"/>
                <w:sz w:val="21"/>
                <w:szCs w:val="21"/>
                <w:u w:val="none"/>
              </w:rPr>
            </w:pPr>
          </w:p>
        </w:tc>
      </w:tr>
    </w:tbl>
    <w:p w14:paraId="2700DD51">
      <w:pPr>
        <w:keepNext w:val="0"/>
        <w:keepLines w:val="0"/>
        <w:pageBreakBefore w:val="0"/>
        <w:widowControl w:val="0"/>
        <w:kinsoku/>
        <w:wordWrap/>
        <w:overflowPunct/>
        <w:topLinePunct w:val="0"/>
        <w:bidi w:val="0"/>
        <w:snapToGrid w:val="0"/>
        <w:spacing w:line="360" w:lineRule="auto"/>
        <w:jc w:val="both"/>
        <w:rPr>
          <w:rFonts w:hint="eastAsia" w:ascii="宋体" w:hAnsi="宋体" w:eastAsia="宋体" w:cs="宋体"/>
          <w:b/>
          <w:bCs/>
          <w:color w:val="auto"/>
          <w:szCs w:val="21"/>
          <w:highlight w:val="none"/>
          <w:lang w:eastAsia="zh-CN"/>
        </w:rPr>
      </w:pPr>
      <w:r>
        <w:rPr>
          <w:rFonts w:hint="eastAsia" w:ascii="宋体" w:hAnsi="宋体" w:eastAsia="宋体" w:cs="宋体"/>
          <w:b/>
          <w:bCs/>
          <w:color w:val="auto"/>
          <w:szCs w:val="21"/>
          <w:highlight w:val="none"/>
          <w:lang w:val="en-US" w:eastAsia="zh-CN"/>
        </w:rPr>
        <w:t>注</w:t>
      </w:r>
      <w:r>
        <w:rPr>
          <w:rFonts w:hint="eastAsia" w:ascii="宋体" w:hAnsi="宋体" w:eastAsia="宋体" w:cs="宋体"/>
          <w:b/>
          <w:bCs/>
          <w:color w:val="auto"/>
          <w:szCs w:val="21"/>
          <w:highlight w:val="none"/>
          <w:lang w:eastAsia="zh-CN"/>
        </w:rPr>
        <w:t>：</w:t>
      </w:r>
    </w:p>
    <w:p w14:paraId="598FF07B">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bottom"/>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kern w:val="0"/>
          <w:szCs w:val="21"/>
          <w:highlight w:val="none"/>
        </w:rPr>
        <w:t>清单内注明“包干”、“足量提供”的，价格不予调整。</w:t>
      </w:r>
      <w:r>
        <w:rPr>
          <w:rFonts w:hint="eastAsia" w:ascii="宋体" w:hAnsi="宋体" w:eastAsia="宋体" w:cs="宋体"/>
          <w:color w:val="auto"/>
          <w:highlight w:val="none"/>
        </w:rPr>
        <w:t>清单内如有未尽内容，如管道短管、电气、自控所需电源线、信号线（必须用铜芯</w:t>
      </w:r>
      <w:r>
        <w:rPr>
          <w:rFonts w:hint="eastAsia" w:ascii="宋体" w:hAnsi="宋体" w:eastAsia="宋体" w:cs="宋体"/>
          <w:color w:val="auto"/>
          <w:highlight w:val="none"/>
          <w:lang w:val="en-US" w:eastAsia="zh-CN"/>
        </w:rPr>
        <w:t>屏蔽</w:t>
      </w:r>
      <w:r>
        <w:rPr>
          <w:rFonts w:hint="eastAsia" w:ascii="宋体" w:hAnsi="宋体" w:eastAsia="宋体" w:cs="宋体"/>
          <w:color w:val="auto"/>
          <w:highlight w:val="none"/>
        </w:rPr>
        <w:t>线）、套管、支架</w:t>
      </w:r>
      <w:r>
        <w:rPr>
          <w:rFonts w:hint="eastAsia" w:ascii="宋体" w:hAnsi="宋体" w:eastAsia="宋体" w:cs="宋体"/>
          <w:color w:val="auto"/>
          <w:highlight w:val="none"/>
          <w:lang w:eastAsia="zh-CN"/>
        </w:rPr>
        <w:t>、施工各种措施</w:t>
      </w:r>
      <w:r>
        <w:rPr>
          <w:rFonts w:hint="eastAsia" w:ascii="宋体" w:hAnsi="宋体" w:eastAsia="宋体" w:cs="宋体"/>
          <w:color w:val="auto"/>
          <w:highlight w:val="none"/>
        </w:rPr>
        <w:t>等相关必需配件由投标单位自行考虑，足量提供，价格不予调整。</w:t>
      </w:r>
    </w:p>
    <w:p w14:paraId="29A92C2E">
      <w:pPr>
        <w:keepNext w:val="0"/>
        <w:keepLines w:val="0"/>
        <w:pageBreakBefore w:val="0"/>
        <w:widowControl w:val="0"/>
        <w:numPr>
          <w:ilvl w:val="0"/>
          <w:numId w:val="0"/>
        </w:numPr>
        <w:kinsoku/>
        <w:wordWrap/>
        <w:overflowPunct/>
        <w:topLinePunct w:val="0"/>
        <w:bidi w:val="0"/>
        <w:spacing w:line="360" w:lineRule="auto"/>
        <w:ind w:left="64" w:leftChars="0" w:firstLine="420" w:firstLineChars="0"/>
        <w:rPr>
          <w:rFonts w:hint="eastAsia" w:ascii="宋体" w:hAnsi="宋体" w:eastAsia="宋体" w:cs="宋体"/>
          <w:color w:val="auto"/>
          <w:highlight w:val="none"/>
        </w:rPr>
      </w:pPr>
      <w:r>
        <w:rPr>
          <w:rFonts w:hint="eastAsia" w:ascii="宋体" w:hAnsi="宋体" w:eastAsia="宋体" w:cs="宋体"/>
          <w:color w:val="auto"/>
          <w:kern w:val="2"/>
          <w:sz w:val="21"/>
          <w:szCs w:val="21"/>
          <w:highlight w:val="none"/>
          <w:lang w:val="en-US" w:eastAsia="zh-CN" w:bidi="ar-SA"/>
        </w:rPr>
        <w:t>2、</w:t>
      </w:r>
      <w:r>
        <w:rPr>
          <w:rFonts w:hint="eastAsia" w:ascii="宋体" w:hAnsi="宋体" w:eastAsia="宋体" w:cs="宋体"/>
          <w:b w:val="0"/>
          <w:bCs w:val="0"/>
          <w:color w:val="auto"/>
          <w:szCs w:val="21"/>
          <w:highlight w:val="none"/>
        </w:rPr>
        <w:t>本项目报价为“交钥匙”价。项目实施过程中所需的墙面开孔及封堵（如有）、胶带、设备的吊装、搬运、机械、设备检测、试运行、场地清理及垃圾清运费、采购人既有设施设备成品保护费、包装及运输、采购、施工、保管、安装或集成、调试、培训、咨询、服务、检测、安保、劳务、材料、差旅交通、就餐住宿、管理、利润、规费、税金、保险、相关协调费、招标代理费、乐采云系统服务费（如有）、专利技术、知识产权、售后服务费及其他实物和技术工作收费等所有为完成本项目所发生的全部相关费用均包含在所报价格中。</w:t>
      </w:r>
    </w:p>
    <w:p w14:paraId="057A50A0">
      <w:pPr>
        <w:keepNext w:val="0"/>
        <w:keepLines w:val="0"/>
        <w:pageBreakBefore w:val="0"/>
        <w:widowControl w:val="0"/>
        <w:kinsoku/>
        <w:wordWrap/>
        <w:overflowPunct/>
        <w:topLinePunct w:val="0"/>
        <w:bidi w:val="0"/>
        <w:spacing w:line="360" w:lineRule="auto"/>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、中标人供货时应向</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提供设备使用说明书、保修卡等必要的有关资料，产品须符合行业质量认证，具有出厂合格证明。</w:t>
      </w:r>
    </w:p>
    <w:p w14:paraId="3BEA29B3">
      <w:pPr>
        <w:keepNext w:val="0"/>
        <w:keepLines w:val="0"/>
        <w:pageBreakBefore w:val="0"/>
        <w:widowControl w:val="0"/>
        <w:kinsoku/>
        <w:wordWrap/>
        <w:overflowPunct/>
        <w:topLinePunct w:val="0"/>
        <w:bidi w:val="0"/>
        <w:spacing w:line="360" w:lineRule="auto"/>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、本次项目的具体事项请投标自行到现场勘察。如本表尺寸规格有误，投标人须无条件修正订制产品满足</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的要求。如投标人未现场勘察了解情况，招标文件技术尺寸规格中数据错误导致的后果由中标人负责。供应商须注意报价风险。</w:t>
      </w:r>
    </w:p>
    <w:p w14:paraId="45FA7ABC">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bottom"/>
        <w:rPr>
          <w:rFonts w:hint="eastAsia" w:ascii="宋体" w:hAnsi="宋体" w:eastAsia="宋体" w:cs="宋体"/>
          <w:strike w:val="0"/>
          <w:dstrike w:val="0"/>
          <w:color w:val="auto"/>
          <w:kern w:val="0"/>
          <w:szCs w:val="21"/>
          <w:highlight w:val="none"/>
        </w:rPr>
      </w:pPr>
      <w:r>
        <w:rPr>
          <w:rFonts w:hint="eastAsia" w:ascii="宋体" w:hAnsi="宋体" w:eastAsia="宋体" w:cs="宋体"/>
          <w:strike w:val="0"/>
          <w:dstrike w:val="0"/>
          <w:color w:val="auto"/>
          <w:highlight w:val="none"/>
          <w:lang w:val="en-US" w:eastAsia="zh-CN"/>
        </w:rPr>
        <w:t>5、</w:t>
      </w:r>
      <w:r>
        <w:rPr>
          <w:rFonts w:hint="eastAsia" w:ascii="宋体" w:hAnsi="宋体" w:eastAsia="宋体" w:cs="宋体"/>
          <w:strike w:val="0"/>
          <w:dstrike w:val="0"/>
          <w:color w:val="auto"/>
          <w:kern w:val="0"/>
          <w:szCs w:val="21"/>
          <w:highlight w:val="none"/>
          <w:u w:val="none"/>
        </w:rPr>
        <w:t>上述品牌为推荐参考品牌，投标人可在满足技术要求的基础上，自行选择同档次或更高档次的相关产品参加投标。如投标人未注明所选设备品牌的，</w:t>
      </w:r>
      <w:r>
        <w:rPr>
          <w:rFonts w:hint="eastAsia" w:ascii="宋体" w:hAnsi="宋体" w:eastAsia="宋体" w:cs="宋体"/>
          <w:strike w:val="0"/>
          <w:dstrike w:val="0"/>
          <w:color w:val="auto"/>
          <w:kern w:val="0"/>
          <w:szCs w:val="21"/>
          <w:highlight w:val="none"/>
          <w:u w:val="none"/>
          <w:lang w:eastAsia="zh-CN"/>
        </w:rPr>
        <w:t>采购人</w:t>
      </w:r>
      <w:r>
        <w:rPr>
          <w:rFonts w:hint="eastAsia" w:ascii="宋体" w:hAnsi="宋体" w:eastAsia="宋体" w:cs="宋体"/>
          <w:strike w:val="0"/>
          <w:dstrike w:val="0"/>
          <w:color w:val="auto"/>
          <w:kern w:val="0"/>
          <w:szCs w:val="21"/>
          <w:highlight w:val="none"/>
          <w:u w:val="none"/>
        </w:rPr>
        <w:t>有权在参考品牌中选取，投标人需无条件接受，否则</w:t>
      </w:r>
      <w:r>
        <w:rPr>
          <w:rFonts w:hint="eastAsia" w:ascii="宋体" w:hAnsi="宋体" w:eastAsia="宋体" w:cs="宋体"/>
          <w:strike w:val="0"/>
          <w:dstrike w:val="0"/>
          <w:color w:val="auto"/>
          <w:kern w:val="0"/>
          <w:szCs w:val="21"/>
          <w:highlight w:val="none"/>
          <w:u w:val="none"/>
          <w:lang w:eastAsia="zh-CN"/>
        </w:rPr>
        <w:t>采购人</w:t>
      </w:r>
      <w:r>
        <w:rPr>
          <w:rFonts w:hint="eastAsia" w:ascii="宋体" w:hAnsi="宋体" w:eastAsia="宋体" w:cs="宋体"/>
          <w:strike w:val="0"/>
          <w:dstrike w:val="0"/>
          <w:color w:val="auto"/>
          <w:kern w:val="0"/>
          <w:szCs w:val="21"/>
          <w:highlight w:val="none"/>
          <w:u w:val="none"/>
        </w:rPr>
        <w:t>有权取消其中标资格</w:t>
      </w:r>
      <w:r>
        <w:rPr>
          <w:rFonts w:hint="eastAsia" w:ascii="宋体" w:hAnsi="宋体" w:eastAsia="宋体" w:cs="宋体"/>
          <w:strike w:val="0"/>
          <w:dstrike w:val="0"/>
          <w:color w:val="auto"/>
          <w:kern w:val="0"/>
          <w:szCs w:val="21"/>
          <w:highlight w:val="none"/>
        </w:rPr>
        <w:t>。</w:t>
      </w:r>
    </w:p>
    <w:p w14:paraId="7ED953CB">
      <w:pPr>
        <w:pStyle w:val="228"/>
        <w:numPr>
          <w:ilvl w:val="0"/>
          <w:numId w:val="0"/>
        </w:numPr>
        <w:tabs>
          <w:tab w:val="left" w:pos="486"/>
          <w:tab w:val="left" w:pos="972"/>
        </w:tabs>
        <w:spacing w:line="360" w:lineRule="auto"/>
        <w:jc w:val="center"/>
        <w:outlineLvl w:val="2"/>
        <w:rPr>
          <w:rFonts w:hint="eastAsia" w:ascii="宋体" w:hAnsi="宋体" w:eastAsia="宋体" w:cs="宋体"/>
          <w:b/>
          <w:bCs/>
          <w:color w:val="auto"/>
          <w:sz w:val="24"/>
          <w:szCs w:val="24"/>
          <w:highlight w:val="none"/>
        </w:rPr>
      </w:pPr>
      <w:bookmarkStart w:id="77" w:name="_Toc5020"/>
      <w:bookmarkStart w:id="78" w:name="_Toc12829"/>
      <w:bookmarkStart w:id="79" w:name="_Toc26564"/>
      <w:bookmarkStart w:id="80" w:name="_Toc2398"/>
      <w:bookmarkStart w:id="81" w:name="_Toc27281"/>
      <w:bookmarkStart w:id="82" w:name="_Toc2039"/>
      <w:bookmarkStart w:id="83" w:name="_Toc17311"/>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rPr>
        <w:t>技术要求</w:t>
      </w:r>
      <w:bookmarkEnd w:id="77"/>
      <w:bookmarkEnd w:id="78"/>
      <w:bookmarkEnd w:id="79"/>
      <w:bookmarkEnd w:id="80"/>
      <w:bookmarkEnd w:id="81"/>
      <w:bookmarkEnd w:id="82"/>
      <w:bookmarkEnd w:id="83"/>
    </w:p>
    <w:p w14:paraId="393B2181">
      <w:pPr>
        <w:pStyle w:val="4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color w:val="auto"/>
          <w:kern w:val="2"/>
          <w:sz w:val="21"/>
          <w:szCs w:val="21"/>
          <w:highlight w:val="none"/>
        </w:rPr>
      </w:pPr>
      <w:r>
        <w:rPr>
          <w:rFonts w:hint="eastAsia" w:ascii="宋体" w:hAnsi="宋体" w:eastAsia="宋体" w:cs="宋体"/>
          <w:b/>
          <w:color w:val="auto"/>
          <w:kern w:val="2"/>
          <w:sz w:val="21"/>
          <w:szCs w:val="21"/>
          <w:highlight w:val="none"/>
          <w:lang w:eastAsia="zh-CN"/>
        </w:rPr>
        <w:t>一、</w:t>
      </w:r>
      <w:r>
        <w:rPr>
          <w:rFonts w:hint="eastAsia" w:ascii="宋体" w:hAnsi="宋体" w:eastAsia="宋体" w:cs="宋体"/>
          <w:b/>
          <w:color w:val="auto"/>
          <w:kern w:val="2"/>
          <w:sz w:val="21"/>
          <w:szCs w:val="21"/>
          <w:highlight w:val="none"/>
        </w:rPr>
        <w:t>总体要求</w:t>
      </w:r>
    </w:p>
    <w:p w14:paraId="4A6D5559">
      <w:pPr>
        <w:pStyle w:val="44"/>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20" w:beforeAutospacing="0" w:after="48" w:afterLines="20" w:afterAutospacing="0" w:line="360" w:lineRule="exact"/>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1、</w:t>
      </w:r>
      <w:r>
        <w:rPr>
          <w:rFonts w:hint="eastAsia" w:ascii="宋体" w:hAnsi="宋体" w:eastAsia="宋体" w:cs="宋体"/>
          <w:color w:val="auto"/>
          <w:kern w:val="2"/>
          <w:sz w:val="21"/>
          <w:szCs w:val="21"/>
          <w:highlight w:val="none"/>
        </w:rPr>
        <w:t>本章节涉工艺设备采购要求，包括设计、制造、供货、验收等。</w:t>
      </w:r>
    </w:p>
    <w:p w14:paraId="1C68953D">
      <w:pPr>
        <w:pStyle w:val="44"/>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20" w:beforeAutospacing="0" w:after="48" w:afterLines="20" w:afterAutospacing="0" w:line="360" w:lineRule="exact"/>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2、</w:t>
      </w:r>
      <w:r>
        <w:rPr>
          <w:rFonts w:hint="eastAsia" w:ascii="宋体" w:hAnsi="宋体" w:eastAsia="宋体" w:cs="宋体"/>
          <w:color w:val="auto"/>
          <w:kern w:val="2"/>
          <w:sz w:val="21"/>
          <w:szCs w:val="21"/>
          <w:highlight w:val="none"/>
        </w:rPr>
        <w:t>中标人应熟悉有关招标图纸和设计精神，确保设备满足安装要求。</w:t>
      </w:r>
    </w:p>
    <w:p w14:paraId="2D0EAE69">
      <w:pPr>
        <w:pStyle w:val="44"/>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20" w:beforeAutospacing="0" w:after="48" w:afterLines="20" w:afterAutospacing="0" w:line="360" w:lineRule="exact"/>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3、</w:t>
      </w:r>
      <w:r>
        <w:rPr>
          <w:rFonts w:hint="eastAsia" w:ascii="宋体" w:hAnsi="宋体" w:eastAsia="宋体" w:cs="宋体"/>
          <w:color w:val="auto"/>
          <w:kern w:val="2"/>
          <w:sz w:val="21"/>
          <w:szCs w:val="21"/>
          <w:highlight w:val="none"/>
        </w:rPr>
        <w:t>中标人所供应的设备应满足下文所述技术要求，部分部件可根据其要求采用更优材质。</w:t>
      </w:r>
    </w:p>
    <w:p w14:paraId="3ECD5C2B">
      <w:pPr>
        <w:pStyle w:val="44"/>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20" w:beforeAutospacing="0" w:after="48" w:afterLines="20" w:afterAutospacing="0" w:line="360" w:lineRule="exact"/>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本章所涉及品牌要求，指可采用同等或以上的品牌，如中标人没在技术商务偏离表明确列出偏离，则应按本品牌要求执行。如有列出偏离，则需经过评标委员会评审认可，如评标委员会不认可，则可能导致废标。</w:t>
      </w:r>
    </w:p>
    <w:p w14:paraId="69C7ECD4">
      <w:pPr>
        <w:pStyle w:val="44"/>
        <w:pageBreakBefore w:val="0"/>
        <w:widowControl w:val="0"/>
        <w:kinsoku/>
        <w:wordWrap/>
        <w:overflowPunct/>
        <w:topLinePunct w:val="0"/>
        <w:autoSpaceDE/>
        <w:autoSpaceDN/>
        <w:bidi w:val="0"/>
        <w:spacing w:line="360" w:lineRule="exact"/>
        <w:jc w:val="center"/>
        <w:textAlignment w:val="auto"/>
        <w:rPr>
          <w:rFonts w:hint="eastAsia" w:ascii="宋体" w:hAnsi="宋体" w:eastAsia="宋体" w:cs="宋体"/>
          <w:b/>
          <w:bCs/>
          <w:color w:val="auto"/>
          <w:highlight w:val="none"/>
        </w:rPr>
      </w:pPr>
      <w:r>
        <w:rPr>
          <w:rFonts w:hint="eastAsia" w:ascii="宋体" w:hAnsi="宋体" w:eastAsia="宋体" w:cs="宋体"/>
          <w:b/>
          <w:color w:val="auto"/>
          <w:kern w:val="2"/>
          <w:sz w:val="21"/>
          <w:szCs w:val="21"/>
          <w:highlight w:val="none"/>
          <w:lang w:eastAsia="zh-CN"/>
        </w:rPr>
        <w:t>二、</w:t>
      </w:r>
      <w:r>
        <w:rPr>
          <w:rFonts w:hint="eastAsia" w:ascii="宋体" w:hAnsi="宋体" w:eastAsia="宋体" w:cs="宋体"/>
          <w:b/>
          <w:color w:val="auto"/>
          <w:kern w:val="2"/>
          <w:sz w:val="21"/>
          <w:szCs w:val="21"/>
          <w:highlight w:val="none"/>
        </w:rPr>
        <w:t>主要设备技术要求</w:t>
      </w:r>
    </w:p>
    <w:p w14:paraId="1BB56155">
      <w:pPr>
        <w:numPr>
          <w:ilvl w:val="0"/>
          <w:numId w:val="0"/>
        </w:numPr>
        <w:spacing w:line="360" w:lineRule="auto"/>
        <w:ind w:leftChars="189"/>
        <w:jc w:val="both"/>
        <w:outlineLvl w:val="9"/>
        <w:rPr>
          <w:rFonts w:hint="eastAsia" w:ascii="宋体" w:hAnsi="宋体" w:eastAsia="宋体" w:cs="宋体"/>
          <w:b w:val="0"/>
          <w:bCs/>
          <w:color w:val="auto"/>
          <w:kern w:val="2"/>
          <w:sz w:val="21"/>
          <w:szCs w:val="21"/>
          <w:highlight w:val="none"/>
          <w:lang w:val="en-US" w:eastAsia="zh-CN"/>
        </w:rPr>
      </w:pPr>
      <w:r>
        <w:rPr>
          <w:rFonts w:hint="eastAsia" w:ascii="宋体" w:hAnsi="宋体" w:eastAsia="宋体" w:cs="宋体"/>
          <w:b w:val="0"/>
          <w:bCs/>
          <w:color w:val="auto"/>
          <w:kern w:val="2"/>
          <w:sz w:val="21"/>
          <w:szCs w:val="21"/>
          <w:highlight w:val="none"/>
          <w:lang w:val="en-US" w:eastAsia="zh-CN"/>
        </w:rPr>
        <w:t>1、详见主要设备及内容清单</w:t>
      </w:r>
    </w:p>
    <w:p w14:paraId="15B3AAAB">
      <w:pPr>
        <w:pStyle w:val="228"/>
        <w:tabs>
          <w:tab w:val="left" w:pos="486"/>
          <w:tab w:val="left" w:pos="972"/>
        </w:tabs>
        <w:spacing w:line="360" w:lineRule="auto"/>
        <w:jc w:val="center"/>
        <w:outlineLvl w:val="2"/>
        <w:rPr>
          <w:rFonts w:hint="eastAsia" w:ascii="宋体" w:hAnsi="宋体" w:eastAsia="宋体" w:cs="宋体"/>
          <w:b/>
          <w:bCs/>
          <w:color w:val="auto"/>
          <w:sz w:val="21"/>
          <w:szCs w:val="21"/>
          <w:highlight w:val="none"/>
        </w:rPr>
      </w:pPr>
      <w:bookmarkStart w:id="84" w:name="_Toc4815"/>
      <w:bookmarkStart w:id="85" w:name="_Toc19166"/>
      <w:bookmarkStart w:id="86" w:name="_Toc22368"/>
      <w:bookmarkStart w:id="87" w:name="_Toc30923"/>
      <w:bookmarkStart w:id="88" w:name="_Toc30435"/>
      <w:bookmarkStart w:id="89" w:name="_Toc16330"/>
      <w:bookmarkStart w:id="90" w:name="_Toc6871"/>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eastAsia="zh-CN"/>
        </w:rPr>
        <w:t>四</w:t>
      </w:r>
      <w:r>
        <w:rPr>
          <w:rFonts w:hint="eastAsia" w:ascii="宋体" w:hAnsi="宋体" w:eastAsia="宋体" w:cs="宋体"/>
          <w:b/>
          <w:bCs/>
          <w:color w:val="auto"/>
          <w:sz w:val="21"/>
          <w:szCs w:val="21"/>
          <w:highlight w:val="none"/>
        </w:rPr>
        <w:t>）其他要求</w:t>
      </w:r>
      <w:bookmarkEnd w:id="84"/>
      <w:bookmarkEnd w:id="85"/>
      <w:bookmarkEnd w:id="86"/>
      <w:bookmarkEnd w:id="87"/>
      <w:bookmarkEnd w:id="88"/>
      <w:bookmarkEnd w:id="89"/>
      <w:bookmarkEnd w:id="90"/>
    </w:p>
    <w:p w14:paraId="4E539DBE">
      <w:pPr>
        <w:numPr>
          <w:ilvl w:val="0"/>
          <w:numId w:val="0"/>
        </w:numPr>
        <w:spacing w:line="360" w:lineRule="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一、其他说明：</w:t>
      </w:r>
    </w:p>
    <w:p w14:paraId="51C5391E">
      <w:pPr>
        <w:spacing w:line="360" w:lineRule="auto"/>
        <w:ind w:firstLine="420" w:firstLineChars="200"/>
        <w:jc w:val="left"/>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shd w:val="clear" w:color="auto" w:fill="FFFFFF"/>
          <w:lang w:val="en-US" w:eastAsia="zh-CN"/>
        </w:rPr>
        <w:t>1.</w:t>
      </w:r>
      <w:r>
        <w:rPr>
          <w:rFonts w:hint="eastAsia" w:ascii="宋体" w:hAnsi="宋体" w:eastAsia="宋体" w:cs="宋体"/>
          <w:color w:val="auto"/>
          <w:sz w:val="21"/>
          <w:szCs w:val="21"/>
          <w:highlight w:val="none"/>
          <w:shd w:val="clear" w:color="auto" w:fill="FFFFFF"/>
        </w:rPr>
        <w:t>招标文件中的技术要求不得被认为是详尽无遗的，无论规定与否，投标人应提供</w:t>
      </w:r>
      <w:r>
        <w:rPr>
          <w:rFonts w:hint="eastAsia" w:ascii="宋体" w:hAnsi="宋体" w:eastAsia="宋体" w:cs="宋体"/>
          <w:color w:val="auto"/>
          <w:sz w:val="21"/>
          <w:szCs w:val="21"/>
          <w:highlight w:val="none"/>
          <w:shd w:val="clear" w:color="auto" w:fill="FFFFFF"/>
          <w:lang w:eastAsia="zh-CN"/>
        </w:rPr>
        <w:t>采购人</w:t>
      </w:r>
      <w:r>
        <w:rPr>
          <w:rFonts w:hint="eastAsia" w:ascii="宋体" w:hAnsi="宋体" w:eastAsia="宋体" w:cs="宋体"/>
          <w:color w:val="auto"/>
          <w:sz w:val="21"/>
          <w:szCs w:val="21"/>
          <w:highlight w:val="none"/>
          <w:shd w:val="clear" w:color="auto" w:fill="FFFFFF"/>
        </w:rPr>
        <w:t>没有规定但投标人认为完成本项目操作和使用，必要或必须的设备和材料，并应在报价明细表中一一列明。</w:t>
      </w:r>
    </w:p>
    <w:p w14:paraId="487BAC19">
      <w:pPr>
        <w:spacing w:line="360" w:lineRule="auto"/>
        <w:ind w:firstLine="420" w:firstLineChars="200"/>
        <w:jc w:val="left"/>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shd w:val="clear" w:color="auto" w:fill="FFFFFF"/>
          <w:lang w:val="en-US" w:eastAsia="zh-CN"/>
        </w:rPr>
        <w:t>2.</w:t>
      </w:r>
      <w:r>
        <w:rPr>
          <w:rFonts w:hint="eastAsia" w:ascii="宋体" w:hAnsi="宋体" w:eastAsia="宋体" w:cs="宋体"/>
          <w:color w:val="auto"/>
          <w:sz w:val="21"/>
          <w:szCs w:val="21"/>
          <w:highlight w:val="none"/>
          <w:shd w:val="clear" w:color="auto" w:fill="FFFFFF"/>
        </w:rPr>
        <w:t>上述设备如无特别说明应为制造厂商出厂的原装配置。供应商应对清单中所列设备及其所有附件和配置进行报价，不允许只对其中部分设备或内容进行报价。</w:t>
      </w:r>
    </w:p>
    <w:p w14:paraId="3BF4C876">
      <w:pPr>
        <w:spacing w:line="360" w:lineRule="auto"/>
        <w:ind w:firstLine="420" w:firstLineChars="200"/>
        <w:jc w:val="left"/>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shd w:val="clear" w:color="auto" w:fill="FFFFFF"/>
          <w:lang w:val="en-US" w:eastAsia="zh-CN"/>
        </w:rPr>
        <w:t>3.</w:t>
      </w:r>
      <w:r>
        <w:rPr>
          <w:rFonts w:hint="eastAsia" w:ascii="宋体" w:hAnsi="宋体" w:eastAsia="宋体" w:cs="宋体"/>
          <w:color w:val="auto"/>
          <w:sz w:val="21"/>
          <w:szCs w:val="21"/>
          <w:highlight w:val="none"/>
          <w:shd w:val="clear" w:color="auto" w:fill="FFFFFF"/>
        </w:rPr>
        <w:t>投标人的投标文件应该真实、全面、完整，应提供完整的项目设计和实施方案，详细阐述对本项目总体要求的理解。包括：功能说明、性能指标及设备选型说明（质量、性能、价格、外观、体积等方面进行比较和选择的理由和过程），明确设备、材料的具体品牌、型号和数量，符合招标文件的要求。</w:t>
      </w:r>
    </w:p>
    <w:p w14:paraId="22D569E6">
      <w:pPr>
        <w:spacing w:line="360" w:lineRule="auto"/>
        <w:ind w:firstLine="420" w:firstLineChars="200"/>
        <w:jc w:val="left"/>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shd w:val="clear" w:color="auto" w:fill="FFFFFF"/>
          <w:lang w:val="en-US" w:eastAsia="zh-CN"/>
        </w:rPr>
        <w:t>4.</w:t>
      </w:r>
      <w:r>
        <w:rPr>
          <w:rFonts w:hint="eastAsia" w:ascii="宋体" w:hAnsi="宋体" w:eastAsia="宋体" w:cs="宋体"/>
          <w:color w:val="auto"/>
          <w:sz w:val="21"/>
          <w:szCs w:val="21"/>
          <w:highlight w:val="none"/>
          <w:shd w:val="clear" w:color="auto" w:fill="FFFFFF"/>
        </w:rPr>
        <w:t>投标人可以根据实际经验，提出合理化建设，提供最优化方案，以满足整体系统运行需要。</w:t>
      </w:r>
    </w:p>
    <w:p w14:paraId="292A3147">
      <w:pPr>
        <w:spacing w:line="360" w:lineRule="auto"/>
        <w:ind w:firstLine="422" w:firstLineChars="200"/>
        <w:jc w:val="left"/>
        <w:rPr>
          <w:rFonts w:hint="eastAsia" w:ascii="宋体" w:hAnsi="宋体" w:eastAsia="宋体" w:cs="宋体"/>
          <w:b/>
          <w:bCs/>
          <w:color w:val="auto"/>
          <w:sz w:val="21"/>
          <w:szCs w:val="21"/>
          <w:highlight w:val="none"/>
          <w:shd w:val="clear" w:color="auto" w:fill="FFFFFF"/>
        </w:rPr>
      </w:pPr>
      <w:r>
        <w:rPr>
          <w:rFonts w:hint="eastAsia" w:ascii="宋体" w:hAnsi="宋体" w:eastAsia="宋体" w:cs="宋体"/>
          <w:b/>
          <w:bCs/>
          <w:color w:val="auto"/>
          <w:sz w:val="21"/>
          <w:szCs w:val="21"/>
          <w:highlight w:val="none"/>
          <w:shd w:val="clear" w:color="auto" w:fill="FFFFFF"/>
          <w:lang w:val="en-US" w:eastAsia="zh-CN"/>
        </w:rPr>
        <w:t>5.</w:t>
      </w:r>
      <w:r>
        <w:rPr>
          <w:rFonts w:hint="eastAsia" w:ascii="宋体" w:hAnsi="宋体" w:eastAsia="宋体" w:cs="宋体"/>
          <w:b/>
          <w:bCs/>
          <w:color w:val="auto"/>
          <w:sz w:val="21"/>
          <w:szCs w:val="21"/>
          <w:highlight w:val="none"/>
          <w:shd w:val="clear" w:color="auto" w:fill="FFFFFF"/>
        </w:rPr>
        <w:t>本项目报价为“交钥匙”价。项目实施过程中所需的墙面开孔及封堵（如有）、胶带、设备的吊装、搬运、机械、设备检测、试运行、场地清理及垃圾清运费、采购人既有设施设备成品保护费、包装及运输、采购、施工、保管、安装或集成、调试、培训、咨询、服务、检测、安保、劳务、材料、差旅交通、就餐住宿、管理、利润、规费、税金、保险、相关协调费、专利技术、知识产权、售后服务费及其他实物和技术工作收费等所有为完成本项目所发生的全部相关费用均包含在所报价格中。对于采购人提出的技术实现方式、手段和要求，供应商必须无条件服从并完成有关工作，不再另计费用。采购人可根据项目实际适当调整采购需求，最终将根据成交单价和验收情况在成交金额内据实结算。供应商报价时应充分考虑风险，对最终没有发生的采购，相应的金额将从结算总价中扣除。</w:t>
      </w:r>
    </w:p>
    <w:p w14:paraId="5900C3A6">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shd w:val="clear" w:color="auto" w:fill="FFFFFF"/>
          <w:lang w:val="en-US" w:eastAsia="zh-CN"/>
        </w:rPr>
        <w:t>6.</w:t>
      </w:r>
      <w:r>
        <w:rPr>
          <w:rFonts w:hint="eastAsia" w:ascii="宋体" w:hAnsi="宋体" w:eastAsia="宋体" w:cs="宋体"/>
          <w:color w:val="auto"/>
          <w:sz w:val="21"/>
          <w:szCs w:val="21"/>
          <w:highlight w:val="none"/>
          <w:shd w:val="clear" w:color="auto" w:fill="FFFFFF"/>
        </w:rPr>
        <w:t>在满足性能技术参数的前提下，</w:t>
      </w:r>
      <w:r>
        <w:rPr>
          <w:rFonts w:hint="eastAsia" w:ascii="宋体" w:hAnsi="宋体" w:eastAsia="宋体" w:cs="宋体"/>
          <w:color w:val="auto"/>
          <w:sz w:val="21"/>
          <w:szCs w:val="21"/>
          <w:highlight w:val="none"/>
          <w:shd w:val="clear" w:color="auto" w:fill="FFFFFF"/>
          <w:lang w:eastAsia="zh-CN"/>
        </w:rPr>
        <w:t>采购人</w:t>
      </w:r>
      <w:r>
        <w:rPr>
          <w:rFonts w:hint="eastAsia" w:ascii="宋体" w:hAnsi="宋体" w:eastAsia="宋体" w:cs="宋体"/>
          <w:color w:val="auto"/>
          <w:sz w:val="21"/>
          <w:szCs w:val="21"/>
          <w:highlight w:val="none"/>
          <w:shd w:val="clear" w:color="auto" w:fill="FFFFFF"/>
        </w:rPr>
        <w:t>可以根据现场的实际情况和要求，对设备数量作适当的调整。引起承包总价变化，最终以中标人实际供货数量并依据中标单价按实结算。</w:t>
      </w:r>
    </w:p>
    <w:p w14:paraId="7E1B4D65">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帮助与配合</w:t>
      </w:r>
    </w:p>
    <w:p w14:paraId="301A9978">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施工期间需要水厂人员进行水泵切换和运行监控，确保供水系统能够正常运行。同时，施工人员需与水厂人员密切配合，确保改造过程顺利进行。</w:t>
      </w:r>
    </w:p>
    <w:p w14:paraId="663D2B13">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巡查与运维</w:t>
      </w:r>
    </w:p>
    <w:p w14:paraId="31CD9AC2">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施工期间，施工人员与操作人员需实时巡查现场供水压力情况，以便进行人工调整。施工单位派遣优秀的项目经理、自控工程师、电气工程师及施工人员等技术人员到现场进行运维和支持，水厂增派负责人及技术维护组各一位24小时常驻现场跟踪参与。</w:t>
      </w:r>
    </w:p>
    <w:p w14:paraId="04ABB5F2">
      <w:pPr>
        <w:numPr>
          <w:ilvl w:val="0"/>
          <w:numId w:val="16"/>
        </w:num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施工设计图、电气布置图、电气原理图、面板等需交于业主校验确认后再实施；</w:t>
      </w:r>
    </w:p>
    <w:p w14:paraId="7EA6227F">
      <w:pPr>
        <w:numPr>
          <w:ilvl w:val="0"/>
          <w:numId w:val="16"/>
        </w:num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项目内涉及的软件程序等，版权及著作权归业主所有。</w:t>
      </w:r>
    </w:p>
    <w:p w14:paraId="3D8BFA60">
      <w:pPr>
        <w:numPr>
          <w:ilvl w:val="0"/>
          <w:numId w:val="0"/>
        </w:numPr>
        <w:spacing w:line="360" w:lineRule="auto"/>
        <w:ind w:firstLine="420" w:firstLineChars="200"/>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1</w:t>
      </w: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、提供的产品应选用质量好的先进技术产品，必须是具有产品制造许可证，产品检测报告及产品合格证的全新产品。</w:t>
      </w:r>
    </w:p>
    <w:p w14:paraId="08A5EB02">
      <w:pPr>
        <w:numPr>
          <w:ilvl w:val="0"/>
          <w:numId w:val="0"/>
        </w:numPr>
        <w:spacing w:line="360" w:lineRule="auto"/>
        <w:ind w:firstLine="420" w:firstLineChars="200"/>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2、无论在运送、储存及安装期间，应采取正确的保护措施，以确保有关产品在任何情况下不受破坏。所有受损的产品必须无条件按采购人要求更换并不得增加采购人费用。设备应确保运行安全可靠，操作和维修简便，维护费用低。各种重要的元器件均应有保护系统。</w:t>
      </w:r>
    </w:p>
    <w:p w14:paraId="5B1F2D6C">
      <w:pPr>
        <w:numPr>
          <w:ilvl w:val="0"/>
          <w:numId w:val="0"/>
        </w:numPr>
        <w:spacing w:line="360" w:lineRule="auto"/>
        <w:ind w:firstLine="420" w:firstLineChars="200"/>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3、供应商应在货物运抵现场一周前，向采购人提供安装调试及运行的进度计划表。</w:t>
      </w:r>
    </w:p>
    <w:p w14:paraId="26949755">
      <w:pPr>
        <w:numPr>
          <w:ilvl w:val="0"/>
          <w:numId w:val="0"/>
        </w:numPr>
        <w:spacing w:line="360" w:lineRule="auto"/>
        <w:ind w:firstLine="420" w:firstLineChars="200"/>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4、采购需求为项目最低要求，供应商可提供同等档次或更高档次的产品和服务，并提供相应技术参数证明其符合采购需求或优于采购需求，否则视其为不满足采购需求。</w:t>
      </w:r>
    </w:p>
    <w:p w14:paraId="64F65387">
      <w:pPr>
        <w:numPr>
          <w:ilvl w:val="0"/>
          <w:numId w:val="0"/>
        </w:numPr>
        <w:spacing w:line="360" w:lineRule="auto"/>
        <w:ind w:firstLine="420" w:firstLineChars="200"/>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5、供应商应保证投标文件中相关内容表述与响应偏离表中偏离说明保持一致，若出现不一致的，项目实施时须按响应偏离表中响应情况无条件响应采购人要求，相关损失与责任全部由供应商承担。</w:t>
      </w:r>
    </w:p>
    <w:p w14:paraId="1C1A1A87">
      <w:pPr>
        <w:numPr>
          <w:ilvl w:val="0"/>
          <w:numId w:val="0"/>
        </w:numPr>
        <w:spacing w:line="360" w:lineRule="auto"/>
        <w:ind w:firstLine="420" w:firstLineChars="200"/>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6、项目需执行国家相关标准、行业标准、地方标准或者其他标准、规范，有最新的标准的，按最新标准执行。地方执行标准不一致时或各标准之间如有差异，以国家、行业及地方较高标准执行。</w:t>
      </w:r>
    </w:p>
    <w:p w14:paraId="03558C50">
      <w:pPr>
        <w:numPr>
          <w:ilvl w:val="0"/>
          <w:numId w:val="0"/>
        </w:numPr>
        <w:spacing w:line="360" w:lineRule="auto"/>
        <w:ind w:firstLine="420" w:firstLineChars="200"/>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7、供应商在服务期限内必须遵守采购人各项管理制度和政府的相关项目管理规定等。</w:t>
      </w:r>
    </w:p>
    <w:p w14:paraId="14EC7FF5">
      <w:pPr>
        <w:numPr>
          <w:ilvl w:val="0"/>
          <w:numId w:val="0"/>
        </w:numPr>
        <w:spacing w:line="360" w:lineRule="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二、合同履约期限：</w:t>
      </w:r>
    </w:p>
    <w:p w14:paraId="75D2D89B">
      <w:pPr>
        <w:spacing w:line="360" w:lineRule="auto"/>
        <w:ind w:firstLine="420" w:firstLineChars="200"/>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合同履约期限：</w:t>
      </w:r>
      <w:r>
        <w:rPr>
          <w:rFonts w:hint="eastAsia" w:ascii="宋体" w:hAnsi="宋体" w:eastAsia="宋体" w:cs="宋体"/>
          <w:color w:val="auto"/>
          <w:sz w:val="21"/>
          <w:szCs w:val="21"/>
          <w:highlight w:val="none"/>
          <w:lang w:eastAsia="zh-CN"/>
        </w:rPr>
        <w:t>合同签订后</w:t>
      </w:r>
      <w:r>
        <w:rPr>
          <w:rFonts w:hint="eastAsia" w:ascii="宋体" w:hAnsi="宋体" w:eastAsia="宋体" w:cs="宋体"/>
          <w:color w:val="auto"/>
          <w:sz w:val="21"/>
          <w:szCs w:val="21"/>
          <w:highlight w:val="none"/>
          <w:u w:val="single"/>
          <w:lang w:eastAsia="zh-CN"/>
        </w:rPr>
        <w:t xml:space="preserve">  </w:t>
      </w:r>
      <w:r>
        <w:rPr>
          <w:rFonts w:hint="eastAsia" w:ascii="宋体" w:hAnsi="宋体" w:eastAsia="宋体" w:cs="宋体"/>
          <w:color w:val="auto"/>
          <w:sz w:val="21"/>
          <w:szCs w:val="21"/>
          <w:highlight w:val="none"/>
          <w:u w:val="single"/>
          <w:lang w:val="en-US" w:eastAsia="zh-CN"/>
        </w:rPr>
        <w:t>30</w:t>
      </w:r>
      <w:r>
        <w:rPr>
          <w:rFonts w:hint="eastAsia" w:ascii="宋体" w:hAnsi="宋体" w:eastAsia="宋体" w:cs="宋体"/>
          <w:color w:val="auto"/>
          <w:sz w:val="21"/>
          <w:szCs w:val="21"/>
          <w:highlight w:val="none"/>
          <w:u w:val="single"/>
          <w:lang w:eastAsia="zh-CN"/>
        </w:rPr>
        <w:t xml:space="preserve">  </w:t>
      </w:r>
      <w:r>
        <w:rPr>
          <w:rFonts w:hint="eastAsia" w:ascii="宋体" w:hAnsi="宋体" w:eastAsia="宋体" w:cs="宋体"/>
          <w:color w:val="auto"/>
          <w:sz w:val="21"/>
          <w:szCs w:val="21"/>
          <w:highlight w:val="none"/>
          <w:lang w:eastAsia="zh-CN"/>
        </w:rPr>
        <w:t>日历天内完成交货及安装，交付采购人使用并验收合格</w:t>
      </w:r>
      <w:r>
        <w:rPr>
          <w:rFonts w:hint="eastAsia" w:ascii="宋体" w:hAnsi="宋体" w:eastAsia="宋体" w:cs="宋体"/>
          <w:bCs/>
          <w:color w:val="auto"/>
          <w:sz w:val="21"/>
          <w:szCs w:val="21"/>
          <w:highlight w:val="none"/>
        </w:rPr>
        <w:t>。</w:t>
      </w:r>
    </w:p>
    <w:p w14:paraId="5190013B">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项目地点:</w:t>
      </w:r>
      <w:r>
        <w:rPr>
          <w:rFonts w:hint="eastAsia" w:ascii="宋体" w:hAnsi="宋体" w:eastAsia="宋体" w:cs="宋体"/>
          <w:color w:val="auto"/>
          <w:sz w:val="21"/>
          <w:szCs w:val="21"/>
          <w:highlight w:val="none"/>
          <w:lang w:eastAsia="zh-CN"/>
        </w:rPr>
        <w:t>浙江省瑞安市陶山镇（详细地点以合同签订为准）</w:t>
      </w:r>
      <w:r>
        <w:rPr>
          <w:rFonts w:hint="eastAsia" w:ascii="宋体" w:hAnsi="宋体" w:eastAsia="宋体" w:cs="宋体"/>
          <w:color w:val="auto"/>
          <w:sz w:val="21"/>
          <w:szCs w:val="21"/>
          <w:highlight w:val="none"/>
        </w:rPr>
        <w:t>。</w:t>
      </w:r>
    </w:p>
    <w:p w14:paraId="51A34693">
      <w:pPr>
        <w:pStyle w:val="19"/>
        <w:spacing w:line="360" w:lineRule="auto"/>
        <w:rPr>
          <w:rFonts w:hint="eastAsia" w:ascii="宋体" w:hAnsi="宋体" w:eastAsia="宋体" w:cs="宋体"/>
          <w:color w:val="auto"/>
          <w:sz w:val="21"/>
          <w:szCs w:val="21"/>
          <w:highlight w:val="none"/>
        </w:rPr>
      </w:pPr>
    </w:p>
    <w:p w14:paraId="5EBF75AD">
      <w:pPr>
        <w:pStyle w:val="228"/>
        <w:tabs>
          <w:tab w:val="left" w:pos="486"/>
          <w:tab w:val="left" w:pos="972"/>
        </w:tabs>
        <w:spacing w:line="360" w:lineRule="auto"/>
        <w:jc w:val="center"/>
        <w:outlineLvl w:val="2"/>
        <w:rPr>
          <w:rFonts w:hint="eastAsia" w:ascii="宋体" w:hAnsi="宋体" w:eastAsia="宋体" w:cs="宋体"/>
          <w:b/>
          <w:bCs/>
          <w:color w:val="auto"/>
          <w:sz w:val="21"/>
          <w:szCs w:val="21"/>
          <w:highlight w:val="none"/>
        </w:rPr>
      </w:pPr>
      <w:bookmarkStart w:id="91" w:name="_Toc26620"/>
      <w:bookmarkStart w:id="92" w:name="_Toc7575"/>
      <w:bookmarkStart w:id="93" w:name="_Toc6720"/>
      <w:bookmarkStart w:id="94" w:name="_Toc496078332"/>
      <w:bookmarkStart w:id="95" w:name="_Toc742"/>
      <w:bookmarkStart w:id="96" w:name="_Toc5160"/>
      <w:bookmarkStart w:id="97" w:name="_Toc1243"/>
      <w:bookmarkStart w:id="98" w:name="_Toc496166825"/>
      <w:bookmarkStart w:id="99" w:name="_Toc496163882"/>
      <w:bookmarkStart w:id="100" w:name="_Toc1147"/>
      <w:bookmarkStart w:id="101" w:name="_Toc3536"/>
      <w:bookmarkStart w:id="102" w:name="_Toc691"/>
      <w:r>
        <w:rPr>
          <w:rFonts w:hint="eastAsia" w:ascii="宋体" w:hAnsi="宋体" w:eastAsia="宋体" w:cs="宋体"/>
          <w:b/>
          <w:bCs/>
          <w:color w:val="auto"/>
          <w:sz w:val="21"/>
          <w:szCs w:val="21"/>
          <w:highlight w:val="none"/>
        </w:rPr>
        <w:t>（五）设备的到货、安装、调试和验收</w:t>
      </w:r>
      <w:bookmarkEnd w:id="91"/>
      <w:bookmarkEnd w:id="92"/>
      <w:bookmarkEnd w:id="93"/>
      <w:bookmarkEnd w:id="94"/>
      <w:bookmarkEnd w:id="95"/>
      <w:bookmarkEnd w:id="96"/>
      <w:bookmarkEnd w:id="97"/>
      <w:bookmarkEnd w:id="98"/>
      <w:bookmarkEnd w:id="99"/>
      <w:bookmarkEnd w:id="100"/>
      <w:bookmarkEnd w:id="101"/>
      <w:bookmarkEnd w:id="102"/>
    </w:p>
    <w:p w14:paraId="5A0A10FB">
      <w:pPr>
        <w:numPr>
          <w:ilvl w:val="0"/>
          <w:numId w:val="0"/>
        </w:numPr>
        <w:spacing w:line="360" w:lineRule="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一、到货</w:t>
      </w:r>
    </w:p>
    <w:p w14:paraId="688BA82B">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设备到达现场后，中标人必须派员到现场与采购人一起开箱检验，按供货清单验收,若有缺少或损坏，中标人应立即补足或更换全新同规格产品，并承担相关费用直至使采购人满意为止。</w:t>
      </w:r>
    </w:p>
    <w:p w14:paraId="438EB955">
      <w:pPr>
        <w:numPr>
          <w:ilvl w:val="0"/>
          <w:numId w:val="0"/>
        </w:numPr>
        <w:spacing w:line="360" w:lineRule="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二、安装</w:t>
      </w:r>
    </w:p>
    <w:p w14:paraId="0B7745A1">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1、接采购人通知，供应商应向采购人提交安装调试计划。安装调试计划参考以下内容：安装调试手册、安装调试进度安排、安装方式、调试方法、调试工具的准备、安装调试环境的准备、其他需要的准备工作；</w:t>
      </w:r>
    </w:p>
    <w:p w14:paraId="1BB6BC5C">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2、安装调试开始之前，由供应商和采购人共同清点，补充、更换；</w:t>
      </w:r>
    </w:p>
    <w:p w14:paraId="1C2F3143">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3、安装调试工作应在采购人代表在场时进行，经采购人确认后在采购人指定时间安装到指定位置，不得在上课时间安装调试设备，设备安装后，采购人按国家标准、厂方标准及合同技术协议指标逐一进行质量验收。配套电源、线缆、工具等满足设备工作安全性、稳定性、兼容性以及接口一致性，随机资料应完备。各项指标均符合国家标准以及本项目技术指标要求；</w:t>
      </w:r>
    </w:p>
    <w:p w14:paraId="1936B0BF">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4、安装调试过程中，由于供应商原因造成的缺损由供应商负责补充、更换；安装调试完成后，供应商应向采购人提供安装调试报告，安装调试报告至少应包括以下内容：系统安装调试结果、安装调试中出现的问题及解决办法；</w:t>
      </w:r>
    </w:p>
    <w:p w14:paraId="5F7B8CA3">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5、交货验收完毕后，中标人有责任及时通告产品问题信息，并提供相应的解决措施，包括更换。</w:t>
      </w:r>
    </w:p>
    <w:p w14:paraId="0DE1D722">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6、中标人应提供定期回访，就产品使用情况进行定期检查，便于及时发现问题以及隐患。</w:t>
      </w:r>
    </w:p>
    <w:p w14:paraId="06212C35">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7、本项目为“交钥匙”项目，报价中应包含产品的安装调试费用。所有产品必须全部由中标人安装和调试，所需安装材料、耗材等由中标人负担。本项目不存在额外安装调试费用。安装调试人员必须是持证的专业技术人员，特殊工种人员应持证上岗，具备相应的特种作业资格证。项目实施过程中，中标人应设置一定比例的费用，并采取一切有效措施确保现场人员人身及财产安全，如水、电、火、高空作业人员安全防护、物体打击防护措施等，项目实施期间发生安全事故或财产损失的，由中标人承担一切后果和全部赔偿责任。</w:t>
      </w:r>
    </w:p>
    <w:p w14:paraId="694CDA78">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8、成品保护：供应商应制定有针对性的成品保护措施，确保项目实施过程中采购人的既有设施设备不受损坏。“成品”包括已完工成品及未纳入本次项目实施范围的成品，包括但不限于地面砖、水泥混凝土路面、建筑外立面、室内现状家具、设备、地板、墙面、窗户（台）、门等。因供应商原因造成成品损坏的，供应商负责原样恢复（“原样”是指不低于原成品的外观、品质、规格、型号、估价等），且不得向采购人索取费用补偿或交货期延期。中标人应对各项设施拍照留底，项目实施后有对应照片建档。</w:t>
      </w:r>
    </w:p>
    <w:p w14:paraId="1669FFC7">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9、贯彻执行“安全第一，预防为主”的方针，做好各项防护工作，安全生产做到经常化、制度化、规范化。认真落实各项安全管理制度，坚决杜绝违章指挥和违章作业，中标人应对其员工不断进行安全教育，并及时检查，发现隐患及时排除。</w:t>
      </w:r>
    </w:p>
    <w:p w14:paraId="669ABA52">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10、杜绝死亡、重伤事故发生。在项目实施过程中如发生伤亡等事故由中标人负责处理并承担所有损失。中标人所有人员均与中标人发生聘用或劳动关系，与采购人不存在任何人事、聘用或劳动关系。中标人所有项目人员与中标人发生的劳动、工伤事故等矛盾和纠纷，均由中标人自行解决并承担所有责任。</w:t>
      </w:r>
    </w:p>
    <w:p w14:paraId="153F2B4C">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11、在项目实施过程中，供应商应合理安排时间段、采取积极措施，减少噪音污染，避免影响教职工、学生的正常教学和生活。同时须对项目人员严格管理，文明着装、规范行为，禁止在项目实施范围外随意走动。如供应商对人员管理不到位，造成不良影响或后果，采购人有权追究供应商责任，包括但不限于视情节轻重给予相应经济处罚等。</w:t>
      </w:r>
    </w:p>
    <w:p w14:paraId="2D62F89B">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12、项目实施过程中供应商需保证服从采购人的现场管理和采购人安全管理工作，并做好现场综合协调管理工作。</w:t>
      </w:r>
    </w:p>
    <w:p w14:paraId="6297D827">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13、中标人应遵守有关环境保护的法律法规，并应采取有效措施控制项目现场的各种粉尘、废气、废弃物、噪声、振动等对周围环境造成的污染和危害。</w:t>
      </w:r>
    </w:p>
    <w:p w14:paraId="4AEE6512">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14、中标人应遵守有关的安全、劳动保护、防火和防毒的法律法规，应建立相应的管理制度并配备必要的设备、器具和标识。</w:t>
      </w:r>
    </w:p>
    <w:p w14:paraId="4240CEE0">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15、严禁损坏房屋原有的绝热设施，严禁损害受力钢筋，严禁超荷载集中堆放物品，严禁在预制混凝土空心楼板上打孔、安装、埋件。</w:t>
      </w:r>
    </w:p>
    <w:p w14:paraId="535BB47A">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16、本项目电器安装应符合设计要求和国家现行标准的规定，严禁不经穿管直接埋设电线。</w:t>
      </w:r>
    </w:p>
    <w:p w14:paraId="7CA0D013">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17、临时用电应避开易燃、易爆物品堆放处，暂停工作时应切断电源。所有用水用电用气等成本已包含在报价中。</w:t>
      </w:r>
    </w:p>
    <w:p w14:paraId="0F9FE94B">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18、临时用水管不得有破损、渗漏，节约用水，暂停工作时应切断水源，并对所有的接头做好保护，若因管理不善导致水资源浪费或者用水中断，供应商应及时处理并承担相应责任。</w:t>
      </w:r>
    </w:p>
    <w:p w14:paraId="4724C614">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19、现场不得进行与项目无关的任何工作，严禁在现场酗酒、吸烟及黄赌毒等非法活动，无关人员严禁进入现场。中标人须服从采购单位、当地公安、消防、安监、城管等有关部门的管理，做好配合工作，建立消防安全责任制，确定消防安全管理人，制订用火、用电、用油、用气等各项现场消防安全制度、 操作规程和灭火、应急疏散预案。</w:t>
      </w:r>
    </w:p>
    <w:p w14:paraId="29B6E438">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20、项目实施完毕的现场整洁程度要求恢复至实施前现场水平，供应商未按要求恢复项目现场卫生的，采购人有权拒绝项目验收，相关交货期和费用损失由供应商自行承担。</w:t>
      </w:r>
    </w:p>
    <w:p w14:paraId="298118D7">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21、中标人项目经理须全程随工进行管理，即现场作业或作业人员在场时项目经理必须在场进行管理；工人离场确保水电安全断开、门窗关闭报备物业及安保部门确认后，管理人员方能离场。</w:t>
      </w:r>
    </w:p>
    <w:p w14:paraId="297A376A">
      <w:pPr>
        <w:numPr>
          <w:ilvl w:val="0"/>
          <w:numId w:val="0"/>
        </w:numPr>
        <w:spacing w:line="360" w:lineRule="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三、调试</w:t>
      </w:r>
    </w:p>
    <w:p w14:paraId="59B4D15C">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设备就位、校准后，中标人应按事先被采购人认可的调试验收计划对设备进行调试，并对设备所标注的各项技术指标进行测试，测试报告将在设备验收完毕后提交给采购人，但中标人应对测试的各种数据的真实性负责。采购人也可以要求具有检测资质的第三方用专用仪器设备进行功能、性能测试，中标人负责测试和调试所需的一切费用，并负责解决在调试和试运行时出现的任何质量问题。</w:t>
      </w:r>
    </w:p>
    <w:p w14:paraId="0DFA417C">
      <w:pPr>
        <w:numPr>
          <w:ilvl w:val="0"/>
          <w:numId w:val="0"/>
        </w:numPr>
        <w:spacing w:line="360" w:lineRule="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四、验收</w:t>
      </w:r>
    </w:p>
    <w:p w14:paraId="29BF40C6">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合同货物产品在中标人送达、安装、调试完毕五日内，由采购人按照合同货物参数及技术要求进行质量验收，并签署验收意见。对验收不合格的，中标人应当无条件进行重新返修、更换，直至采购人验收合格为止，所需费用由中标人自行承担，同时，中标人应当承担相应违约责任。经采购人催告，中标人仍无法提供验收合格的货物的，采购人有权解除合同并要求中标人承担相应违约责任。</w:t>
      </w:r>
    </w:p>
    <w:p w14:paraId="41D3CECA">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2、对已验收的货物，采购人如发现存在潜在的质量问题，应书面形式在质量保证期内向中标人提出异议，中标人应当在收到异议后的十日内予以书面答复（十日内不书面答复的视为中标人同意采购人异议）。经确认存在质量问题且属于原厂家更换范畴的，中标人应及时给予免费更换，并由采购人重新组织验收。</w:t>
      </w:r>
    </w:p>
    <w:p w14:paraId="627284E1">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3、交付的货物数量和质量均符合本合同约定的，由采购人和中标人出具最终验收报告，但该报告不能免除中标人对货物由于设计、工艺或材料的缺陷而产生的故障或质量问题应承担的责任。全部货物经采购人验收合格后，货物的风险转移到采购人，此前货物灭失、损坏等风险由中标人承担。</w:t>
      </w:r>
    </w:p>
    <w:p w14:paraId="2DDDE67E">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 xml:space="preserve">4、本次采购货物产品如涉及地埋，中标人必须负责全部的施工、地面恢复，地埋组件等，所有工作必须符合国家及行业标准。进行地埋等隐蔽工程施工时必须告知采购人，并且进行施工现场的拍照。照片将作为使用单位的验收依据之一。 </w:t>
      </w:r>
    </w:p>
    <w:p w14:paraId="7D79119A">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 xml:space="preserve">5、交付验收标准：依次序对照适用标准为： </w:t>
      </w:r>
    </w:p>
    <w:p w14:paraId="7D8A6EE0">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 xml:space="preserve">1) 符合中华人民共和国国家安全质量标准、环保标准或行业标准； </w:t>
      </w:r>
    </w:p>
    <w:p w14:paraId="6C8BD7E9">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 xml:space="preserve">2) 符合招标文件和响应承诺中采购人认可的合理最佳配置、参数及各项要求； </w:t>
      </w:r>
    </w:p>
    <w:p w14:paraId="7FFCC282">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 xml:space="preserve">3) 货物来源国官方标准。上述标准必须是有关官方机构发布的最新版本的标准； </w:t>
      </w:r>
    </w:p>
    <w:p w14:paraId="00579F02">
      <w:pPr>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shd w:val="clear" w:color="auto" w:fill="FFFFFF"/>
          <w:lang w:val="en-US" w:eastAsia="zh-CN"/>
        </w:rPr>
        <w:t>4) 如招标文件的技术要求或招标文件中承诺的技术要求，高于国家或行业标准，以高的标准进行验收。</w:t>
      </w:r>
    </w:p>
    <w:p w14:paraId="259B1713">
      <w:pPr>
        <w:numPr>
          <w:ilvl w:val="0"/>
          <w:numId w:val="0"/>
        </w:numPr>
        <w:tabs>
          <w:tab w:val="left" w:pos="540"/>
          <w:tab w:val="left" w:pos="576"/>
        </w:tabs>
        <w:snapToGrid w:val="0"/>
        <w:spacing w:line="360" w:lineRule="auto"/>
        <w:rPr>
          <w:rFonts w:hint="eastAsia" w:ascii="宋体" w:hAnsi="宋体" w:eastAsia="宋体" w:cs="宋体"/>
          <w:b/>
          <w:bCs/>
          <w:snapToGrid w:val="0"/>
          <w:color w:val="auto"/>
          <w:sz w:val="21"/>
          <w:szCs w:val="21"/>
          <w:highlight w:val="none"/>
        </w:rPr>
      </w:pPr>
      <w:r>
        <w:rPr>
          <w:rFonts w:hint="eastAsia" w:ascii="宋体" w:hAnsi="宋体" w:eastAsia="宋体" w:cs="宋体"/>
          <w:b/>
          <w:bCs/>
          <w:snapToGrid w:val="0"/>
          <w:color w:val="auto"/>
          <w:sz w:val="21"/>
          <w:szCs w:val="21"/>
          <w:highlight w:val="none"/>
          <w:lang w:val="en-US" w:eastAsia="zh-CN"/>
        </w:rPr>
        <w:t>五、</w:t>
      </w:r>
      <w:r>
        <w:rPr>
          <w:rFonts w:hint="eastAsia" w:ascii="宋体" w:hAnsi="宋体" w:eastAsia="宋体" w:cs="宋体"/>
          <w:b/>
          <w:bCs/>
          <w:snapToGrid w:val="0"/>
          <w:color w:val="auto"/>
          <w:sz w:val="21"/>
          <w:szCs w:val="21"/>
          <w:highlight w:val="none"/>
        </w:rPr>
        <w:t>技术文件资料的交付</w:t>
      </w:r>
    </w:p>
    <w:p w14:paraId="5291D2FE">
      <w:pPr>
        <w:tabs>
          <w:tab w:val="left" w:pos="540"/>
          <w:tab w:val="left" w:pos="576"/>
        </w:tabs>
        <w:snapToGrid w:val="0"/>
        <w:spacing w:line="360" w:lineRule="auto"/>
        <w:ind w:left="420"/>
        <w:rPr>
          <w:rFonts w:hint="eastAsia" w:ascii="宋体" w:hAnsi="宋体" w:eastAsia="宋体" w:cs="宋体"/>
          <w:snapToGrid w:val="0"/>
          <w:color w:val="auto"/>
          <w:sz w:val="21"/>
          <w:szCs w:val="21"/>
          <w:highlight w:val="none"/>
        </w:rPr>
      </w:pPr>
      <w:r>
        <w:rPr>
          <w:rFonts w:hint="eastAsia" w:ascii="宋体" w:hAnsi="宋体" w:eastAsia="宋体" w:cs="宋体"/>
          <w:snapToGrid w:val="0"/>
          <w:color w:val="auto"/>
          <w:sz w:val="21"/>
          <w:szCs w:val="21"/>
          <w:highlight w:val="none"/>
        </w:rPr>
        <w:t>设备交货同时提供下列资料：</w:t>
      </w:r>
    </w:p>
    <w:p w14:paraId="5323F07C">
      <w:pPr>
        <w:keepNext w:val="0"/>
        <w:keepLines w:val="0"/>
        <w:pageBreakBefore w:val="0"/>
        <w:widowControl w:val="0"/>
        <w:tabs>
          <w:tab w:val="left" w:pos="540"/>
          <w:tab w:val="left" w:pos="576"/>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snapToGrid w:val="0"/>
          <w:color w:val="auto"/>
          <w:sz w:val="21"/>
          <w:szCs w:val="21"/>
          <w:highlight w:val="none"/>
        </w:rPr>
      </w:pPr>
      <w:r>
        <w:rPr>
          <w:rFonts w:hint="eastAsia" w:ascii="宋体" w:hAnsi="宋体" w:eastAsia="宋体" w:cs="宋体"/>
          <w:snapToGrid w:val="0"/>
          <w:color w:val="auto"/>
          <w:sz w:val="21"/>
          <w:szCs w:val="21"/>
          <w:highlight w:val="none"/>
        </w:rPr>
        <w:t>①、设备布局图等相关图纸，使用说明。</w:t>
      </w:r>
    </w:p>
    <w:p w14:paraId="5E142E68">
      <w:pPr>
        <w:keepNext w:val="0"/>
        <w:keepLines w:val="0"/>
        <w:pageBreakBefore w:val="0"/>
        <w:widowControl w:val="0"/>
        <w:tabs>
          <w:tab w:val="left" w:pos="540"/>
          <w:tab w:val="left" w:pos="576"/>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snapToGrid w:val="0"/>
          <w:color w:val="auto"/>
          <w:sz w:val="21"/>
          <w:szCs w:val="21"/>
          <w:highlight w:val="none"/>
        </w:rPr>
      </w:pPr>
      <w:r>
        <w:rPr>
          <w:rFonts w:hint="eastAsia" w:ascii="宋体" w:hAnsi="宋体" w:eastAsia="宋体" w:cs="宋体"/>
          <w:snapToGrid w:val="0"/>
          <w:color w:val="auto"/>
          <w:sz w:val="21"/>
          <w:szCs w:val="21"/>
          <w:highlight w:val="none"/>
        </w:rPr>
        <w:t>②、随机的易损件、备品备件及特殊专用工具清单。</w:t>
      </w:r>
    </w:p>
    <w:p w14:paraId="0D5928F0">
      <w:pPr>
        <w:keepNext w:val="0"/>
        <w:keepLines w:val="0"/>
        <w:pageBreakBefore w:val="0"/>
        <w:widowControl w:val="0"/>
        <w:tabs>
          <w:tab w:val="left" w:pos="540"/>
          <w:tab w:val="left" w:pos="576"/>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snapToGrid w:val="0"/>
          <w:color w:val="auto"/>
          <w:sz w:val="21"/>
          <w:szCs w:val="21"/>
          <w:highlight w:val="none"/>
        </w:rPr>
      </w:pPr>
      <w:r>
        <w:rPr>
          <w:rFonts w:hint="eastAsia" w:ascii="宋体" w:hAnsi="宋体" w:eastAsia="宋体" w:cs="宋体"/>
          <w:snapToGrid w:val="0"/>
          <w:color w:val="auto"/>
          <w:sz w:val="21"/>
          <w:szCs w:val="21"/>
          <w:highlight w:val="none"/>
        </w:rPr>
        <w:t>③、设备生产厂家的产品检测证书、出厂检验报告、合格证书、产品说明书、中文技术资料、中文操作手册和相关图纸等。</w:t>
      </w:r>
    </w:p>
    <w:p w14:paraId="046B6281">
      <w:pPr>
        <w:tabs>
          <w:tab w:val="left" w:pos="540"/>
          <w:tab w:val="left" w:pos="576"/>
        </w:tabs>
        <w:snapToGrid w:val="0"/>
        <w:ind w:firstLine="420" w:firstLineChars="200"/>
        <w:rPr>
          <w:rFonts w:hint="eastAsia" w:ascii="宋体" w:hAnsi="宋体" w:eastAsia="宋体" w:cs="宋体"/>
          <w:color w:val="auto"/>
          <w:sz w:val="21"/>
          <w:szCs w:val="21"/>
          <w:highlight w:val="none"/>
        </w:rPr>
      </w:pPr>
      <w:r>
        <w:rPr>
          <w:rFonts w:hint="eastAsia" w:ascii="宋体" w:hAnsi="宋体" w:eastAsia="宋体" w:cs="宋体"/>
          <w:snapToGrid w:val="0"/>
          <w:color w:val="auto"/>
          <w:sz w:val="21"/>
          <w:szCs w:val="21"/>
          <w:highlight w:val="none"/>
        </w:rPr>
        <w:t>④、设备随机提供的装箱清单（每箱一单）。</w:t>
      </w:r>
    </w:p>
    <w:p w14:paraId="16037ADB">
      <w:pPr>
        <w:pStyle w:val="228"/>
        <w:tabs>
          <w:tab w:val="left" w:pos="486"/>
          <w:tab w:val="left" w:pos="972"/>
        </w:tabs>
        <w:spacing w:line="360" w:lineRule="auto"/>
        <w:jc w:val="center"/>
        <w:outlineLvl w:val="2"/>
        <w:rPr>
          <w:rFonts w:hint="eastAsia" w:ascii="宋体" w:hAnsi="宋体" w:eastAsia="宋体" w:cs="宋体"/>
          <w:b/>
          <w:bCs/>
          <w:color w:val="auto"/>
          <w:sz w:val="21"/>
          <w:szCs w:val="21"/>
          <w:highlight w:val="none"/>
        </w:rPr>
      </w:pPr>
      <w:bookmarkStart w:id="103" w:name="_Toc27615"/>
      <w:bookmarkStart w:id="104" w:name="_Toc22241"/>
      <w:bookmarkStart w:id="105" w:name="_Toc10119"/>
      <w:bookmarkStart w:id="106" w:name="_Toc14968"/>
      <w:bookmarkStart w:id="107" w:name="_Toc31354"/>
      <w:bookmarkStart w:id="108" w:name="_Toc29654"/>
      <w:bookmarkStart w:id="109" w:name="_Toc18311"/>
      <w:r>
        <w:rPr>
          <w:rFonts w:hint="eastAsia" w:ascii="宋体" w:hAnsi="宋体" w:eastAsia="宋体" w:cs="宋体"/>
          <w:b/>
          <w:bCs/>
          <w:color w:val="auto"/>
          <w:sz w:val="21"/>
          <w:szCs w:val="21"/>
          <w:highlight w:val="none"/>
        </w:rPr>
        <w:t>（六）货物质量保证</w:t>
      </w:r>
      <w:bookmarkEnd w:id="103"/>
      <w:bookmarkEnd w:id="104"/>
      <w:bookmarkEnd w:id="105"/>
      <w:bookmarkEnd w:id="106"/>
      <w:bookmarkEnd w:id="107"/>
      <w:bookmarkEnd w:id="108"/>
      <w:bookmarkEnd w:id="109"/>
    </w:p>
    <w:p w14:paraId="120FAEE6">
      <w:pPr>
        <w:pStyle w:val="228"/>
        <w:keepNext w:val="0"/>
        <w:keepLines w:val="0"/>
        <w:pageBreakBefore w:val="0"/>
        <w:widowControl w:val="0"/>
        <w:tabs>
          <w:tab w:val="left" w:pos="486"/>
          <w:tab w:val="left" w:pos="972"/>
        </w:tabs>
        <w:kinsoku/>
        <w:wordWrap/>
        <w:overflowPunct/>
        <w:topLinePunct w:val="0"/>
        <w:autoSpaceDE/>
        <w:autoSpaceDN/>
        <w:bidi w:val="0"/>
        <w:adjustRightInd/>
        <w:snapToGrid/>
        <w:spacing w:line="360" w:lineRule="auto"/>
        <w:ind w:firstLine="420" w:firstLineChars="200"/>
        <w:jc w:val="left"/>
        <w:textAlignment w:val="auto"/>
        <w:outlineLvl w:val="2"/>
        <w:rPr>
          <w:rFonts w:hint="eastAsia" w:ascii="宋体" w:hAnsi="宋体" w:eastAsia="宋体" w:cs="宋体"/>
          <w:b w:val="0"/>
          <w:bCs/>
          <w:color w:val="auto"/>
          <w:sz w:val="21"/>
          <w:szCs w:val="21"/>
          <w:highlight w:val="none"/>
        </w:rPr>
      </w:pPr>
      <w:bookmarkStart w:id="110" w:name="_Toc10643"/>
      <w:bookmarkStart w:id="111" w:name="_Toc30074"/>
      <w:bookmarkStart w:id="112" w:name="_Toc27462"/>
      <w:bookmarkStart w:id="113" w:name="_Toc19940"/>
      <w:bookmarkStart w:id="114" w:name="_Toc9010"/>
      <w:bookmarkStart w:id="115" w:name="_Toc21837"/>
      <w:bookmarkStart w:id="116" w:name="_Toc17966"/>
      <w:r>
        <w:rPr>
          <w:rFonts w:hint="eastAsia" w:ascii="宋体" w:hAnsi="宋体" w:eastAsia="宋体" w:cs="宋体"/>
          <w:b w:val="0"/>
          <w:bCs/>
          <w:color w:val="auto"/>
          <w:sz w:val="21"/>
          <w:szCs w:val="21"/>
          <w:highlight w:val="none"/>
        </w:rPr>
        <w:t xml:space="preserve">1、质保期限：质保期起算时间必须是从提供所有货物产品自最终验收合格、签署验收合格证书并办理移交手续之日起不少于1年的质量保证期，在质量保证期内免费实行“三包”服务。1年内如发生产品质量故障问题的，中标人应无偿更换同型号的全新产品。所有软件终身免费升级。 </w:t>
      </w:r>
    </w:p>
    <w:p w14:paraId="796BFBC6">
      <w:pPr>
        <w:pStyle w:val="228"/>
        <w:keepNext w:val="0"/>
        <w:keepLines w:val="0"/>
        <w:pageBreakBefore w:val="0"/>
        <w:widowControl w:val="0"/>
        <w:tabs>
          <w:tab w:val="left" w:pos="486"/>
          <w:tab w:val="left" w:pos="972"/>
        </w:tabs>
        <w:kinsoku/>
        <w:wordWrap/>
        <w:overflowPunct/>
        <w:topLinePunct w:val="0"/>
        <w:autoSpaceDE/>
        <w:autoSpaceDN/>
        <w:bidi w:val="0"/>
        <w:adjustRightInd/>
        <w:snapToGrid/>
        <w:spacing w:line="360" w:lineRule="auto"/>
        <w:ind w:firstLine="420" w:firstLineChars="200"/>
        <w:jc w:val="left"/>
        <w:textAlignment w:val="auto"/>
        <w:outlineLvl w:val="2"/>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2、</w:t>
      </w:r>
      <w:r>
        <w:rPr>
          <w:rFonts w:hint="eastAsia" w:ascii="宋体" w:hAnsi="宋体" w:eastAsia="宋体" w:cs="宋体"/>
          <w:b w:val="0"/>
          <w:bCs/>
          <w:color w:val="auto"/>
          <w:sz w:val="21"/>
          <w:szCs w:val="21"/>
          <w:highlight w:val="none"/>
          <w:lang w:eastAsia="zh-CN"/>
        </w:rPr>
        <w:t>质保</w:t>
      </w:r>
      <w:r>
        <w:rPr>
          <w:rFonts w:hint="eastAsia" w:ascii="宋体" w:hAnsi="宋体" w:eastAsia="宋体" w:cs="宋体"/>
          <w:b w:val="0"/>
          <w:bCs/>
          <w:color w:val="auto"/>
          <w:sz w:val="21"/>
          <w:szCs w:val="21"/>
          <w:highlight w:val="none"/>
        </w:rPr>
        <w:t>服务：</w:t>
      </w:r>
    </w:p>
    <w:p w14:paraId="716221D2">
      <w:pPr>
        <w:pStyle w:val="228"/>
        <w:keepNext w:val="0"/>
        <w:keepLines w:val="0"/>
        <w:pageBreakBefore w:val="0"/>
        <w:widowControl w:val="0"/>
        <w:tabs>
          <w:tab w:val="left" w:pos="486"/>
          <w:tab w:val="left" w:pos="972"/>
        </w:tabs>
        <w:kinsoku/>
        <w:wordWrap/>
        <w:overflowPunct/>
        <w:topLinePunct w:val="0"/>
        <w:autoSpaceDE/>
        <w:autoSpaceDN/>
        <w:bidi w:val="0"/>
        <w:adjustRightInd/>
        <w:snapToGrid/>
        <w:spacing w:line="360" w:lineRule="auto"/>
        <w:ind w:firstLine="420" w:firstLineChars="200"/>
        <w:jc w:val="left"/>
        <w:textAlignment w:val="auto"/>
        <w:outlineLvl w:val="2"/>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1）质保期内中标人必须提供</w:t>
      </w:r>
      <w:r>
        <w:rPr>
          <w:rFonts w:hint="eastAsia" w:ascii="宋体" w:hAnsi="宋体" w:eastAsia="宋体" w:cs="宋体"/>
          <w:b w:val="0"/>
          <w:bCs/>
          <w:color w:val="auto"/>
          <w:sz w:val="21"/>
          <w:szCs w:val="21"/>
          <w:highlight w:val="none"/>
          <w:u w:val="single"/>
        </w:rPr>
        <w:t>7*24</w:t>
      </w:r>
      <w:r>
        <w:rPr>
          <w:rFonts w:hint="eastAsia" w:ascii="宋体" w:hAnsi="宋体" w:eastAsia="宋体" w:cs="宋体"/>
          <w:b w:val="0"/>
          <w:bCs/>
          <w:color w:val="auto"/>
          <w:sz w:val="21"/>
          <w:szCs w:val="21"/>
          <w:highlight w:val="none"/>
        </w:rPr>
        <w:t xml:space="preserve">小时响应服务，所有维护服务方式均为成交中标人上门服务，即由中标人派人员到采购人及用户使用现场处理；由此产生的一切费用均由中标人承担，中标人不得向采购人收取费用。 </w:t>
      </w:r>
    </w:p>
    <w:p w14:paraId="4016F196">
      <w:pPr>
        <w:pStyle w:val="228"/>
        <w:keepNext w:val="0"/>
        <w:keepLines w:val="0"/>
        <w:pageBreakBefore w:val="0"/>
        <w:widowControl w:val="0"/>
        <w:tabs>
          <w:tab w:val="left" w:pos="486"/>
          <w:tab w:val="left" w:pos="972"/>
        </w:tabs>
        <w:kinsoku/>
        <w:wordWrap/>
        <w:overflowPunct/>
        <w:topLinePunct w:val="0"/>
        <w:autoSpaceDE/>
        <w:autoSpaceDN/>
        <w:bidi w:val="0"/>
        <w:adjustRightInd/>
        <w:snapToGrid/>
        <w:spacing w:line="360" w:lineRule="auto"/>
        <w:ind w:firstLine="420" w:firstLineChars="200"/>
        <w:jc w:val="left"/>
        <w:textAlignment w:val="auto"/>
        <w:outlineLvl w:val="2"/>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2）质保期内，中标人每年提供一次对本次所供货物(含工程)的免费巡检。保证货物(含工程)正常使用。中标人需提供</w:t>
      </w:r>
      <w:r>
        <w:rPr>
          <w:rFonts w:hint="eastAsia" w:ascii="宋体" w:hAnsi="宋体" w:eastAsia="宋体" w:cs="宋体"/>
          <w:b w:val="0"/>
          <w:bCs/>
          <w:color w:val="auto"/>
          <w:sz w:val="21"/>
          <w:szCs w:val="21"/>
          <w:highlight w:val="none"/>
          <w:u w:val="single"/>
        </w:rPr>
        <w:t xml:space="preserve"> 24 </w:t>
      </w:r>
      <w:r>
        <w:rPr>
          <w:rFonts w:hint="eastAsia" w:ascii="宋体" w:hAnsi="宋体" w:eastAsia="宋体" w:cs="宋体"/>
          <w:b w:val="0"/>
          <w:bCs/>
          <w:color w:val="auto"/>
          <w:sz w:val="21"/>
          <w:szCs w:val="21"/>
          <w:highlight w:val="none"/>
        </w:rPr>
        <w:t xml:space="preserve">小时电话服务，在接到采购人的服务通知后，实时回应；需到现场解决的，维修人员应在 4 小时内到达现场，并对故障进行及时检修、排除。如中标人未在规定时间排除故障，采购人有权委托第三方或自行修理，相关费用由中标人支付。 </w:t>
      </w:r>
    </w:p>
    <w:p w14:paraId="380D14B2">
      <w:pPr>
        <w:pStyle w:val="228"/>
        <w:keepNext w:val="0"/>
        <w:keepLines w:val="0"/>
        <w:pageBreakBefore w:val="0"/>
        <w:widowControl w:val="0"/>
        <w:tabs>
          <w:tab w:val="left" w:pos="486"/>
          <w:tab w:val="left" w:pos="972"/>
        </w:tabs>
        <w:kinsoku/>
        <w:wordWrap/>
        <w:overflowPunct/>
        <w:topLinePunct w:val="0"/>
        <w:autoSpaceDE/>
        <w:autoSpaceDN/>
        <w:bidi w:val="0"/>
        <w:adjustRightInd/>
        <w:snapToGrid/>
        <w:spacing w:line="360" w:lineRule="auto"/>
        <w:ind w:firstLine="420" w:firstLineChars="200"/>
        <w:jc w:val="left"/>
        <w:textAlignment w:val="auto"/>
        <w:outlineLvl w:val="2"/>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 xml:space="preserve">3）质量保证期内售后服务费用由中标人承担。质量保证期期满后，中标人如继续为采购人提供维护、维保服务，由此发生的费用由采购人承担。服务、零部件价格不得高于本次成交价格。 </w:t>
      </w:r>
    </w:p>
    <w:p w14:paraId="2FD831DF">
      <w:pPr>
        <w:pStyle w:val="228"/>
        <w:keepNext w:val="0"/>
        <w:keepLines w:val="0"/>
        <w:pageBreakBefore w:val="0"/>
        <w:widowControl w:val="0"/>
        <w:tabs>
          <w:tab w:val="left" w:pos="486"/>
          <w:tab w:val="left" w:pos="972"/>
        </w:tabs>
        <w:kinsoku/>
        <w:wordWrap/>
        <w:overflowPunct/>
        <w:topLinePunct w:val="0"/>
        <w:autoSpaceDE/>
        <w:autoSpaceDN/>
        <w:bidi w:val="0"/>
        <w:adjustRightInd/>
        <w:snapToGrid/>
        <w:spacing w:line="360" w:lineRule="auto"/>
        <w:ind w:firstLine="420" w:firstLineChars="200"/>
        <w:jc w:val="left"/>
        <w:textAlignment w:val="auto"/>
        <w:outlineLvl w:val="2"/>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4）中标人的其它售后服务承诺属于本合同的一部分，如果有不同约定的，以服务水平和层级更高的为准。</w:t>
      </w:r>
    </w:p>
    <w:p w14:paraId="45EEC314">
      <w:pPr>
        <w:pStyle w:val="228"/>
        <w:keepNext w:val="0"/>
        <w:keepLines w:val="0"/>
        <w:pageBreakBefore w:val="0"/>
        <w:widowControl w:val="0"/>
        <w:tabs>
          <w:tab w:val="left" w:pos="486"/>
          <w:tab w:val="left" w:pos="972"/>
        </w:tabs>
        <w:kinsoku/>
        <w:wordWrap/>
        <w:overflowPunct/>
        <w:topLinePunct w:val="0"/>
        <w:autoSpaceDE/>
        <w:autoSpaceDN/>
        <w:bidi w:val="0"/>
        <w:adjustRightInd/>
        <w:snapToGrid/>
        <w:spacing w:line="360" w:lineRule="auto"/>
        <w:ind w:firstLine="422" w:firstLineChars="200"/>
        <w:jc w:val="center"/>
        <w:textAlignment w:val="auto"/>
        <w:outlineLvl w:val="2"/>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rPr>
        <w:t>（七）</w:t>
      </w:r>
      <w:bookmarkEnd w:id="110"/>
      <w:bookmarkEnd w:id="111"/>
      <w:bookmarkEnd w:id="112"/>
      <w:bookmarkEnd w:id="113"/>
      <w:bookmarkEnd w:id="114"/>
      <w:bookmarkEnd w:id="115"/>
      <w:bookmarkEnd w:id="116"/>
      <w:r>
        <w:rPr>
          <w:rFonts w:hint="eastAsia" w:ascii="宋体" w:hAnsi="宋体" w:eastAsia="宋体" w:cs="宋体"/>
          <w:b/>
          <w:bCs/>
          <w:color w:val="auto"/>
          <w:sz w:val="21"/>
          <w:szCs w:val="21"/>
          <w:highlight w:val="none"/>
          <w:lang w:eastAsia="zh-CN"/>
        </w:rPr>
        <w:t>项目人员</w:t>
      </w:r>
    </w:p>
    <w:p w14:paraId="42FE46DB">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供应商拟派的项目经理全面负责项目管理工作并做好资料整理，尽职尽责，未经采购人书面同意供应商不得任意变更驻场项目成员，项目成员在服务期限内被发现违纪违规行为或不能胜任情形的，采购人有权要求更换人员或单方面终止合同。</w:t>
      </w:r>
    </w:p>
    <w:p w14:paraId="753DFDD7">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2、采购人不提供人员办公及食宿相关场所和条件，供应商自行解决，并将相关成本纳入投标报价中综合考虑，不得要求采购人提供相应场所或便利条件，或额外支付费用，或索取交货期补偿等。</w:t>
      </w:r>
    </w:p>
    <w:p w14:paraId="5BFCA4C2">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3、供应商需根据本项目的特点、质量要求高、交货期紧张等实际因素配备足够的、满足项目质量技术要求的作业人员，确保在规定交货期内保质保量完成；</w:t>
      </w:r>
    </w:p>
    <w:p w14:paraId="6FB1E871">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4、供应商应对其履行合同所雇佣的全部人员严格要求，保障所有人员项目实施场地与生活区、办公区两点一线，不得在采购单位办公场所内流动、玩耍、逗留等，中标人须对全部雇佣人员、车辆在采购单位所在地发生的工伤事故、意外事故、财产损失等承担全部责任，同时采购人有权追究供应商责任。</w:t>
      </w:r>
    </w:p>
    <w:p w14:paraId="7DF310AE">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5、供应商在合同履行期间应遵守我国《劳动法》《劳动合同法》等法律法规规定，按时足额支付工人工资，办理社会保险等，相关费用由供应商承担，因上述相关事宜管理不到位等引发的事件、延误和给采购人造成的损失由供应商承担。</w:t>
      </w:r>
    </w:p>
    <w:p w14:paraId="3199F6FB">
      <w:pPr>
        <w:pStyle w:val="228"/>
        <w:tabs>
          <w:tab w:val="left" w:pos="486"/>
          <w:tab w:val="left" w:pos="972"/>
        </w:tabs>
        <w:spacing w:line="360" w:lineRule="auto"/>
        <w:jc w:val="center"/>
        <w:outlineLvl w:val="2"/>
        <w:rPr>
          <w:rFonts w:hint="eastAsia" w:ascii="宋体" w:hAnsi="宋体" w:eastAsia="宋体" w:cs="宋体"/>
          <w:b/>
          <w:bCs/>
          <w:color w:val="auto"/>
          <w:sz w:val="21"/>
          <w:szCs w:val="21"/>
          <w:highlight w:val="none"/>
          <w:lang w:eastAsia="zh-CN"/>
        </w:rPr>
      </w:pPr>
      <w:bookmarkStart w:id="117" w:name="_Toc13260"/>
      <w:bookmarkStart w:id="118" w:name="_Toc1869"/>
      <w:bookmarkStart w:id="119" w:name="_Toc17538"/>
      <w:bookmarkStart w:id="120" w:name="_Toc22189"/>
      <w:bookmarkStart w:id="121" w:name="_Toc13334"/>
      <w:bookmarkStart w:id="122" w:name="_Toc12324"/>
      <w:bookmarkStart w:id="123" w:name="_Toc24245"/>
      <w:r>
        <w:rPr>
          <w:rFonts w:hint="eastAsia" w:ascii="宋体" w:hAnsi="宋体" w:eastAsia="宋体" w:cs="宋体"/>
          <w:b/>
          <w:bCs/>
          <w:color w:val="auto"/>
          <w:sz w:val="21"/>
          <w:szCs w:val="21"/>
          <w:highlight w:val="none"/>
        </w:rPr>
        <w:t>（八）</w:t>
      </w:r>
      <w:r>
        <w:rPr>
          <w:rFonts w:hint="eastAsia" w:ascii="宋体" w:hAnsi="宋体" w:eastAsia="宋体" w:cs="宋体"/>
          <w:b/>
          <w:bCs/>
          <w:color w:val="auto"/>
          <w:sz w:val="21"/>
          <w:szCs w:val="21"/>
          <w:highlight w:val="none"/>
          <w:lang w:eastAsia="zh-CN"/>
        </w:rPr>
        <w:t>培训</w:t>
      </w:r>
    </w:p>
    <w:p w14:paraId="1B79C429">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val="en-US" w:eastAsia="zh-CN"/>
        </w:rPr>
        <w:t>1、</w:t>
      </w:r>
      <w:r>
        <w:rPr>
          <w:rFonts w:hint="eastAsia" w:ascii="宋体" w:hAnsi="宋体" w:eastAsia="宋体" w:cs="宋体"/>
          <w:bCs/>
          <w:color w:val="auto"/>
          <w:sz w:val="21"/>
          <w:szCs w:val="21"/>
          <w:highlight w:val="none"/>
          <w:lang w:eastAsia="zh-CN"/>
        </w:rPr>
        <w:t xml:space="preserve">中标人必须在所有产品安装验收完毕之后，对采购人及相关人员进行免费培训，保证采购人能正常操作设备的各种功能，并长期提供技术支持以及相关应用管理知识和维护。 </w:t>
      </w:r>
    </w:p>
    <w:p w14:paraId="39D23162">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eastAsia="zh-CN"/>
        </w:rPr>
        <w:t xml:space="preserve">1）培训方式：现场实践培训。 </w:t>
      </w:r>
    </w:p>
    <w:p w14:paraId="26BD9983">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eastAsia="zh-CN"/>
        </w:rPr>
        <w:t>2）培训内容：包括货物的参数设置、操作、维护保养、应急处理、简单故障排除等，以确保能够熟悉掌握货物日常使用和维护管理。</w:t>
      </w:r>
    </w:p>
    <w:p w14:paraId="51FD3F72">
      <w:pPr>
        <w:pStyle w:val="228"/>
        <w:tabs>
          <w:tab w:val="left" w:pos="486"/>
          <w:tab w:val="left" w:pos="972"/>
        </w:tabs>
        <w:spacing w:line="360" w:lineRule="auto"/>
        <w:jc w:val="center"/>
        <w:outlineLvl w:val="2"/>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eastAsia="zh-CN"/>
        </w:rPr>
        <w:t>（九）</w:t>
      </w:r>
      <w:r>
        <w:rPr>
          <w:rFonts w:hint="eastAsia" w:ascii="宋体" w:hAnsi="宋体" w:eastAsia="宋体" w:cs="宋体"/>
          <w:b/>
          <w:bCs/>
          <w:color w:val="auto"/>
          <w:sz w:val="21"/>
          <w:szCs w:val="21"/>
          <w:highlight w:val="none"/>
        </w:rPr>
        <w:t>保密要求</w:t>
      </w:r>
    </w:p>
    <w:p w14:paraId="2E7C301A">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1、</w:t>
      </w:r>
      <w:r>
        <w:rPr>
          <w:rFonts w:hint="eastAsia" w:ascii="宋体" w:hAnsi="宋体" w:eastAsia="宋体" w:cs="宋体"/>
          <w:bCs/>
          <w:color w:val="auto"/>
          <w:sz w:val="21"/>
          <w:szCs w:val="21"/>
          <w:highlight w:val="none"/>
        </w:rPr>
        <w:t>中标人在项目实施过程中所获知的采购人的技术信息和商业秘密，负有保密责任。未经采购人同意均不得以任何方式向第三方泄露、出售、出租、许可他人使用或共同享用。违反本条规定给采购人造成损失的，中标人承担相应的责任。</w:t>
      </w:r>
    </w:p>
    <w:p w14:paraId="72FDC476">
      <w:pPr>
        <w:pStyle w:val="228"/>
        <w:tabs>
          <w:tab w:val="left" w:pos="486"/>
          <w:tab w:val="left" w:pos="972"/>
        </w:tabs>
        <w:spacing w:line="360" w:lineRule="auto"/>
        <w:jc w:val="center"/>
        <w:outlineLvl w:val="2"/>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（十）廉洁要求</w:t>
      </w:r>
    </w:p>
    <w:p w14:paraId="4891B290">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eastAsia="zh-CN"/>
        </w:rPr>
        <w:t>1、中标人在履行合同过程中不得以任何形式与采购人相关人员不当往来，并同意将上述廉洁承诺的遵守情况纳入本合同验收或绩效考核范畴，若中标人出现上述行为致使采购人形象受损或者相关人员被组织调查处理的，采购人有权从应支付的合同款项中进行扣除，若出现上述情况并确认属实，采购人发送书面扣款通知，上述款项直接从未支付的合同款中扣除。经确认中标人出现违规行为，每人次扣除一定费用，扣款金额在合同中约定。</w:t>
      </w:r>
    </w:p>
    <w:p w14:paraId="4C5AEFE4">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eastAsia="zh-CN"/>
        </w:rPr>
        <w:t>2、中标人为谋取不正当的利益出现违反廉洁承诺内容的行为，因上述行为涉及的合同款项应当全部返还采购人，涉及的合同款项无法确定的，中标人需返还采购人已支付的全部合同款项。</w:t>
      </w:r>
    </w:p>
    <w:p w14:paraId="6BD66531">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eastAsia="zh-CN"/>
        </w:rPr>
        <w:t>中标人违反廉洁承诺，受到刑事或者行政处罚的，采购人有权解除合同，合同自采购人发出书面通知之日起解除，中标人需承担相应的违约责任并赔偿采购人由此造成的损失，包括但不限于：聘请其他公司暂代中标人工作而产生的费用、聘请律师产生的费用等。</w:t>
      </w:r>
    </w:p>
    <w:p w14:paraId="48A90369">
      <w:pPr>
        <w:pStyle w:val="228"/>
        <w:tabs>
          <w:tab w:val="left" w:pos="486"/>
          <w:tab w:val="left" w:pos="972"/>
        </w:tabs>
        <w:spacing w:line="360" w:lineRule="auto"/>
        <w:jc w:val="center"/>
        <w:outlineLvl w:val="2"/>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eastAsia="zh-CN"/>
        </w:rPr>
        <w:t>（十一）</w:t>
      </w:r>
      <w:r>
        <w:rPr>
          <w:rFonts w:hint="eastAsia" w:ascii="宋体" w:hAnsi="宋体" w:eastAsia="宋体" w:cs="宋体"/>
          <w:b/>
          <w:bCs/>
          <w:color w:val="auto"/>
          <w:sz w:val="21"/>
          <w:szCs w:val="21"/>
          <w:highlight w:val="none"/>
        </w:rPr>
        <w:t>付款方式</w:t>
      </w:r>
      <w:bookmarkEnd w:id="117"/>
      <w:bookmarkEnd w:id="118"/>
      <w:bookmarkEnd w:id="119"/>
      <w:bookmarkEnd w:id="120"/>
      <w:bookmarkEnd w:id="121"/>
      <w:bookmarkEnd w:id="122"/>
      <w:bookmarkEnd w:id="123"/>
    </w:p>
    <w:p w14:paraId="5B4E93AE">
      <w:pPr>
        <w:bidi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预付款：合同签订后7个工作日内，</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支付</w:t>
      </w:r>
      <w:r>
        <w:rPr>
          <w:rFonts w:hint="eastAsia" w:ascii="宋体" w:hAnsi="宋体" w:eastAsia="宋体" w:cs="宋体"/>
          <w:color w:val="auto"/>
          <w:sz w:val="21"/>
          <w:szCs w:val="21"/>
          <w:highlight w:val="none"/>
          <w:lang w:eastAsia="zh-CN"/>
        </w:rPr>
        <w:t>中标供应商</w:t>
      </w:r>
      <w:r>
        <w:rPr>
          <w:rFonts w:hint="eastAsia" w:ascii="宋体" w:hAnsi="宋体" w:eastAsia="宋体" w:cs="宋体"/>
          <w:color w:val="auto"/>
          <w:sz w:val="21"/>
          <w:szCs w:val="21"/>
          <w:highlight w:val="none"/>
        </w:rPr>
        <w:t>合同</w:t>
      </w:r>
      <w:r>
        <w:rPr>
          <w:rFonts w:hint="eastAsia" w:ascii="宋体" w:hAnsi="宋体" w:eastAsia="宋体" w:cs="宋体"/>
          <w:color w:val="auto"/>
          <w:sz w:val="21"/>
          <w:szCs w:val="21"/>
          <w:highlight w:val="none"/>
          <w:lang w:eastAsia="zh-CN"/>
        </w:rPr>
        <w:t>金额</w:t>
      </w:r>
      <w:r>
        <w:rPr>
          <w:rFonts w:hint="eastAsia" w:ascii="宋体" w:hAnsi="宋体" w:eastAsia="宋体" w:cs="宋体"/>
          <w:color w:val="auto"/>
          <w:sz w:val="21"/>
          <w:szCs w:val="21"/>
          <w:highlight w:val="none"/>
        </w:rPr>
        <w:t>的30%；</w:t>
      </w:r>
    </w:p>
    <w:p w14:paraId="325A6620">
      <w:pPr>
        <w:bidi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进度款：</w:t>
      </w:r>
      <w:r>
        <w:rPr>
          <w:rFonts w:hint="eastAsia" w:ascii="宋体" w:hAnsi="宋体" w:eastAsia="宋体" w:cs="宋体"/>
          <w:color w:val="auto"/>
          <w:sz w:val="21"/>
          <w:szCs w:val="21"/>
          <w:highlight w:val="none"/>
          <w:lang w:eastAsia="zh-CN"/>
        </w:rPr>
        <w:t>中标供应商</w:t>
      </w:r>
      <w:r>
        <w:rPr>
          <w:rFonts w:hint="eastAsia" w:ascii="宋体" w:hAnsi="宋体" w:eastAsia="宋体" w:cs="宋体"/>
          <w:color w:val="auto"/>
          <w:sz w:val="21"/>
          <w:szCs w:val="21"/>
          <w:highlight w:val="none"/>
        </w:rPr>
        <w:t>完成供货并通过验收合格后经</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确认7个工作日内，</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支付</w:t>
      </w:r>
      <w:r>
        <w:rPr>
          <w:rFonts w:hint="eastAsia" w:ascii="宋体" w:hAnsi="宋体" w:eastAsia="宋体" w:cs="宋体"/>
          <w:color w:val="auto"/>
          <w:sz w:val="21"/>
          <w:szCs w:val="21"/>
          <w:highlight w:val="none"/>
          <w:lang w:eastAsia="zh-CN"/>
        </w:rPr>
        <w:t>中标供应商至</w:t>
      </w:r>
      <w:r>
        <w:rPr>
          <w:rFonts w:hint="eastAsia" w:ascii="宋体" w:hAnsi="宋体" w:eastAsia="宋体" w:cs="宋体"/>
          <w:color w:val="auto"/>
          <w:sz w:val="21"/>
          <w:szCs w:val="21"/>
          <w:highlight w:val="none"/>
        </w:rPr>
        <w:t>合同</w:t>
      </w:r>
      <w:r>
        <w:rPr>
          <w:rFonts w:hint="eastAsia" w:ascii="宋体" w:hAnsi="宋体" w:eastAsia="宋体" w:cs="宋体"/>
          <w:color w:val="auto"/>
          <w:sz w:val="21"/>
          <w:szCs w:val="21"/>
          <w:highlight w:val="none"/>
          <w:lang w:eastAsia="zh-CN"/>
        </w:rPr>
        <w:t>金额</w:t>
      </w:r>
      <w:r>
        <w:rPr>
          <w:rFonts w:hint="eastAsia" w:ascii="宋体" w:hAnsi="宋体" w:eastAsia="宋体" w:cs="宋体"/>
          <w:color w:val="auto"/>
          <w:sz w:val="21"/>
          <w:szCs w:val="21"/>
          <w:highlight w:val="none"/>
        </w:rPr>
        <w:t>的95%；</w:t>
      </w:r>
    </w:p>
    <w:p w14:paraId="2FFBCE8B">
      <w:pPr>
        <w:bidi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尾款：质保期结束后</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支付</w:t>
      </w:r>
      <w:r>
        <w:rPr>
          <w:rFonts w:hint="eastAsia" w:ascii="宋体" w:hAnsi="宋体" w:eastAsia="宋体" w:cs="宋体"/>
          <w:color w:val="auto"/>
          <w:sz w:val="21"/>
          <w:szCs w:val="21"/>
          <w:highlight w:val="none"/>
          <w:lang w:eastAsia="zh-CN"/>
        </w:rPr>
        <w:t>中标供应商</w:t>
      </w:r>
      <w:r>
        <w:rPr>
          <w:rFonts w:hint="eastAsia" w:ascii="宋体" w:hAnsi="宋体" w:eastAsia="宋体" w:cs="宋体"/>
          <w:color w:val="auto"/>
          <w:sz w:val="21"/>
          <w:szCs w:val="21"/>
          <w:highlight w:val="none"/>
        </w:rPr>
        <w:t>剩余5%质保金。</w:t>
      </w:r>
    </w:p>
    <w:p w14:paraId="0A55E4D6">
      <w:pPr>
        <w:bidi w:val="0"/>
        <w:spacing w:line="360" w:lineRule="auto"/>
        <w:ind w:firstLine="420" w:firstLineChars="200"/>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rPr>
        <w:t>注：采购人付款前，中标</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须开具合法、等额的发票，否则采购人有权拒绝付款并无需承担违约责任。</w:t>
      </w:r>
    </w:p>
    <w:p w14:paraId="70ED3A41">
      <w:pPr>
        <w:bidi w:val="0"/>
        <w:spacing w:line="360" w:lineRule="auto"/>
        <w:ind w:firstLine="420" w:firstLineChars="200"/>
        <w:rPr>
          <w:rFonts w:hint="eastAsia" w:ascii="宋体" w:hAnsi="宋体" w:eastAsia="宋体" w:cs="宋体"/>
          <w:strike/>
          <w:dstrike w:val="0"/>
          <w:color w:val="auto"/>
          <w:sz w:val="21"/>
          <w:szCs w:val="21"/>
          <w:highlight w:val="none"/>
          <w:u w:val="none"/>
          <w:lang w:val="en-US" w:eastAsia="zh-CN"/>
        </w:rPr>
        <w:sectPr>
          <w:footerReference r:id="rId4" w:type="default"/>
          <w:pgSz w:w="11906" w:h="16839"/>
          <w:pgMar w:top="1058" w:right="1134" w:bottom="737" w:left="1139" w:header="878" w:footer="567" w:gutter="0"/>
          <w:pgBorders>
            <w:top w:val="none" w:sz="0" w:space="0"/>
            <w:left w:val="none" w:sz="0" w:space="0"/>
            <w:bottom w:val="none" w:sz="0" w:space="0"/>
            <w:right w:val="none" w:sz="0" w:space="0"/>
          </w:pgBorders>
          <w:pgNumType w:fmt="decimal"/>
          <w:cols w:space="720" w:num="1"/>
        </w:sectPr>
      </w:pPr>
    </w:p>
    <w:p w14:paraId="7D73276B">
      <w:pPr>
        <w:spacing w:line="360" w:lineRule="exact"/>
        <w:jc w:val="both"/>
        <w:outlineLvl w:val="9"/>
        <w:rPr>
          <w:rFonts w:hint="eastAsia" w:ascii="宋体" w:hAnsi="宋体" w:eastAsia="宋体" w:cs="宋体"/>
          <w:b/>
          <w:bCs/>
          <w:color w:val="auto"/>
          <w:szCs w:val="28"/>
          <w:highlight w:val="none"/>
        </w:rPr>
      </w:pPr>
    </w:p>
    <w:p w14:paraId="793B3573">
      <w:pPr>
        <w:keepNext w:val="0"/>
        <w:keepLines w:val="0"/>
        <w:pageBreakBefore w:val="0"/>
        <w:widowControl w:val="0"/>
        <w:kinsoku/>
        <w:wordWrap/>
        <w:overflowPunct/>
        <w:topLinePunct w:val="0"/>
        <w:autoSpaceDE/>
        <w:autoSpaceDN/>
        <w:bidi w:val="0"/>
        <w:adjustRightInd/>
        <w:snapToGrid/>
        <w:spacing w:line="288" w:lineRule="auto"/>
        <w:ind w:left="21" w:leftChars="10" w:firstLine="562" w:firstLineChars="200"/>
        <w:jc w:val="center"/>
        <w:textAlignment w:val="auto"/>
        <w:outlineLvl w:val="0"/>
        <w:rPr>
          <w:rFonts w:hint="eastAsia" w:ascii="宋体" w:hAnsi="宋体" w:eastAsia="宋体" w:cs="宋体"/>
          <w:b/>
          <w:bCs/>
          <w:color w:val="auto"/>
          <w:szCs w:val="28"/>
          <w:highlight w:val="none"/>
        </w:rPr>
      </w:pPr>
      <w:bookmarkStart w:id="124" w:name="_Toc26222"/>
      <w:bookmarkStart w:id="125" w:name="_Toc31234"/>
      <w:bookmarkStart w:id="126" w:name="_Toc20610"/>
      <w:bookmarkStart w:id="127" w:name="_Toc20243"/>
      <w:r>
        <w:rPr>
          <w:rFonts w:hint="eastAsia" w:ascii="宋体" w:hAnsi="宋体" w:eastAsia="宋体" w:cs="宋体"/>
          <w:b/>
          <w:bCs/>
          <w:color w:val="auto"/>
          <w:sz w:val="28"/>
          <w:szCs w:val="40"/>
          <w:highlight w:val="none"/>
        </w:rPr>
        <w:t>第四部分  合同条款及格式</w:t>
      </w:r>
      <w:bookmarkEnd w:id="124"/>
      <w:bookmarkEnd w:id="125"/>
      <w:bookmarkEnd w:id="126"/>
      <w:bookmarkEnd w:id="127"/>
    </w:p>
    <w:p w14:paraId="52C9C274">
      <w:pPr>
        <w:jc w:val="center"/>
        <w:rPr>
          <w:rStyle w:val="52"/>
          <w:rFonts w:hint="eastAsia" w:ascii="宋体" w:hAnsi="宋体" w:eastAsia="宋体" w:cs="宋体"/>
          <w:color w:val="auto"/>
          <w:sz w:val="32"/>
          <w:highlight w:val="none"/>
        </w:rPr>
      </w:pPr>
      <w:r>
        <w:rPr>
          <w:rStyle w:val="52"/>
          <w:rFonts w:hint="eastAsia" w:ascii="宋体" w:hAnsi="宋体" w:eastAsia="宋体" w:cs="宋体"/>
          <w:color w:val="auto"/>
          <w:sz w:val="32"/>
          <w:highlight w:val="none"/>
        </w:rPr>
        <w:t>货物采购合同</w:t>
      </w:r>
    </w:p>
    <w:p w14:paraId="7810C250">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买方：</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（以下简称买方）</w:t>
      </w:r>
    </w:p>
    <w:p w14:paraId="3DE4FA2F">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卖方：</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（以下简称卖方）</w:t>
      </w:r>
    </w:p>
    <w:p w14:paraId="37FB51BE">
      <w:pPr>
        <w:pStyle w:val="175"/>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为了保护双方合法权益，根据《中华人民共和国</w:t>
      </w:r>
      <w:r>
        <w:rPr>
          <w:rFonts w:hint="eastAsia" w:ascii="宋体" w:hAnsi="宋体" w:eastAsia="宋体" w:cs="宋体"/>
          <w:color w:val="auto"/>
          <w:sz w:val="21"/>
          <w:szCs w:val="21"/>
          <w:highlight w:val="none"/>
          <w:lang w:eastAsia="zh-CN"/>
        </w:rPr>
        <w:t>民典</w:t>
      </w:r>
      <w:r>
        <w:rPr>
          <w:rFonts w:hint="eastAsia" w:ascii="宋体" w:hAnsi="宋体" w:eastAsia="宋体" w:cs="宋体"/>
          <w:color w:val="auto"/>
          <w:sz w:val="21"/>
          <w:szCs w:val="21"/>
          <w:highlight w:val="none"/>
        </w:rPr>
        <w:t>法》、《中华人民共和国招投标法》及温州市关于国资采购的办法，经双方友好协商（或公开招投标程序），</w:t>
      </w:r>
      <w:r>
        <w:rPr>
          <w:rFonts w:hint="eastAsia" w:ascii="宋体" w:hAnsi="宋体" w:eastAsia="宋体" w:cs="宋体"/>
          <w:color w:val="auto"/>
          <w:sz w:val="21"/>
          <w:szCs w:val="21"/>
          <w:highlight w:val="none"/>
          <w:u w:val="single"/>
          <w:lang w:eastAsia="zh-CN"/>
        </w:rPr>
        <w:t>瓯窑产业化项目研发生产提效设备-陶艺工作室仪器设备</w:t>
      </w:r>
      <w:r>
        <w:rPr>
          <w:rFonts w:hint="eastAsia" w:ascii="宋体" w:hAnsi="宋体" w:eastAsia="宋体" w:cs="宋体"/>
          <w:color w:val="auto"/>
          <w:sz w:val="21"/>
          <w:szCs w:val="21"/>
          <w:highlight w:val="none"/>
        </w:rPr>
        <w:t xml:space="preserve">供货事宜进行讨论，达成一致意见，具体内容如下： </w:t>
      </w:r>
    </w:p>
    <w:p w14:paraId="5B89A96C">
      <w:pPr>
        <w:pStyle w:val="175"/>
        <w:spacing w:line="360" w:lineRule="auto"/>
        <w:ind w:firstLine="0" w:firstLineChars="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1.</w:t>
      </w:r>
      <w:r>
        <w:rPr>
          <w:rFonts w:hint="eastAsia" w:ascii="宋体" w:hAnsi="宋体" w:eastAsia="宋体" w:cs="宋体"/>
          <w:color w:val="auto"/>
          <w:sz w:val="21"/>
          <w:szCs w:val="21"/>
          <w:highlight w:val="none"/>
        </w:rPr>
        <w:t xml:space="preserve"> </w:t>
      </w:r>
      <w:r>
        <w:rPr>
          <w:rFonts w:hint="eastAsia" w:ascii="宋体" w:hAnsi="宋体" w:eastAsia="宋体" w:cs="宋体"/>
          <w:b/>
          <w:color w:val="auto"/>
          <w:sz w:val="21"/>
          <w:szCs w:val="21"/>
          <w:highlight w:val="none"/>
        </w:rPr>
        <w:t>货物的名称、技术规范和数量</w:t>
      </w:r>
    </w:p>
    <w:tbl>
      <w:tblPr>
        <w:tblStyle w:val="49"/>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1190"/>
        <w:gridCol w:w="1943"/>
        <w:gridCol w:w="900"/>
        <w:gridCol w:w="750"/>
        <w:gridCol w:w="855"/>
        <w:gridCol w:w="1118"/>
        <w:gridCol w:w="1117"/>
        <w:gridCol w:w="800"/>
      </w:tblGrid>
      <w:tr w14:paraId="0EDE8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83" w:type="dxa"/>
            <w:vAlign w:val="center"/>
          </w:tcPr>
          <w:p w14:paraId="4AAB538E">
            <w:pPr>
              <w:pStyle w:val="98"/>
              <w:snapToGrid w:val="0"/>
              <w:spacing w:line="360" w:lineRule="exact"/>
              <w:ind w:right="63"/>
              <w:jc w:val="both"/>
              <w:rPr>
                <w:rFonts w:hint="eastAsia" w:ascii="宋体" w:hAnsi="宋体" w:eastAsia="宋体" w:cs="宋体"/>
                <w:color w:val="auto"/>
                <w:szCs w:val="21"/>
                <w:highlight w:val="none"/>
              </w:rPr>
            </w:pPr>
            <w:bookmarkStart w:id="128" w:name="_Toc475521219"/>
            <w:bookmarkStart w:id="129" w:name="_Toc513820511"/>
            <w:bookmarkStart w:id="130" w:name="_Toc475521692"/>
            <w:r>
              <w:rPr>
                <w:rFonts w:hint="eastAsia" w:ascii="宋体" w:hAnsi="宋体" w:eastAsia="宋体" w:cs="宋体"/>
                <w:color w:val="auto"/>
                <w:szCs w:val="21"/>
                <w:highlight w:val="none"/>
              </w:rPr>
              <w:t>序号</w:t>
            </w:r>
          </w:p>
        </w:tc>
        <w:tc>
          <w:tcPr>
            <w:tcW w:w="1190" w:type="dxa"/>
            <w:vAlign w:val="center"/>
          </w:tcPr>
          <w:p w14:paraId="0C4A72C8">
            <w:pPr>
              <w:pStyle w:val="98"/>
              <w:snapToGrid w:val="0"/>
              <w:spacing w:line="360" w:lineRule="exact"/>
              <w:ind w:right="63"/>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货物名称</w:t>
            </w:r>
          </w:p>
        </w:tc>
        <w:tc>
          <w:tcPr>
            <w:tcW w:w="1943" w:type="dxa"/>
            <w:vAlign w:val="center"/>
          </w:tcPr>
          <w:p w14:paraId="462F74BC">
            <w:pPr>
              <w:pStyle w:val="98"/>
              <w:snapToGrid w:val="0"/>
              <w:spacing w:line="360" w:lineRule="exact"/>
              <w:ind w:right="63"/>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规格/型号</w:t>
            </w:r>
          </w:p>
        </w:tc>
        <w:tc>
          <w:tcPr>
            <w:tcW w:w="900" w:type="dxa"/>
            <w:vAlign w:val="center"/>
          </w:tcPr>
          <w:p w14:paraId="60F13E35">
            <w:pPr>
              <w:pStyle w:val="98"/>
              <w:snapToGrid w:val="0"/>
              <w:spacing w:line="360" w:lineRule="exact"/>
              <w:ind w:right="63"/>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品牌/产地</w:t>
            </w:r>
          </w:p>
        </w:tc>
        <w:tc>
          <w:tcPr>
            <w:tcW w:w="750" w:type="dxa"/>
            <w:vAlign w:val="center"/>
          </w:tcPr>
          <w:p w14:paraId="478C684B">
            <w:pPr>
              <w:pStyle w:val="98"/>
              <w:snapToGrid w:val="0"/>
              <w:spacing w:line="360" w:lineRule="exact"/>
              <w:ind w:right="63"/>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数量</w:t>
            </w:r>
          </w:p>
        </w:tc>
        <w:tc>
          <w:tcPr>
            <w:tcW w:w="855" w:type="dxa"/>
            <w:vAlign w:val="center"/>
          </w:tcPr>
          <w:p w14:paraId="489644F9">
            <w:pPr>
              <w:pStyle w:val="98"/>
              <w:snapToGrid w:val="0"/>
              <w:spacing w:line="360" w:lineRule="exact"/>
              <w:ind w:right="63"/>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单位</w:t>
            </w:r>
          </w:p>
        </w:tc>
        <w:tc>
          <w:tcPr>
            <w:tcW w:w="1118" w:type="dxa"/>
            <w:vAlign w:val="center"/>
          </w:tcPr>
          <w:p w14:paraId="3DC96836">
            <w:pPr>
              <w:pStyle w:val="98"/>
              <w:snapToGrid w:val="0"/>
              <w:spacing w:line="360" w:lineRule="exact"/>
              <w:ind w:right="63"/>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单价 （含税）</w:t>
            </w:r>
          </w:p>
        </w:tc>
        <w:tc>
          <w:tcPr>
            <w:tcW w:w="1117" w:type="dxa"/>
            <w:vAlign w:val="center"/>
          </w:tcPr>
          <w:p w14:paraId="0C2550B6">
            <w:pPr>
              <w:pStyle w:val="98"/>
              <w:snapToGrid w:val="0"/>
              <w:spacing w:line="360" w:lineRule="exact"/>
              <w:ind w:right="63"/>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总价    （含税）</w:t>
            </w:r>
          </w:p>
        </w:tc>
        <w:tc>
          <w:tcPr>
            <w:tcW w:w="800" w:type="dxa"/>
            <w:vAlign w:val="center"/>
          </w:tcPr>
          <w:p w14:paraId="279E3F81">
            <w:pPr>
              <w:pStyle w:val="98"/>
              <w:snapToGrid w:val="0"/>
              <w:spacing w:line="360" w:lineRule="exact"/>
              <w:ind w:right="63"/>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p>
        </w:tc>
      </w:tr>
      <w:tr w14:paraId="66B7A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83" w:type="dxa"/>
            <w:vAlign w:val="center"/>
          </w:tcPr>
          <w:p w14:paraId="51FC72D2">
            <w:pPr>
              <w:pStyle w:val="98"/>
              <w:snapToGrid w:val="0"/>
              <w:spacing w:line="360" w:lineRule="exact"/>
              <w:ind w:right="63"/>
              <w:jc w:val="both"/>
              <w:rPr>
                <w:rFonts w:hint="eastAsia" w:ascii="宋体" w:hAnsi="宋体" w:eastAsia="宋体" w:cs="宋体"/>
                <w:color w:val="auto"/>
                <w:szCs w:val="21"/>
                <w:highlight w:val="none"/>
              </w:rPr>
            </w:pPr>
          </w:p>
        </w:tc>
        <w:tc>
          <w:tcPr>
            <w:tcW w:w="1190" w:type="dxa"/>
            <w:vAlign w:val="center"/>
          </w:tcPr>
          <w:p w14:paraId="2B266EA8">
            <w:pPr>
              <w:pStyle w:val="98"/>
              <w:snapToGrid w:val="0"/>
              <w:spacing w:line="360" w:lineRule="exact"/>
              <w:ind w:left="63" w:right="63" w:firstLine="460"/>
              <w:rPr>
                <w:rFonts w:hint="eastAsia" w:ascii="宋体" w:hAnsi="宋体" w:eastAsia="宋体" w:cs="宋体"/>
                <w:color w:val="auto"/>
                <w:szCs w:val="21"/>
                <w:highlight w:val="none"/>
              </w:rPr>
            </w:pPr>
          </w:p>
        </w:tc>
        <w:tc>
          <w:tcPr>
            <w:tcW w:w="1943" w:type="dxa"/>
            <w:vAlign w:val="center"/>
          </w:tcPr>
          <w:p w14:paraId="156E8B05">
            <w:pPr>
              <w:pStyle w:val="98"/>
              <w:snapToGrid w:val="0"/>
              <w:spacing w:line="360" w:lineRule="exact"/>
              <w:ind w:left="63" w:right="63" w:firstLine="460"/>
              <w:rPr>
                <w:rFonts w:hint="eastAsia" w:ascii="宋体" w:hAnsi="宋体" w:eastAsia="宋体" w:cs="宋体"/>
                <w:color w:val="auto"/>
                <w:szCs w:val="21"/>
                <w:highlight w:val="none"/>
              </w:rPr>
            </w:pPr>
          </w:p>
        </w:tc>
        <w:tc>
          <w:tcPr>
            <w:tcW w:w="900" w:type="dxa"/>
            <w:vAlign w:val="center"/>
          </w:tcPr>
          <w:p w14:paraId="1F0F79CE">
            <w:pPr>
              <w:pStyle w:val="98"/>
              <w:snapToGrid w:val="0"/>
              <w:spacing w:line="360" w:lineRule="exact"/>
              <w:ind w:left="63" w:right="63" w:firstLine="460"/>
              <w:rPr>
                <w:rFonts w:hint="eastAsia" w:ascii="宋体" w:hAnsi="宋体" w:eastAsia="宋体" w:cs="宋体"/>
                <w:color w:val="auto"/>
                <w:szCs w:val="21"/>
                <w:highlight w:val="none"/>
              </w:rPr>
            </w:pPr>
          </w:p>
        </w:tc>
        <w:tc>
          <w:tcPr>
            <w:tcW w:w="750" w:type="dxa"/>
            <w:vAlign w:val="center"/>
          </w:tcPr>
          <w:p w14:paraId="44C54D39">
            <w:pPr>
              <w:pStyle w:val="98"/>
              <w:snapToGrid w:val="0"/>
              <w:spacing w:line="360" w:lineRule="exact"/>
              <w:ind w:left="63" w:right="63" w:firstLine="460"/>
              <w:rPr>
                <w:rFonts w:hint="eastAsia" w:ascii="宋体" w:hAnsi="宋体" w:eastAsia="宋体" w:cs="宋体"/>
                <w:color w:val="auto"/>
                <w:szCs w:val="21"/>
                <w:highlight w:val="none"/>
              </w:rPr>
            </w:pPr>
          </w:p>
        </w:tc>
        <w:tc>
          <w:tcPr>
            <w:tcW w:w="855" w:type="dxa"/>
            <w:vAlign w:val="center"/>
          </w:tcPr>
          <w:p w14:paraId="11A071C7">
            <w:pPr>
              <w:pStyle w:val="98"/>
              <w:snapToGrid w:val="0"/>
              <w:spacing w:line="360" w:lineRule="exact"/>
              <w:ind w:left="63" w:right="63" w:firstLine="460"/>
              <w:rPr>
                <w:rFonts w:hint="eastAsia" w:ascii="宋体" w:hAnsi="宋体" w:eastAsia="宋体" w:cs="宋体"/>
                <w:color w:val="auto"/>
                <w:szCs w:val="21"/>
                <w:highlight w:val="none"/>
              </w:rPr>
            </w:pPr>
          </w:p>
        </w:tc>
        <w:tc>
          <w:tcPr>
            <w:tcW w:w="1118" w:type="dxa"/>
            <w:vAlign w:val="center"/>
          </w:tcPr>
          <w:p w14:paraId="60003062">
            <w:pPr>
              <w:pStyle w:val="98"/>
              <w:snapToGrid w:val="0"/>
              <w:spacing w:line="360" w:lineRule="exact"/>
              <w:ind w:left="63" w:right="63" w:firstLine="460"/>
              <w:rPr>
                <w:rFonts w:hint="eastAsia" w:ascii="宋体" w:hAnsi="宋体" w:eastAsia="宋体" w:cs="宋体"/>
                <w:color w:val="auto"/>
                <w:szCs w:val="21"/>
                <w:highlight w:val="none"/>
              </w:rPr>
            </w:pPr>
          </w:p>
        </w:tc>
        <w:tc>
          <w:tcPr>
            <w:tcW w:w="1117" w:type="dxa"/>
            <w:vAlign w:val="center"/>
          </w:tcPr>
          <w:p w14:paraId="0D78B7BA">
            <w:pPr>
              <w:pStyle w:val="98"/>
              <w:snapToGrid w:val="0"/>
              <w:spacing w:line="360" w:lineRule="exact"/>
              <w:ind w:left="63" w:right="63" w:firstLine="460"/>
              <w:rPr>
                <w:rFonts w:hint="eastAsia" w:ascii="宋体" w:hAnsi="宋体" w:eastAsia="宋体" w:cs="宋体"/>
                <w:color w:val="auto"/>
                <w:szCs w:val="21"/>
                <w:highlight w:val="none"/>
              </w:rPr>
            </w:pPr>
          </w:p>
        </w:tc>
        <w:tc>
          <w:tcPr>
            <w:tcW w:w="800" w:type="dxa"/>
            <w:vAlign w:val="center"/>
          </w:tcPr>
          <w:p w14:paraId="27F44A57">
            <w:pPr>
              <w:pStyle w:val="98"/>
              <w:snapToGrid w:val="0"/>
              <w:spacing w:line="360" w:lineRule="exact"/>
              <w:ind w:left="63" w:right="63" w:firstLine="460"/>
              <w:rPr>
                <w:rFonts w:hint="eastAsia" w:ascii="宋体" w:hAnsi="宋体" w:eastAsia="宋体" w:cs="宋体"/>
                <w:color w:val="auto"/>
                <w:szCs w:val="21"/>
                <w:highlight w:val="none"/>
              </w:rPr>
            </w:pPr>
          </w:p>
        </w:tc>
      </w:tr>
      <w:tr w14:paraId="0F173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83" w:type="dxa"/>
            <w:vAlign w:val="center"/>
          </w:tcPr>
          <w:p w14:paraId="3D06BB19">
            <w:pPr>
              <w:pStyle w:val="98"/>
              <w:snapToGrid w:val="0"/>
              <w:spacing w:line="360" w:lineRule="exact"/>
              <w:ind w:right="63"/>
              <w:jc w:val="both"/>
              <w:rPr>
                <w:rFonts w:hint="eastAsia" w:ascii="宋体" w:hAnsi="宋体" w:eastAsia="宋体" w:cs="宋体"/>
                <w:color w:val="auto"/>
                <w:szCs w:val="21"/>
                <w:highlight w:val="none"/>
              </w:rPr>
            </w:pPr>
          </w:p>
        </w:tc>
        <w:tc>
          <w:tcPr>
            <w:tcW w:w="1190" w:type="dxa"/>
            <w:vAlign w:val="center"/>
          </w:tcPr>
          <w:p w14:paraId="581F7E1C">
            <w:pPr>
              <w:pStyle w:val="98"/>
              <w:snapToGrid w:val="0"/>
              <w:spacing w:line="360" w:lineRule="exact"/>
              <w:ind w:left="63" w:right="63" w:firstLine="460"/>
              <w:rPr>
                <w:rFonts w:hint="eastAsia" w:ascii="宋体" w:hAnsi="宋体" w:eastAsia="宋体" w:cs="宋体"/>
                <w:color w:val="auto"/>
                <w:szCs w:val="21"/>
                <w:highlight w:val="none"/>
              </w:rPr>
            </w:pPr>
          </w:p>
        </w:tc>
        <w:tc>
          <w:tcPr>
            <w:tcW w:w="1943" w:type="dxa"/>
            <w:vAlign w:val="center"/>
          </w:tcPr>
          <w:p w14:paraId="28B8C757">
            <w:pPr>
              <w:pStyle w:val="98"/>
              <w:snapToGrid w:val="0"/>
              <w:spacing w:line="360" w:lineRule="exact"/>
              <w:ind w:left="63" w:right="63" w:firstLine="460"/>
              <w:rPr>
                <w:rFonts w:hint="eastAsia" w:ascii="宋体" w:hAnsi="宋体" w:eastAsia="宋体" w:cs="宋体"/>
                <w:color w:val="auto"/>
                <w:szCs w:val="21"/>
                <w:highlight w:val="none"/>
              </w:rPr>
            </w:pPr>
          </w:p>
        </w:tc>
        <w:tc>
          <w:tcPr>
            <w:tcW w:w="900" w:type="dxa"/>
            <w:vAlign w:val="center"/>
          </w:tcPr>
          <w:p w14:paraId="44CACAD5">
            <w:pPr>
              <w:pStyle w:val="98"/>
              <w:snapToGrid w:val="0"/>
              <w:spacing w:line="360" w:lineRule="exact"/>
              <w:ind w:left="63" w:right="63" w:firstLine="460"/>
              <w:rPr>
                <w:rFonts w:hint="eastAsia" w:ascii="宋体" w:hAnsi="宋体" w:eastAsia="宋体" w:cs="宋体"/>
                <w:color w:val="auto"/>
                <w:szCs w:val="21"/>
                <w:highlight w:val="none"/>
              </w:rPr>
            </w:pPr>
          </w:p>
        </w:tc>
        <w:tc>
          <w:tcPr>
            <w:tcW w:w="750" w:type="dxa"/>
            <w:vAlign w:val="center"/>
          </w:tcPr>
          <w:p w14:paraId="17C7F9C9">
            <w:pPr>
              <w:pStyle w:val="98"/>
              <w:snapToGrid w:val="0"/>
              <w:spacing w:line="360" w:lineRule="exact"/>
              <w:ind w:left="63" w:right="63" w:firstLine="460"/>
              <w:rPr>
                <w:rFonts w:hint="eastAsia" w:ascii="宋体" w:hAnsi="宋体" w:eastAsia="宋体" w:cs="宋体"/>
                <w:color w:val="auto"/>
                <w:szCs w:val="21"/>
                <w:highlight w:val="none"/>
              </w:rPr>
            </w:pPr>
          </w:p>
        </w:tc>
        <w:tc>
          <w:tcPr>
            <w:tcW w:w="855" w:type="dxa"/>
            <w:vAlign w:val="center"/>
          </w:tcPr>
          <w:p w14:paraId="0EA1C1FD">
            <w:pPr>
              <w:pStyle w:val="98"/>
              <w:snapToGrid w:val="0"/>
              <w:spacing w:line="360" w:lineRule="exact"/>
              <w:ind w:left="63" w:right="63" w:firstLine="460"/>
              <w:rPr>
                <w:rFonts w:hint="eastAsia" w:ascii="宋体" w:hAnsi="宋体" w:eastAsia="宋体" w:cs="宋体"/>
                <w:color w:val="auto"/>
                <w:szCs w:val="21"/>
                <w:highlight w:val="none"/>
              </w:rPr>
            </w:pPr>
          </w:p>
        </w:tc>
        <w:tc>
          <w:tcPr>
            <w:tcW w:w="1118" w:type="dxa"/>
            <w:vAlign w:val="center"/>
          </w:tcPr>
          <w:p w14:paraId="0643EB5B">
            <w:pPr>
              <w:pStyle w:val="98"/>
              <w:snapToGrid w:val="0"/>
              <w:spacing w:line="360" w:lineRule="exact"/>
              <w:ind w:left="63" w:right="63" w:firstLine="460"/>
              <w:rPr>
                <w:rFonts w:hint="eastAsia" w:ascii="宋体" w:hAnsi="宋体" w:eastAsia="宋体" w:cs="宋体"/>
                <w:color w:val="auto"/>
                <w:szCs w:val="21"/>
                <w:highlight w:val="none"/>
              </w:rPr>
            </w:pPr>
          </w:p>
        </w:tc>
        <w:tc>
          <w:tcPr>
            <w:tcW w:w="1117" w:type="dxa"/>
            <w:vAlign w:val="center"/>
          </w:tcPr>
          <w:p w14:paraId="4B0783B5">
            <w:pPr>
              <w:pStyle w:val="98"/>
              <w:snapToGrid w:val="0"/>
              <w:spacing w:line="360" w:lineRule="exact"/>
              <w:ind w:left="63" w:right="63" w:firstLine="460"/>
              <w:rPr>
                <w:rFonts w:hint="eastAsia" w:ascii="宋体" w:hAnsi="宋体" w:eastAsia="宋体" w:cs="宋体"/>
                <w:color w:val="auto"/>
                <w:szCs w:val="21"/>
                <w:highlight w:val="none"/>
              </w:rPr>
            </w:pPr>
          </w:p>
        </w:tc>
        <w:tc>
          <w:tcPr>
            <w:tcW w:w="800" w:type="dxa"/>
            <w:vAlign w:val="center"/>
          </w:tcPr>
          <w:p w14:paraId="7CDF423C">
            <w:pPr>
              <w:pStyle w:val="98"/>
              <w:snapToGrid w:val="0"/>
              <w:spacing w:line="360" w:lineRule="exact"/>
              <w:ind w:left="63" w:right="63" w:firstLine="460"/>
              <w:rPr>
                <w:rFonts w:hint="eastAsia" w:ascii="宋体" w:hAnsi="宋体" w:eastAsia="宋体" w:cs="宋体"/>
                <w:color w:val="auto"/>
                <w:szCs w:val="21"/>
                <w:highlight w:val="none"/>
              </w:rPr>
            </w:pPr>
          </w:p>
        </w:tc>
      </w:tr>
      <w:tr w14:paraId="00B49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83" w:type="dxa"/>
            <w:vAlign w:val="center"/>
          </w:tcPr>
          <w:p w14:paraId="531248FD">
            <w:pPr>
              <w:pStyle w:val="98"/>
              <w:snapToGrid w:val="0"/>
              <w:spacing w:line="360" w:lineRule="exact"/>
              <w:ind w:right="63"/>
              <w:jc w:val="both"/>
              <w:rPr>
                <w:rFonts w:hint="eastAsia" w:ascii="宋体" w:hAnsi="宋体" w:eastAsia="宋体" w:cs="宋体"/>
                <w:color w:val="auto"/>
                <w:szCs w:val="21"/>
                <w:highlight w:val="none"/>
              </w:rPr>
            </w:pPr>
          </w:p>
        </w:tc>
        <w:tc>
          <w:tcPr>
            <w:tcW w:w="1190" w:type="dxa"/>
            <w:vAlign w:val="center"/>
          </w:tcPr>
          <w:p w14:paraId="4DFA71FD">
            <w:pPr>
              <w:pStyle w:val="98"/>
              <w:snapToGrid w:val="0"/>
              <w:spacing w:line="360" w:lineRule="exact"/>
              <w:ind w:left="63" w:right="63" w:firstLine="460"/>
              <w:rPr>
                <w:rFonts w:hint="eastAsia" w:ascii="宋体" w:hAnsi="宋体" w:eastAsia="宋体" w:cs="宋体"/>
                <w:color w:val="auto"/>
                <w:szCs w:val="21"/>
                <w:highlight w:val="none"/>
              </w:rPr>
            </w:pPr>
          </w:p>
        </w:tc>
        <w:tc>
          <w:tcPr>
            <w:tcW w:w="1943" w:type="dxa"/>
            <w:vAlign w:val="center"/>
          </w:tcPr>
          <w:p w14:paraId="32BA20ED">
            <w:pPr>
              <w:pStyle w:val="98"/>
              <w:snapToGrid w:val="0"/>
              <w:spacing w:line="360" w:lineRule="exact"/>
              <w:ind w:left="63" w:right="63" w:firstLine="460"/>
              <w:rPr>
                <w:rFonts w:hint="eastAsia" w:ascii="宋体" w:hAnsi="宋体" w:eastAsia="宋体" w:cs="宋体"/>
                <w:color w:val="auto"/>
                <w:szCs w:val="21"/>
                <w:highlight w:val="none"/>
              </w:rPr>
            </w:pPr>
          </w:p>
        </w:tc>
        <w:tc>
          <w:tcPr>
            <w:tcW w:w="900" w:type="dxa"/>
            <w:vAlign w:val="center"/>
          </w:tcPr>
          <w:p w14:paraId="59539D76">
            <w:pPr>
              <w:pStyle w:val="98"/>
              <w:snapToGrid w:val="0"/>
              <w:spacing w:line="360" w:lineRule="exact"/>
              <w:ind w:left="63" w:right="63" w:firstLine="460"/>
              <w:rPr>
                <w:rFonts w:hint="eastAsia" w:ascii="宋体" w:hAnsi="宋体" w:eastAsia="宋体" w:cs="宋体"/>
                <w:color w:val="auto"/>
                <w:szCs w:val="21"/>
                <w:highlight w:val="none"/>
              </w:rPr>
            </w:pPr>
          </w:p>
        </w:tc>
        <w:tc>
          <w:tcPr>
            <w:tcW w:w="750" w:type="dxa"/>
            <w:vAlign w:val="center"/>
          </w:tcPr>
          <w:p w14:paraId="03DAE685">
            <w:pPr>
              <w:pStyle w:val="98"/>
              <w:snapToGrid w:val="0"/>
              <w:spacing w:line="360" w:lineRule="exact"/>
              <w:ind w:left="63" w:right="63" w:firstLine="460"/>
              <w:rPr>
                <w:rFonts w:hint="eastAsia" w:ascii="宋体" w:hAnsi="宋体" w:eastAsia="宋体" w:cs="宋体"/>
                <w:color w:val="auto"/>
                <w:szCs w:val="21"/>
                <w:highlight w:val="none"/>
              </w:rPr>
            </w:pPr>
          </w:p>
        </w:tc>
        <w:tc>
          <w:tcPr>
            <w:tcW w:w="855" w:type="dxa"/>
            <w:vAlign w:val="center"/>
          </w:tcPr>
          <w:p w14:paraId="64571526">
            <w:pPr>
              <w:pStyle w:val="98"/>
              <w:snapToGrid w:val="0"/>
              <w:spacing w:line="360" w:lineRule="exact"/>
              <w:ind w:left="63" w:right="63" w:firstLine="460"/>
              <w:rPr>
                <w:rFonts w:hint="eastAsia" w:ascii="宋体" w:hAnsi="宋体" w:eastAsia="宋体" w:cs="宋体"/>
                <w:color w:val="auto"/>
                <w:szCs w:val="21"/>
                <w:highlight w:val="none"/>
              </w:rPr>
            </w:pPr>
          </w:p>
        </w:tc>
        <w:tc>
          <w:tcPr>
            <w:tcW w:w="1118" w:type="dxa"/>
            <w:vAlign w:val="center"/>
          </w:tcPr>
          <w:p w14:paraId="5E0A79A7">
            <w:pPr>
              <w:pStyle w:val="98"/>
              <w:snapToGrid w:val="0"/>
              <w:spacing w:line="360" w:lineRule="exact"/>
              <w:ind w:left="63" w:right="63" w:firstLine="460"/>
              <w:rPr>
                <w:rFonts w:hint="eastAsia" w:ascii="宋体" w:hAnsi="宋体" w:eastAsia="宋体" w:cs="宋体"/>
                <w:color w:val="auto"/>
                <w:szCs w:val="21"/>
                <w:highlight w:val="none"/>
              </w:rPr>
            </w:pPr>
          </w:p>
        </w:tc>
        <w:tc>
          <w:tcPr>
            <w:tcW w:w="1117" w:type="dxa"/>
            <w:vAlign w:val="center"/>
          </w:tcPr>
          <w:p w14:paraId="7BF476A7">
            <w:pPr>
              <w:pStyle w:val="98"/>
              <w:snapToGrid w:val="0"/>
              <w:spacing w:line="360" w:lineRule="exact"/>
              <w:ind w:left="63" w:right="63" w:firstLine="460"/>
              <w:rPr>
                <w:rFonts w:hint="eastAsia" w:ascii="宋体" w:hAnsi="宋体" w:eastAsia="宋体" w:cs="宋体"/>
                <w:color w:val="auto"/>
                <w:szCs w:val="21"/>
                <w:highlight w:val="none"/>
              </w:rPr>
            </w:pPr>
          </w:p>
        </w:tc>
        <w:tc>
          <w:tcPr>
            <w:tcW w:w="800" w:type="dxa"/>
            <w:vAlign w:val="center"/>
          </w:tcPr>
          <w:p w14:paraId="7D5BB0EA">
            <w:pPr>
              <w:pStyle w:val="98"/>
              <w:snapToGrid w:val="0"/>
              <w:spacing w:line="360" w:lineRule="exact"/>
              <w:ind w:left="63" w:right="63" w:firstLine="460"/>
              <w:rPr>
                <w:rFonts w:hint="eastAsia" w:ascii="宋体" w:hAnsi="宋体" w:eastAsia="宋体" w:cs="宋体"/>
                <w:color w:val="auto"/>
                <w:szCs w:val="21"/>
                <w:highlight w:val="none"/>
              </w:rPr>
            </w:pPr>
          </w:p>
        </w:tc>
      </w:tr>
      <w:tr w14:paraId="259CE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83" w:type="dxa"/>
            <w:vAlign w:val="center"/>
          </w:tcPr>
          <w:p w14:paraId="22AA853F">
            <w:pPr>
              <w:pStyle w:val="98"/>
              <w:snapToGrid w:val="0"/>
              <w:spacing w:line="360" w:lineRule="exact"/>
              <w:ind w:right="63"/>
              <w:jc w:val="both"/>
              <w:rPr>
                <w:rFonts w:hint="eastAsia" w:ascii="宋体" w:hAnsi="宋体" w:eastAsia="宋体" w:cs="宋体"/>
                <w:color w:val="auto"/>
                <w:szCs w:val="21"/>
                <w:highlight w:val="none"/>
              </w:rPr>
            </w:pPr>
          </w:p>
        </w:tc>
        <w:tc>
          <w:tcPr>
            <w:tcW w:w="1190" w:type="dxa"/>
            <w:vAlign w:val="center"/>
          </w:tcPr>
          <w:p w14:paraId="56895D5B">
            <w:pPr>
              <w:pStyle w:val="98"/>
              <w:snapToGrid w:val="0"/>
              <w:spacing w:line="360" w:lineRule="exact"/>
              <w:ind w:left="63" w:right="63" w:firstLine="460"/>
              <w:rPr>
                <w:rFonts w:hint="eastAsia" w:ascii="宋体" w:hAnsi="宋体" w:eastAsia="宋体" w:cs="宋体"/>
                <w:color w:val="auto"/>
                <w:szCs w:val="21"/>
                <w:highlight w:val="none"/>
              </w:rPr>
            </w:pPr>
          </w:p>
        </w:tc>
        <w:tc>
          <w:tcPr>
            <w:tcW w:w="1943" w:type="dxa"/>
            <w:vAlign w:val="center"/>
          </w:tcPr>
          <w:p w14:paraId="5BF815B4">
            <w:pPr>
              <w:pStyle w:val="98"/>
              <w:snapToGrid w:val="0"/>
              <w:spacing w:line="360" w:lineRule="exact"/>
              <w:ind w:left="63" w:right="63" w:firstLine="460"/>
              <w:rPr>
                <w:rFonts w:hint="eastAsia" w:ascii="宋体" w:hAnsi="宋体" w:eastAsia="宋体" w:cs="宋体"/>
                <w:color w:val="auto"/>
                <w:szCs w:val="21"/>
                <w:highlight w:val="none"/>
              </w:rPr>
            </w:pPr>
          </w:p>
        </w:tc>
        <w:tc>
          <w:tcPr>
            <w:tcW w:w="900" w:type="dxa"/>
            <w:vAlign w:val="center"/>
          </w:tcPr>
          <w:p w14:paraId="3232EB38">
            <w:pPr>
              <w:pStyle w:val="98"/>
              <w:snapToGrid w:val="0"/>
              <w:spacing w:line="360" w:lineRule="exact"/>
              <w:ind w:left="63" w:right="63" w:firstLine="460"/>
              <w:rPr>
                <w:rFonts w:hint="eastAsia" w:ascii="宋体" w:hAnsi="宋体" w:eastAsia="宋体" w:cs="宋体"/>
                <w:color w:val="auto"/>
                <w:szCs w:val="21"/>
                <w:highlight w:val="none"/>
              </w:rPr>
            </w:pPr>
          </w:p>
        </w:tc>
        <w:tc>
          <w:tcPr>
            <w:tcW w:w="750" w:type="dxa"/>
            <w:vAlign w:val="center"/>
          </w:tcPr>
          <w:p w14:paraId="6E114F9D">
            <w:pPr>
              <w:pStyle w:val="98"/>
              <w:snapToGrid w:val="0"/>
              <w:spacing w:line="360" w:lineRule="exact"/>
              <w:ind w:left="63" w:right="63" w:firstLine="460"/>
              <w:rPr>
                <w:rFonts w:hint="eastAsia" w:ascii="宋体" w:hAnsi="宋体" w:eastAsia="宋体" w:cs="宋体"/>
                <w:color w:val="auto"/>
                <w:szCs w:val="21"/>
                <w:highlight w:val="none"/>
              </w:rPr>
            </w:pPr>
          </w:p>
        </w:tc>
        <w:tc>
          <w:tcPr>
            <w:tcW w:w="855" w:type="dxa"/>
            <w:vAlign w:val="center"/>
          </w:tcPr>
          <w:p w14:paraId="5FA2CD7D">
            <w:pPr>
              <w:pStyle w:val="98"/>
              <w:snapToGrid w:val="0"/>
              <w:spacing w:line="360" w:lineRule="exact"/>
              <w:ind w:left="63" w:right="63" w:firstLine="460"/>
              <w:rPr>
                <w:rFonts w:hint="eastAsia" w:ascii="宋体" w:hAnsi="宋体" w:eastAsia="宋体" w:cs="宋体"/>
                <w:color w:val="auto"/>
                <w:szCs w:val="21"/>
                <w:highlight w:val="none"/>
              </w:rPr>
            </w:pPr>
          </w:p>
        </w:tc>
        <w:tc>
          <w:tcPr>
            <w:tcW w:w="1118" w:type="dxa"/>
            <w:vAlign w:val="center"/>
          </w:tcPr>
          <w:p w14:paraId="479B07DC">
            <w:pPr>
              <w:pStyle w:val="98"/>
              <w:snapToGrid w:val="0"/>
              <w:spacing w:line="360" w:lineRule="exact"/>
              <w:ind w:left="63" w:right="63" w:firstLine="460"/>
              <w:rPr>
                <w:rFonts w:hint="eastAsia" w:ascii="宋体" w:hAnsi="宋体" w:eastAsia="宋体" w:cs="宋体"/>
                <w:color w:val="auto"/>
                <w:szCs w:val="21"/>
                <w:highlight w:val="none"/>
              </w:rPr>
            </w:pPr>
          </w:p>
        </w:tc>
        <w:tc>
          <w:tcPr>
            <w:tcW w:w="1117" w:type="dxa"/>
            <w:vAlign w:val="center"/>
          </w:tcPr>
          <w:p w14:paraId="624C82E2">
            <w:pPr>
              <w:pStyle w:val="98"/>
              <w:snapToGrid w:val="0"/>
              <w:spacing w:line="360" w:lineRule="exact"/>
              <w:ind w:left="63" w:right="63" w:firstLine="460"/>
              <w:rPr>
                <w:rFonts w:hint="eastAsia" w:ascii="宋体" w:hAnsi="宋体" w:eastAsia="宋体" w:cs="宋体"/>
                <w:color w:val="auto"/>
                <w:szCs w:val="21"/>
                <w:highlight w:val="none"/>
              </w:rPr>
            </w:pPr>
          </w:p>
        </w:tc>
        <w:tc>
          <w:tcPr>
            <w:tcW w:w="800" w:type="dxa"/>
            <w:vAlign w:val="center"/>
          </w:tcPr>
          <w:p w14:paraId="742F4C1E">
            <w:pPr>
              <w:pStyle w:val="98"/>
              <w:snapToGrid w:val="0"/>
              <w:spacing w:line="360" w:lineRule="exact"/>
              <w:ind w:left="63" w:right="63" w:firstLine="460"/>
              <w:rPr>
                <w:rFonts w:hint="eastAsia" w:ascii="宋体" w:hAnsi="宋体" w:eastAsia="宋体" w:cs="宋体"/>
                <w:color w:val="auto"/>
                <w:szCs w:val="21"/>
                <w:highlight w:val="none"/>
              </w:rPr>
            </w:pPr>
          </w:p>
        </w:tc>
      </w:tr>
      <w:tr w14:paraId="50D45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83" w:type="dxa"/>
            <w:vAlign w:val="center"/>
          </w:tcPr>
          <w:p w14:paraId="23BD0605">
            <w:pPr>
              <w:pStyle w:val="98"/>
              <w:snapToGrid w:val="0"/>
              <w:spacing w:line="360" w:lineRule="exact"/>
              <w:ind w:right="63"/>
              <w:jc w:val="both"/>
              <w:rPr>
                <w:rFonts w:hint="eastAsia" w:ascii="宋体" w:hAnsi="宋体" w:eastAsia="宋体" w:cs="宋体"/>
                <w:color w:val="auto"/>
                <w:szCs w:val="21"/>
                <w:highlight w:val="none"/>
              </w:rPr>
            </w:pPr>
          </w:p>
        </w:tc>
        <w:tc>
          <w:tcPr>
            <w:tcW w:w="1190" w:type="dxa"/>
            <w:vAlign w:val="center"/>
          </w:tcPr>
          <w:p w14:paraId="58820DAF">
            <w:pPr>
              <w:pStyle w:val="98"/>
              <w:snapToGrid w:val="0"/>
              <w:spacing w:line="360" w:lineRule="exact"/>
              <w:ind w:left="63" w:right="63" w:firstLine="460"/>
              <w:rPr>
                <w:rFonts w:hint="eastAsia" w:ascii="宋体" w:hAnsi="宋体" w:eastAsia="宋体" w:cs="宋体"/>
                <w:color w:val="auto"/>
                <w:szCs w:val="21"/>
                <w:highlight w:val="none"/>
              </w:rPr>
            </w:pPr>
          </w:p>
        </w:tc>
        <w:tc>
          <w:tcPr>
            <w:tcW w:w="1943" w:type="dxa"/>
            <w:vAlign w:val="center"/>
          </w:tcPr>
          <w:p w14:paraId="0B8AF213">
            <w:pPr>
              <w:pStyle w:val="98"/>
              <w:snapToGrid w:val="0"/>
              <w:spacing w:line="360" w:lineRule="exact"/>
              <w:ind w:left="63" w:right="63" w:firstLine="460"/>
              <w:rPr>
                <w:rFonts w:hint="eastAsia" w:ascii="宋体" w:hAnsi="宋体" w:eastAsia="宋体" w:cs="宋体"/>
                <w:color w:val="auto"/>
                <w:szCs w:val="21"/>
                <w:highlight w:val="none"/>
              </w:rPr>
            </w:pPr>
          </w:p>
        </w:tc>
        <w:tc>
          <w:tcPr>
            <w:tcW w:w="900" w:type="dxa"/>
            <w:vAlign w:val="center"/>
          </w:tcPr>
          <w:p w14:paraId="02EB934E">
            <w:pPr>
              <w:pStyle w:val="98"/>
              <w:snapToGrid w:val="0"/>
              <w:spacing w:line="360" w:lineRule="exact"/>
              <w:ind w:left="63" w:right="63" w:firstLine="460"/>
              <w:rPr>
                <w:rFonts w:hint="eastAsia" w:ascii="宋体" w:hAnsi="宋体" w:eastAsia="宋体" w:cs="宋体"/>
                <w:color w:val="auto"/>
                <w:szCs w:val="21"/>
                <w:highlight w:val="none"/>
              </w:rPr>
            </w:pPr>
          </w:p>
        </w:tc>
        <w:tc>
          <w:tcPr>
            <w:tcW w:w="750" w:type="dxa"/>
            <w:vAlign w:val="center"/>
          </w:tcPr>
          <w:p w14:paraId="7812DB1F">
            <w:pPr>
              <w:pStyle w:val="98"/>
              <w:snapToGrid w:val="0"/>
              <w:spacing w:line="360" w:lineRule="exact"/>
              <w:ind w:left="63" w:right="63" w:firstLine="460"/>
              <w:rPr>
                <w:rFonts w:hint="eastAsia" w:ascii="宋体" w:hAnsi="宋体" w:eastAsia="宋体" w:cs="宋体"/>
                <w:color w:val="auto"/>
                <w:szCs w:val="21"/>
                <w:highlight w:val="none"/>
              </w:rPr>
            </w:pPr>
          </w:p>
        </w:tc>
        <w:tc>
          <w:tcPr>
            <w:tcW w:w="855" w:type="dxa"/>
            <w:vAlign w:val="center"/>
          </w:tcPr>
          <w:p w14:paraId="01BA8B42">
            <w:pPr>
              <w:pStyle w:val="98"/>
              <w:snapToGrid w:val="0"/>
              <w:spacing w:line="360" w:lineRule="exact"/>
              <w:ind w:left="63" w:right="63" w:firstLine="460"/>
              <w:rPr>
                <w:rFonts w:hint="eastAsia" w:ascii="宋体" w:hAnsi="宋体" w:eastAsia="宋体" w:cs="宋体"/>
                <w:color w:val="auto"/>
                <w:szCs w:val="21"/>
                <w:highlight w:val="none"/>
              </w:rPr>
            </w:pPr>
          </w:p>
        </w:tc>
        <w:tc>
          <w:tcPr>
            <w:tcW w:w="1118" w:type="dxa"/>
            <w:vAlign w:val="center"/>
          </w:tcPr>
          <w:p w14:paraId="4CE5537C">
            <w:pPr>
              <w:pStyle w:val="98"/>
              <w:snapToGrid w:val="0"/>
              <w:spacing w:line="360" w:lineRule="exact"/>
              <w:ind w:left="63" w:right="63" w:firstLine="460"/>
              <w:rPr>
                <w:rFonts w:hint="eastAsia" w:ascii="宋体" w:hAnsi="宋体" w:eastAsia="宋体" w:cs="宋体"/>
                <w:color w:val="auto"/>
                <w:szCs w:val="21"/>
                <w:highlight w:val="none"/>
              </w:rPr>
            </w:pPr>
          </w:p>
        </w:tc>
        <w:tc>
          <w:tcPr>
            <w:tcW w:w="1117" w:type="dxa"/>
            <w:vAlign w:val="center"/>
          </w:tcPr>
          <w:p w14:paraId="1F454860">
            <w:pPr>
              <w:pStyle w:val="98"/>
              <w:snapToGrid w:val="0"/>
              <w:spacing w:line="360" w:lineRule="exact"/>
              <w:ind w:left="63" w:right="63" w:firstLine="460"/>
              <w:rPr>
                <w:rFonts w:hint="eastAsia" w:ascii="宋体" w:hAnsi="宋体" w:eastAsia="宋体" w:cs="宋体"/>
                <w:color w:val="auto"/>
                <w:szCs w:val="21"/>
                <w:highlight w:val="none"/>
              </w:rPr>
            </w:pPr>
          </w:p>
        </w:tc>
        <w:tc>
          <w:tcPr>
            <w:tcW w:w="800" w:type="dxa"/>
            <w:vAlign w:val="center"/>
          </w:tcPr>
          <w:p w14:paraId="0250092D">
            <w:pPr>
              <w:pStyle w:val="98"/>
              <w:snapToGrid w:val="0"/>
              <w:spacing w:line="360" w:lineRule="exact"/>
              <w:ind w:left="63" w:right="63" w:firstLine="460"/>
              <w:rPr>
                <w:rFonts w:hint="eastAsia" w:ascii="宋体" w:hAnsi="宋体" w:eastAsia="宋体" w:cs="宋体"/>
                <w:color w:val="auto"/>
                <w:szCs w:val="21"/>
                <w:highlight w:val="none"/>
              </w:rPr>
            </w:pPr>
          </w:p>
        </w:tc>
      </w:tr>
      <w:tr w14:paraId="4C58B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83" w:type="dxa"/>
            <w:vAlign w:val="center"/>
          </w:tcPr>
          <w:p w14:paraId="166CD3CF">
            <w:pPr>
              <w:pStyle w:val="98"/>
              <w:snapToGrid w:val="0"/>
              <w:spacing w:line="360" w:lineRule="exact"/>
              <w:ind w:right="63"/>
              <w:jc w:val="both"/>
              <w:rPr>
                <w:rFonts w:hint="eastAsia" w:ascii="宋体" w:hAnsi="宋体" w:eastAsia="宋体" w:cs="宋体"/>
                <w:color w:val="auto"/>
                <w:szCs w:val="21"/>
                <w:highlight w:val="none"/>
              </w:rPr>
            </w:pPr>
          </w:p>
        </w:tc>
        <w:tc>
          <w:tcPr>
            <w:tcW w:w="1190" w:type="dxa"/>
            <w:vAlign w:val="center"/>
          </w:tcPr>
          <w:p w14:paraId="6EF23D14">
            <w:pPr>
              <w:pStyle w:val="98"/>
              <w:snapToGrid w:val="0"/>
              <w:spacing w:line="360" w:lineRule="exact"/>
              <w:ind w:left="63" w:right="63" w:firstLine="460"/>
              <w:rPr>
                <w:rFonts w:hint="eastAsia" w:ascii="宋体" w:hAnsi="宋体" w:eastAsia="宋体" w:cs="宋体"/>
                <w:color w:val="auto"/>
                <w:szCs w:val="21"/>
                <w:highlight w:val="none"/>
              </w:rPr>
            </w:pPr>
          </w:p>
        </w:tc>
        <w:tc>
          <w:tcPr>
            <w:tcW w:w="1943" w:type="dxa"/>
            <w:vAlign w:val="center"/>
          </w:tcPr>
          <w:p w14:paraId="1C1F7E09">
            <w:pPr>
              <w:pStyle w:val="98"/>
              <w:snapToGrid w:val="0"/>
              <w:spacing w:line="360" w:lineRule="exact"/>
              <w:ind w:left="63" w:right="63" w:firstLine="460"/>
              <w:rPr>
                <w:rFonts w:hint="eastAsia" w:ascii="宋体" w:hAnsi="宋体" w:eastAsia="宋体" w:cs="宋体"/>
                <w:color w:val="auto"/>
                <w:szCs w:val="21"/>
                <w:highlight w:val="none"/>
              </w:rPr>
            </w:pPr>
          </w:p>
        </w:tc>
        <w:tc>
          <w:tcPr>
            <w:tcW w:w="900" w:type="dxa"/>
            <w:vAlign w:val="center"/>
          </w:tcPr>
          <w:p w14:paraId="153B29FD">
            <w:pPr>
              <w:pStyle w:val="98"/>
              <w:snapToGrid w:val="0"/>
              <w:spacing w:line="360" w:lineRule="exact"/>
              <w:ind w:left="63" w:right="63" w:firstLine="460"/>
              <w:rPr>
                <w:rFonts w:hint="eastAsia" w:ascii="宋体" w:hAnsi="宋体" w:eastAsia="宋体" w:cs="宋体"/>
                <w:color w:val="auto"/>
                <w:szCs w:val="21"/>
                <w:highlight w:val="none"/>
              </w:rPr>
            </w:pPr>
          </w:p>
        </w:tc>
        <w:tc>
          <w:tcPr>
            <w:tcW w:w="750" w:type="dxa"/>
            <w:vAlign w:val="center"/>
          </w:tcPr>
          <w:p w14:paraId="5B805B1F">
            <w:pPr>
              <w:pStyle w:val="98"/>
              <w:snapToGrid w:val="0"/>
              <w:spacing w:line="360" w:lineRule="exact"/>
              <w:ind w:left="63" w:right="63" w:firstLine="460"/>
              <w:rPr>
                <w:rFonts w:hint="eastAsia" w:ascii="宋体" w:hAnsi="宋体" w:eastAsia="宋体" w:cs="宋体"/>
                <w:color w:val="auto"/>
                <w:szCs w:val="21"/>
                <w:highlight w:val="none"/>
              </w:rPr>
            </w:pPr>
          </w:p>
        </w:tc>
        <w:tc>
          <w:tcPr>
            <w:tcW w:w="855" w:type="dxa"/>
            <w:vAlign w:val="center"/>
          </w:tcPr>
          <w:p w14:paraId="21C78EE2">
            <w:pPr>
              <w:pStyle w:val="98"/>
              <w:snapToGrid w:val="0"/>
              <w:spacing w:line="360" w:lineRule="exact"/>
              <w:ind w:left="63" w:right="63" w:firstLine="460"/>
              <w:rPr>
                <w:rFonts w:hint="eastAsia" w:ascii="宋体" w:hAnsi="宋体" w:eastAsia="宋体" w:cs="宋体"/>
                <w:color w:val="auto"/>
                <w:szCs w:val="21"/>
                <w:highlight w:val="none"/>
              </w:rPr>
            </w:pPr>
          </w:p>
        </w:tc>
        <w:tc>
          <w:tcPr>
            <w:tcW w:w="1118" w:type="dxa"/>
            <w:vAlign w:val="center"/>
          </w:tcPr>
          <w:p w14:paraId="26296FB4">
            <w:pPr>
              <w:pStyle w:val="98"/>
              <w:snapToGrid w:val="0"/>
              <w:spacing w:line="360" w:lineRule="exact"/>
              <w:ind w:left="63" w:right="63" w:firstLine="460"/>
              <w:rPr>
                <w:rFonts w:hint="eastAsia" w:ascii="宋体" w:hAnsi="宋体" w:eastAsia="宋体" w:cs="宋体"/>
                <w:color w:val="auto"/>
                <w:szCs w:val="21"/>
                <w:highlight w:val="none"/>
              </w:rPr>
            </w:pPr>
          </w:p>
        </w:tc>
        <w:tc>
          <w:tcPr>
            <w:tcW w:w="1117" w:type="dxa"/>
            <w:vAlign w:val="center"/>
          </w:tcPr>
          <w:p w14:paraId="107425FA">
            <w:pPr>
              <w:pStyle w:val="98"/>
              <w:snapToGrid w:val="0"/>
              <w:spacing w:line="360" w:lineRule="exact"/>
              <w:ind w:left="63" w:right="63" w:firstLine="460"/>
              <w:rPr>
                <w:rFonts w:hint="eastAsia" w:ascii="宋体" w:hAnsi="宋体" w:eastAsia="宋体" w:cs="宋体"/>
                <w:color w:val="auto"/>
                <w:szCs w:val="21"/>
                <w:highlight w:val="none"/>
              </w:rPr>
            </w:pPr>
          </w:p>
        </w:tc>
        <w:tc>
          <w:tcPr>
            <w:tcW w:w="800" w:type="dxa"/>
            <w:vAlign w:val="center"/>
          </w:tcPr>
          <w:p w14:paraId="3F02CE14">
            <w:pPr>
              <w:pStyle w:val="98"/>
              <w:snapToGrid w:val="0"/>
              <w:spacing w:line="360" w:lineRule="exact"/>
              <w:ind w:left="63" w:right="63" w:firstLine="460"/>
              <w:rPr>
                <w:rFonts w:hint="eastAsia" w:ascii="宋体" w:hAnsi="宋体" w:eastAsia="宋体" w:cs="宋体"/>
                <w:color w:val="auto"/>
                <w:szCs w:val="21"/>
                <w:highlight w:val="none"/>
              </w:rPr>
            </w:pPr>
          </w:p>
        </w:tc>
      </w:tr>
      <w:tr w14:paraId="2906F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816" w:type="dxa"/>
            <w:gridSpan w:val="3"/>
            <w:vAlign w:val="center"/>
          </w:tcPr>
          <w:p w14:paraId="6866863E">
            <w:pPr>
              <w:pStyle w:val="98"/>
              <w:snapToGrid w:val="0"/>
              <w:spacing w:line="360" w:lineRule="exact"/>
              <w:ind w:left="63" w:right="63" w:firstLine="460"/>
              <w:jc w:val="both"/>
              <w:rPr>
                <w:rFonts w:hint="eastAsia" w:ascii="宋体" w:hAnsi="宋体" w:eastAsia="宋体" w:cs="宋体"/>
                <w:color w:val="auto"/>
                <w:szCs w:val="21"/>
                <w:highlight w:val="none"/>
              </w:rPr>
            </w:pPr>
          </w:p>
        </w:tc>
        <w:tc>
          <w:tcPr>
            <w:tcW w:w="5540" w:type="dxa"/>
            <w:gridSpan w:val="6"/>
            <w:vAlign w:val="center"/>
          </w:tcPr>
          <w:p w14:paraId="62ECA580">
            <w:pPr>
              <w:pStyle w:val="98"/>
              <w:snapToGrid w:val="0"/>
              <w:spacing w:line="360" w:lineRule="exact"/>
              <w:ind w:left="63" w:right="63" w:firstLine="460"/>
              <w:rPr>
                <w:rFonts w:hint="eastAsia" w:ascii="宋体" w:hAnsi="宋体" w:eastAsia="宋体" w:cs="宋体"/>
                <w:color w:val="auto"/>
                <w:szCs w:val="21"/>
                <w:highlight w:val="none"/>
              </w:rPr>
            </w:pPr>
          </w:p>
        </w:tc>
      </w:tr>
      <w:tr w14:paraId="75357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816" w:type="dxa"/>
            <w:gridSpan w:val="3"/>
            <w:vAlign w:val="center"/>
          </w:tcPr>
          <w:p w14:paraId="348873E7">
            <w:pPr>
              <w:pStyle w:val="98"/>
              <w:snapToGrid w:val="0"/>
              <w:spacing w:line="360" w:lineRule="exact"/>
              <w:ind w:left="63" w:right="63" w:firstLine="460"/>
              <w:jc w:val="both"/>
              <w:rPr>
                <w:rFonts w:hint="eastAsia" w:ascii="宋体" w:hAnsi="宋体" w:eastAsia="宋体" w:cs="宋体"/>
                <w:color w:val="auto"/>
                <w:szCs w:val="21"/>
                <w:highlight w:val="none"/>
              </w:rPr>
            </w:pPr>
          </w:p>
        </w:tc>
        <w:tc>
          <w:tcPr>
            <w:tcW w:w="5540" w:type="dxa"/>
            <w:gridSpan w:val="6"/>
            <w:vAlign w:val="center"/>
          </w:tcPr>
          <w:p w14:paraId="69934F54">
            <w:pPr>
              <w:pStyle w:val="98"/>
              <w:snapToGrid w:val="0"/>
              <w:spacing w:line="360" w:lineRule="exact"/>
              <w:ind w:left="63" w:right="63" w:firstLine="460"/>
              <w:rPr>
                <w:rFonts w:hint="eastAsia" w:ascii="宋体" w:hAnsi="宋体" w:eastAsia="宋体" w:cs="宋体"/>
                <w:color w:val="auto"/>
                <w:szCs w:val="21"/>
                <w:highlight w:val="none"/>
              </w:rPr>
            </w:pPr>
          </w:p>
        </w:tc>
      </w:tr>
      <w:tr w14:paraId="40291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816" w:type="dxa"/>
            <w:gridSpan w:val="3"/>
            <w:vAlign w:val="center"/>
          </w:tcPr>
          <w:p w14:paraId="6CDC2844">
            <w:pPr>
              <w:pStyle w:val="98"/>
              <w:snapToGrid w:val="0"/>
              <w:spacing w:line="360" w:lineRule="exact"/>
              <w:ind w:left="63" w:right="63" w:firstLine="460"/>
              <w:jc w:val="both"/>
              <w:rPr>
                <w:rFonts w:hint="eastAsia" w:ascii="宋体" w:hAnsi="宋体" w:eastAsia="宋体" w:cs="宋体"/>
                <w:color w:val="auto"/>
                <w:szCs w:val="21"/>
                <w:highlight w:val="none"/>
              </w:rPr>
            </w:pPr>
          </w:p>
        </w:tc>
        <w:tc>
          <w:tcPr>
            <w:tcW w:w="5540" w:type="dxa"/>
            <w:gridSpan w:val="6"/>
            <w:vAlign w:val="center"/>
          </w:tcPr>
          <w:p w14:paraId="6FD332A7">
            <w:pPr>
              <w:pStyle w:val="98"/>
              <w:snapToGrid w:val="0"/>
              <w:spacing w:line="360" w:lineRule="exact"/>
              <w:ind w:left="63" w:right="63" w:firstLine="460"/>
              <w:rPr>
                <w:rFonts w:hint="eastAsia" w:ascii="宋体" w:hAnsi="宋体" w:eastAsia="宋体" w:cs="宋体"/>
                <w:color w:val="auto"/>
                <w:szCs w:val="21"/>
                <w:highlight w:val="none"/>
              </w:rPr>
            </w:pPr>
          </w:p>
        </w:tc>
      </w:tr>
    </w:tbl>
    <w:p w14:paraId="7D321CD3">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131" w:name="_Toc28104041"/>
      <w:bookmarkStart w:id="132" w:name="_Toc28103940"/>
      <w:r>
        <w:rPr>
          <w:rFonts w:hint="eastAsia" w:ascii="宋体" w:hAnsi="宋体" w:eastAsia="宋体" w:cs="宋体"/>
          <w:color w:val="auto"/>
          <w:szCs w:val="21"/>
          <w:highlight w:val="none"/>
        </w:rPr>
        <w:t>1.1</w:t>
      </w:r>
      <w:bookmarkEnd w:id="128"/>
      <w:bookmarkEnd w:id="129"/>
      <w:bookmarkEnd w:id="130"/>
      <w:r>
        <w:rPr>
          <w:rFonts w:hint="eastAsia" w:ascii="宋体" w:hAnsi="宋体" w:eastAsia="宋体" w:cs="宋体"/>
          <w:b/>
          <w:bCs/>
          <w:color w:val="auto"/>
          <w:szCs w:val="21"/>
          <w:highlight w:val="none"/>
        </w:rPr>
        <w:t>本项目报价为“交钥匙”价。项目实施过程中所需的墙面开孔及封堵（如有）、胶带、设备的吊装、搬运、机械、设备检测、试运行、场地清理及垃圾清运费、</w:t>
      </w:r>
      <w:r>
        <w:rPr>
          <w:rFonts w:hint="eastAsia" w:ascii="宋体" w:hAnsi="宋体" w:eastAsia="宋体" w:cs="宋体"/>
          <w:b/>
          <w:bCs/>
          <w:color w:val="auto"/>
          <w:szCs w:val="21"/>
          <w:highlight w:val="none"/>
          <w:lang w:eastAsia="zh-CN"/>
        </w:rPr>
        <w:t>买方</w:t>
      </w:r>
      <w:r>
        <w:rPr>
          <w:rFonts w:hint="eastAsia" w:ascii="宋体" w:hAnsi="宋体" w:eastAsia="宋体" w:cs="宋体"/>
          <w:b/>
          <w:bCs/>
          <w:color w:val="auto"/>
          <w:szCs w:val="21"/>
          <w:highlight w:val="none"/>
        </w:rPr>
        <w:t>既有设施设备成品保护费、包装及运输、采购、施工、保管、安装或集成、调试、培训、咨询、服务、检测、安保、劳务、材料、差旅交通、就餐住宿、管理、利润、规费、税金、保险、相关协调费、专利技术、知识产权、售后服务费及其他实物和技术工作收费等所有为完成本项目所发生的全部相关费用均包含在所报价格中。</w:t>
      </w:r>
      <w:bookmarkEnd w:id="131"/>
      <w:bookmarkEnd w:id="132"/>
    </w:p>
    <w:p w14:paraId="4F435DC6">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133" w:name="_Toc28104042"/>
      <w:bookmarkStart w:id="134" w:name="_Toc28103941"/>
      <w:r>
        <w:rPr>
          <w:rFonts w:hint="eastAsia" w:ascii="宋体" w:hAnsi="宋体" w:eastAsia="宋体" w:cs="宋体"/>
          <w:color w:val="auto"/>
          <w:szCs w:val="21"/>
          <w:highlight w:val="none"/>
        </w:rPr>
        <w:t>1.2表中的内容应与中标通知书、招标文件及被买方接受的规格性能偏离表相一致(包括技术资料的提供要求)。</w:t>
      </w:r>
      <w:bookmarkEnd w:id="133"/>
      <w:bookmarkEnd w:id="134"/>
    </w:p>
    <w:p w14:paraId="7CDC739D">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135" w:name="_Toc513820513"/>
      <w:bookmarkStart w:id="136" w:name="_Toc475521694"/>
      <w:bookmarkStart w:id="137" w:name="_Toc475521221"/>
      <w:bookmarkStart w:id="138" w:name="_Toc28104043"/>
      <w:bookmarkStart w:id="139" w:name="_Toc28103942"/>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 xml:space="preserve">、货物产品为原制造商制造的全新、优质、合格的产品，并未对其子部件作任何的更改和替换；表面无划损、无任何缺陷隐患，在中国境内可依常规安全合法使用； </w:t>
      </w:r>
    </w:p>
    <w:p w14:paraId="2FBB394E">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1.4</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按</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 xml:space="preserve">指定的位置进行安装，安装要求符合相关的技术及安全标准，保证使用效果及安全。 </w:t>
      </w:r>
    </w:p>
    <w:p w14:paraId="39BE2D48">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1.5</w:t>
      </w:r>
      <w:r>
        <w:rPr>
          <w:rFonts w:hint="eastAsia" w:ascii="宋体" w:hAnsi="宋体" w:eastAsia="宋体" w:cs="宋体"/>
          <w:color w:val="auto"/>
          <w:szCs w:val="21"/>
          <w:highlight w:val="none"/>
        </w:rPr>
        <w:t>、拆除及安装过程出现的安全问题，由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 xml:space="preserve">承担全部责任。 </w:t>
      </w:r>
    </w:p>
    <w:p w14:paraId="48C41128">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1.6</w:t>
      </w:r>
      <w:r>
        <w:rPr>
          <w:rFonts w:hint="eastAsia" w:ascii="宋体" w:hAnsi="宋体" w:eastAsia="宋体" w:cs="宋体"/>
          <w:color w:val="auto"/>
          <w:szCs w:val="21"/>
          <w:highlight w:val="none"/>
        </w:rPr>
        <w:t>、使用过程出现的安全问题，由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承担全部责任（除因</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 xml:space="preserve">使用不当造成的除外）。 </w:t>
      </w:r>
    </w:p>
    <w:p w14:paraId="15942191">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1.7</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应保证，</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在中华人民共和国使用</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所提供的货物或货物的任何一部分时，免受第三方提出的侵犯其专利权、商标权或工业设计权的起诉。</w:t>
      </w:r>
    </w:p>
    <w:p w14:paraId="211D5198">
      <w:pPr>
        <w:pStyle w:val="26"/>
        <w:spacing w:line="360" w:lineRule="auto"/>
        <w:jc w:val="left"/>
        <w:outlineLvl w:val="9"/>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2.</w:t>
      </w:r>
      <w:r>
        <w:rPr>
          <w:rFonts w:hint="eastAsia" w:ascii="宋体" w:hAnsi="宋体" w:eastAsia="宋体" w:cs="宋体"/>
          <w:color w:val="auto"/>
          <w:szCs w:val="21"/>
          <w:highlight w:val="none"/>
        </w:rPr>
        <w:t xml:space="preserve"> 合同交货期、交货方式、地点</w:t>
      </w:r>
      <w:bookmarkEnd w:id="135"/>
      <w:bookmarkEnd w:id="136"/>
      <w:bookmarkEnd w:id="137"/>
      <w:bookmarkEnd w:id="138"/>
      <w:bookmarkEnd w:id="139"/>
    </w:p>
    <w:p w14:paraId="78AABB5B">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140" w:name="_Toc28104044"/>
      <w:bookmarkStart w:id="141" w:name="_Toc28103943"/>
      <w:bookmarkStart w:id="142" w:name="_Toc513820514"/>
      <w:bookmarkStart w:id="143" w:name="_Toc475521222"/>
      <w:bookmarkStart w:id="144" w:name="_Toc475521695"/>
      <w:r>
        <w:rPr>
          <w:rFonts w:hint="eastAsia" w:ascii="宋体" w:hAnsi="宋体" w:eastAsia="宋体" w:cs="宋体"/>
          <w:color w:val="auto"/>
          <w:szCs w:val="21"/>
          <w:highlight w:val="none"/>
        </w:rPr>
        <w:t>2.1</w:t>
      </w:r>
      <w:r>
        <w:rPr>
          <w:rFonts w:hint="eastAsia" w:ascii="宋体" w:hAnsi="宋体" w:eastAsia="宋体" w:cs="宋体"/>
          <w:color w:val="auto"/>
          <w:highlight w:val="none"/>
        </w:rPr>
        <w:t>合同协议书签署前5个工作日内</w:t>
      </w:r>
      <w:r>
        <w:rPr>
          <w:rFonts w:hint="eastAsia" w:ascii="宋体" w:hAnsi="宋体" w:eastAsia="宋体" w:cs="宋体"/>
          <w:color w:val="auto"/>
          <w:szCs w:val="21"/>
          <w:highlight w:val="none"/>
        </w:rPr>
        <w:t>，卖方向买方支付合同总价款5%作为履约保证金，履约保证金在项目验收合格后无息退还。未按要求支付的，取消中标资格，并赔偿买方损失。</w:t>
      </w:r>
      <w:bookmarkEnd w:id="140"/>
      <w:bookmarkEnd w:id="141"/>
      <w:bookmarkEnd w:id="142"/>
      <w:bookmarkEnd w:id="143"/>
      <w:bookmarkEnd w:id="144"/>
    </w:p>
    <w:p w14:paraId="00393FAF">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 w:val="21"/>
          <w:szCs w:val="21"/>
          <w:highlight w:val="none"/>
          <w:lang w:eastAsia="zh-CN"/>
        </w:rPr>
      </w:pPr>
      <w:bookmarkStart w:id="145" w:name="_Toc475521696"/>
      <w:bookmarkStart w:id="146" w:name="_Toc513820515"/>
      <w:bookmarkStart w:id="147" w:name="_Toc28104045"/>
      <w:bookmarkStart w:id="148" w:name="_Toc475521223"/>
      <w:bookmarkStart w:id="149" w:name="_Toc28103944"/>
      <w:r>
        <w:rPr>
          <w:rFonts w:hint="eastAsia" w:ascii="宋体" w:hAnsi="宋体" w:eastAsia="宋体" w:cs="宋体"/>
          <w:color w:val="auto"/>
          <w:szCs w:val="21"/>
          <w:highlight w:val="none"/>
        </w:rPr>
        <w:t>2.2卖方应在合同签订生效后</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日历天内完成合同货物的供货、安装、调试</w:t>
      </w:r>
      <w:bookmarkEnd w:id="145"/>
      <w:bookmarkEnd w:id="146"/>
      <w:bookmarkEnd w:id="147"/>
      <w:bookmarkEnd w:id="148"/>
      <w:bookmarkEnd w:id="149"/>
      <w:bookmarkStart w:id="150" w:name="_Toc475521697"/>
      <w:bookmarkStart w:id="151" w:name="_Toc513820516"/>
      <w:bookmarkStart w:id="152" w:name="_Toc475521224"/>
      <w:r>
        <w:rPr>
          <w:rFonts w:hint="eastAsia" w:ascii="宋体" w:hAnsi="宋体" w:eastAsia="宋体" w:cs="宋体"/>
          <w:b w:val="0"/>
          <w:bCs w:val="0"/>
          <w:color w:val="auto"/>
          <w:szCs w:val="22"/>
          <w:highlight w:val="none"/>
          <w:lang w:eastAsia="zh-CN"/>
        </w:rPr>
        <w:t>，</w:t>
      </w:r>
      <w:bookmarkStart w:id="153" w:name="_Toc28103945"/>
      <w:bookmarkStart w:id="154" w:name="_Toc28104046"/>
      <w:r>
        <w:rPr>
          <w:rFonts w:hint="eastAsia" w:ascii="宋体" w:hAnsi="宋体" w:eastAsia="宋体" w:cs="宋体"/>
          <w:b w:val="0"/>
          <w:bCs w:val="0"/>
          <w:color w:val="auto"/>
          <w:szCs w:val="22"/>
          <w:highlight w:val="none"/>
          <w:u w:val="single"/>
          <w:lang w:val="en-US" w:eastAsia="zh-CN"/>
        </w:rPr>
        <w:t xml:space="preserve">     </w:t>
      </w:r>
      <w:r>
        <w:rPr>
          <w:rFonts w:hint="eastAsia" w:ascii="宋体" w:hAnsi="宋体" w:eastAsia="宋体" w:cs="宋体"/>
          <w:b w:val="0"/>
          <w:bCs w:val="0"/>
          <w:color w:val="auto"/>
          <w:szCs w:val="22"/>
          <w:highlight w:val="none"/>
          <w:lang w:val="en-US" w:eastAsia="zh-CN"/>
        </w:rPr>
        <w:t>日历天内完成</w:t>
      </w:r>
      <w:r>
        <w:rPr>
          <w:rFonts w:hint="eastAsia" w:ascii="宋体" w:hAnsi="宋体" w:eastAsia="宋体" w:cs="宋体"/>
          <w:color w:val="auto"/>
          <w:sz w:val="21"/>
          <w:szCs w:val="21"/>
          <w:highlight w:val="none"/>
          <w:lang w:eastAsia="zh-CN"/>
        </w:rPr>
        <w:t>试运行并交付使用。</w:t>
      </w:r>
    </w:p>
    <w:p w14:paraId="3858E5CD">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2.3交货方式、地点：由卖方负责运至</w:t>
      </w:r>
      <w:r>
        <w:rPr>
          <w:rFonts w:hint="eastAsia" w:ascii="宋体" w:hAnsi="宋体" w:eastAsia="宋体" w:cs="宋体"/>
          <w:color w:val="auto"/>
          <w:szCs w:val="21"/>
          <w:highlight w:val="none"/>
          <w:u w:val="single"/>
        </w:rPr>
        <w:t>买方指定地点</w:t>
      </w:r>
      <w:r>
        <w:rPr>
          <w:rFonts w:hint="eastAsia" w:ascii="宋体" w:hAnsi="宋体" w:eastAsia="宋体" w:cs="宋体"/>
          <w:color w:val="auto"/>
          <w:szCs w:val="21"/>
          <w:highlight w:val="none"/>
        </w:rPr>
        <w:t>内。</w:t>
      </w:r>
      <w:bookmarkEnd w:id="150"/>
      <w:bookmarkEnd w:id="151"/>
      <w:bookmarkEnd w:id="152"/>
      <w:bookmarkEnd w:id="153"/>
      <w:bookmarkEnd w:id="154"/>
    </w:p>
    <w:p w14:paraId="66597E8D">
      <w:pPr>
        <w:pStyle w:val="26"/>
        <w:spacing w:line="360" w:lineRule="auto"/>
        <w:jc w:val="left"/>
        <w:outlineLvl w:val="9"/>
        <w:rPr>
          <w:rFonts w:hint="eastAsia" w:ascii="宋体" w:hAnsi="宋体" w:eastAsia="宋体" w:cs="宋体"/>
          <w:b/>
          <w:color w:val="auto"/>
          <w:szCs w:val="21"/>
          <w:highlight w:val="none"/>
        </w:rPr>
      </w:pPr>
      <w:bookmarkStart w:id="155" w:name="_Toc475521699"/>
      <w:bookmarkStart w:id="156" w:name="_Toc28104047"/>
      <w:bookmarkStart w:id="157" w:name="_Toc475521226"/>
      <w:bookmarkStart w:id="158" w:name="_Toc513820518"/>
      <w:bookmarkStart w:id="159" w:name="_Toc28103946"/>
      <w:r>
        <w:rPr>
          <w:rFonts w:hint="eastAsia" w:ascii="宋体" w:hAnsi="宋体" w:eastAsia="宋体" w:cs="宋体"/>
          <w:b/>
          <w:color w:val="auto"/>
          <w:szCs w:val="21"/>
          <w:highlight w:val="none"/>
        </w:rPr>
        <w:t>3.合同金额</w:t>
      </w:r>
      <w:bookmarkEnd w:id="155"/>
      <w:bookmarkEnd w:id="156"/>
      <w:bookmarkEnd w:id="157"/>
      <w:bookmarkEnd w:id="158"/>
      <w:bookmarkEnd w:id="159"/>
    </w:p>
    <w:p w14:paraId="0B4542B0">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160" w:name="_Toc28104048"/>
      <w:bookmarkStart w:id="161" w:name="_Toc475521700"/>
      <w:bookmarkStart w:id="162" w:name="_Toc28103947"/>
      <w:bookmarkStart w:id="163" w:name="_Toc475521227"/>
      <w:bookmarkStart w:id="164" w:name="_Toc513820519"/>
      <w:r>
        <w:rPr>
          <w:rFonts w:hint="eastAsia" w:ascii="宋体" w:hAnsi="宋体" w:eastAsia="宋体" w:cs="宋体"/>
          <w:color w:val="auto"/>
          <w:szCs w:val="21"/>
          <w:highlight w:val="none"/>
        </w:rPr>
        <w:t>3.1本合同的总价为人民币大写：</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元整，小写￥</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w:t>
      </w:r>
      <w:r>
        <w:rPr>
          <w:rFonts w:hint="eastAsia" w:ascii="宋体" w:hAnsi="宋体" w:eastAsia="宋体" w:cs="宋体"/>
          <w:color w:val="auto"/>
          <w:szCs w:val="21"/>
          <w:highlight w:val="none"/>
          <w:lang w:val="en-US" w:eastAsia="zh-CN"/>
        </w:rPr>
        <w:t>其中：不含税总价</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税额</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合同的总价为含税不变价(税指进口税、增值税等所涉一切税种)，合同附件价格不影响合同价格。</w:t>
      </w:r>
      <w:bookmarkEnd w:id="160"/>
      <w:bookmarkEnd w:id="161"/>
      <w:bookmarkEnd w:id="162"/>
      <w:bookmarkEnd w:id="163"/>
      <w:bookmarkEnd w:id="164"/>
    </w:p>
    <w:p w14:paraId="2AF7C7D2">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165" w:name="_Toc28103948"/>
      <w:bookmarkStart w:id="166" w:name="_Toc475521228"/>
      <w:bookmarkStart w:id="167" w:name="_Toc475521701"/>
      <w:bookmarkStart w:id="168" w:name="_Toc513820520"/>
      <w:bookmarkStart w:id="169" w:name="_Toc28104049"/>
      <w:r>
        <w:rPr>
          <w:rFonts w:hint="eastAsia" w:ascii="宋体" w:hAnsi="宋体" w:eastAsia="宋体" w:cs="宋体"/>
          <w:color w:val="auto"/>
          <w:szCs w:val="21"/>
          <w:highlight w:val="none"/>
        </w:rPr>
        <w:t>3.2本合同除因买方实际需要或重大变更调整方案可按投标报价书中的价格调整合同以外，其它一律不得调整。</w:t>
      </w:r>
      <w:bookmarkEnd w:id="165"/>
      <w:bookmarkEnd w:id="166"/>
      <w:bookmarkEnd w:id="167"/>
      <w:bookmarkEnd w:id="168"/>
      <w:bookmarkEnd w:id="169"/>
    </w:p>
    <w:p w14:paraId="07E18E7A">
      <w:pPr>
        <w:pStyle w:val="26"/>
        <w:spacing w:line="360" w:lineRule="auto"/>
        <w:jc w:val="left"/>
        <w:outlineLvl w:val="9"/>
        <w:rPr>
          <w:rFonts w:hint="eastAsia" w:ascii="宋体" w:hAnsi="宋体" w:eastAsia="宋体" w:cs="宋体"/>
          <w:b/>
          <w:color w:val="auto"/>
          <w:szCs w:val="21"/>
          <w:highlight w:val="none"/>
        </w:rPr>
      </w:pPr>
      <w:bookmarkStart w:id="170" w:name="_Toc28103949"/>
      <w:bookmarkStart w:id="171" w:name="_Toc28104050"/>
      <w:bookmarkStart w:id="172" w:name="_Toc513820521"/>
      <w:bookmarkStart w:id="173" w:name="_Toc475521702"/>
      <w:bookmarkStart w:id="174" w:name="_Toc475521229"/>
      <w:r>
        <w:rPr>
          <w:rFonts w:hint="eastAsia" w:ascii="宋体" w:hAnsi="宋体" w:eastAsia="宋体" w:cs="宋体"/>
          <w:b/>
          <w:color w:val="auto"/>
          <w:szCs w:val="21"/>
          <w:highlight w:val="none"/>
        </w:rPr>
        <w:t>4.付款方式</w:t>
      </w:r>
      <w:bookmarkEnd w:id="170"/>
      <w:bookmarkEnd w:id="171"/>
      <w:bookmarkEnd w:id="172"/>
      <w:bookmarkEnd w:id="173"/>
      <w:bookmarkEnd w:id="174"/>
    </w:p>
    <w:p w14:paraId="6912DC19">
      <w:pPr>
        <w:tabs>
          <w:tab w:val="left" w:pos="396"/>
        </w:tabs>
        <w:autoSpaceDE w:val="0"/>
        <w:autoSpaceDN w:val="0"/>
        <w:adjustRightInd w:val="0"/>
        <w:snapToGrid w:val="0"/>
        <w:spacing w:line="360" w:lineRule="auto"/>
        <w:ind w:firstLine="420" w:firstLineChars="200"/>
        <w:textAlignment w:val="bottom"/>
        <w:rPr>
          <w:rFonts w:hint="eastAsia" w:ascii="宋体" w:hAnsi="宋体" w:eastAsia="宋体" w:cs="宋体"/>
          <w:color w:val="auto"/>
          <w:sz w:val="21"/>
          <w:szCs w:val="21"/>
          <w:highlight w:val="none"/>
          <w:lang w:val="en-US" w:eastAsia="zh-CN"/>
        </w:rPr>
      </w:pPr>
      <w:bookmarkStart w:id="175" w:name="_Toc513820522"/>
      <w:bookmarkStart w:id="176" w:name="_Toc475521234"/>
      <w:bookmarkStart w:id="177" w:name="_Toc28104051"/>
      <w:bookmarkStart w:id="178" w:name="_Toc28103950"/>
      <w:bookmarkStart w:id="179" w:name="_Toc475521707"/>
      <w:r>
        <w:rPr>
          <w:rFonts w:hint="eastAsia" w:ascii="宋体" w:hAnsi="宋体" w:eastAsia="宋体" w:cs="宋体"/>
          <w:color w:val="auto"/>
          <w:sz w:val="21"/>
          <w:szCs w:val="21"/>
          <w:highlight w:val="none"/>
          <w:lang w:val="en-US" w:eastAsia="zh-CN"/>
        </w:rPr>
        <w:t>4.1、预付款：合同签订后7个工作日内，买方支付卖方合同金额的30%；</w:t>
      </w:r>
    </w:p>
    <w:p w14:paraId="6108163E">
      <w:pPr>
        <w:tabs>
          <w:tab w:val="left" w:pos="396"/>
        </w:tabs>
        <w:autoSpaceDE w:val="0"/>
        <w:autoSpaceDN w:val="0"/>
        <w:adjustRightInd w:val="0"/>
        <w:snapToGrid w:val="0"/>
        <w:spacing w:line="360" w:lineRule="auto"/>
        <w:ind w:firstLine="420" w:firstLineChars="200"/>
        <w:textAlignment w:val="bottom"/>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4.2、进度款：卖方完成供货并通过验收合格后经买方确认7个工作日内，买方支付卖方至合同金额的95%；</w:t>
      </w:r>
    </w:p>
    <w:p w14:paraId="34067EF7">
      <w:pPr>
        <w:tabs>
          <w:tab w:val="left" w:pos="396"/>
        </w:tabs>
        <w:autoSpaceDE w:val="0"/>
        <w:autoSpaceDN w:val="0"/>
        <w:adjustRightInd w:val="0"/>
        <w:snapToGrid w:val="0"/>
        <w:spacing w:line="360" w:lineRule="auto"/>
        <w:ind w:firstLine="420" w:firstLineChars="200"/>
        <w:textAlignment w:val="bottom"/>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4.3、尾款：质保期结束后买方支付卖方剩余5%质保金。</w:t>
      </w:r>
    </w:p>
    <w:p w14:paraId="06859364">
      <w:pPr>
        <w:tabs>
          <w:tab w:val="left" w:pos="396"/>
        </w:tabs>
        <w:autoSpaceDE w:val="0"/>
        <w:autoSpaceDN w:val="0"/>
        <w:adjustRightInd w:val="0"/>
        <w:snapToGrid w:val="0"/>
        <w:spacing w:line="360" w:lineRule="auto"/>
        <w:ind w:firstLine="420" w:firstLineChars="200"/>
        <w:textAlignment w:val="bottom"/>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注：买方</w:t>
      </w:r>
      <w:r>
        <w:rPr>
          <w:rFonts w:hint="eastAsia" w:ascii="宋体" w:hAnsi="宋体" w:cs="宋体"/>
          <w:color w:val="auto"/>
          <w:sz w:val="21"/>
          <w:szCs w:val="21"/>
          <w:highlight w:val="none"/>
          <w:lang w:val="en-US" w:eastAsia="zh-CN"/>
        </w:rPr>
        <w:t>每次</w:t>
      </w:r>
      <w:r>
        <w:rPr>
          <w:rFonts w:hint="eastAsia" w:ascii="宋体" w:hAnsi="宋体" w:eastAsia="宋体" w:cs="宋体"/>
          <w:color w:val="auto"/>
          <w:sz w:val="21"/>
          <w:szCs w:val="21"/>
          <w:highlight w:val="none"/>
          <w:lang w:val="en-US" w:eastAsia="zh-CN"/>
        </w:rPr>
        <w:t>付款前，卖方须开具合法、等额的发票，否则买方有权拒绝付款并无需承担违约责任。</w:t>
      </w:r>
    </w:p>
    <w:p w14:paraId="17688EBC">
      <w:pPr>
        <w:pStyle w:val="26"/>
        <w:spacing w:line="360" w:lineRule="auto"/>
        <w:jc w:val="left"/>
        <w:outlineLvl w:val="9"/>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5. 货物的</w:t>
      </w:r>
      <w:bookmarkEnd w:id="175"/>
      <w:bookmarkEnd w:id="176"/>
      <w:bookmarkEnd w:id="177"/>
      <w:bookmarkEnd w:id="178"/>
      <w:bookmarkEnd w:id="179"/>
      <w:r>
        <w:rPr>
          <w:rFonts w:hint="eastAsia" w:ascii="宋体" w:hAnsi="宋体" w:eastAsia="宋体" w:cs="宋体"/>
          <w:b/>
          <w:color w:val="auto"/>
          <w:szCs w:val="21"/>
          <w:highlight w:val="none"/>
        </w:rPr>
        <w:t>技术要求</w:t>
      </w:r>
    </w:p>
    <w:p w14:paraId="36F431CE">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应于验收后向</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提供验收报告、技术文档的归纳、整理、提交，并提供完整的技术资料。</w:t>
      </w:r>
    </w:p>
    <w:p w14:paraId="6F35F3BC">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2、技术文件：货物清单、产品合格证、使用说明、检测合格报告、完整的技术资料应随货物一起送到，未按要求送达视为虚假应标，按政府采购相关法律法规处理。</w:t>
      </w:r>
    </w:p>
    <w:p w14:paraId="6F4C80DD">
      <w:pPr>
        <w:pStyle w:val="26"/>
        <w:spacing w:line="360" w:lineRule="auto"/>
        <w:jc w:val="left"/>
        <w:outlineLvl w:val="9"/>
        <w:rPr>
          <w:rFonts w:hint="eastAsia" w:ascii="宋体" w:hAnsi="宋体" w:eastAsia="宋体" w:cs="宋体"/>
          <w:b/>
          <w:color w:val="auto"/>
          <w:szCs w:val="21"/>
          <w:highlight w:val="none"/>
        </w:rPr>
      </w:pPr>
      <w:bookmarkStart w:id="180" w:name="_Toc475521236"/>
      <w:bookmarkStart w:id="181" w:name="_Toc28103952"/>
      <w:bookmarkStart w:id="182" w:name="_Toc475521709"/>
      <w:bookmarkStart w:id="183" w:name="_Toc28104053"/>
      <w:bookmarkStart w:id="184" w:name="_Toc513820524"/>
      <w:r>
        <w:rPr>
          <w:rFonts w:hint="eastAsia" w:ascii="宋体" w:hAnsi="宋体" w:eastAsia="宋体" w:cs="宋体"/>
          <w:b/>
          <w:color w:val="auto"/>
          <w:szCs w:val="21"/>
          <w:highlight w:val="none"/>
        </w:rPr>
        <w:t>6. 知识产权</w:t>
      </w:r>
      <w:bookmarkEnd w:id="180"/>
      <w:bookmarkEnd w:id="181"/>
      <w:bookmarkEnd w:id="182"/>
      <w:bookmarkEnd w:id="183"/>
      <w:bookmarkEnd w:id="184"/>
      <w:r>
        <w:rPr>
          <w:rFonts w:hint="eastAsia" w:ascii="宋体" w:hAnsi="宋体" w:eastAsia="宋体" w:cs="宋体"/>
          <w:b/>
          <w:color w:val="auto"/>
          <w:szCs w:val="21"/>
          <w:highlight w:val="none"/>
        </w:rPr>
        <w:t>归属和处理方式</w:t>
      </w:r>
    </w:p>
    <w:p w14:paraId="0A98560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应保护</w:t>
      </w:r>
      <w:r>
        <w:rPr>
          <w:rFonts w:hint="eastAsia" w:ascii="宋体" w:hAnsi="宋体" w:eastAsia="宋体" w:cs="宋体"/>
          <w:color w:val="auto"/>
          <w:sz w:val="21"/>
          <w:szCs w:val="21"/>
          <w:highlight w:val="none"/>
          <w:lang w:val="en-US" w:eastAsia="zh-CN"/>
        </w:rPr>
        <w:t>买方</w:t>
      </w:r>
      <w:r>
        <w:rPr>
          <w:rFonts w:hint="eastAsia" w:ascii="宋体" w:hAnsi="宋体" w:eastAsia="宋体" w:cs="宋体"/>
          <w:color w:val="auto"/>
          <w:szCs w:val="21"/>
          <w:highlight w:val="none"/>
        </w:rPr>
        <w:t>在使用本服务或其任何一部分时不受因</w:t>
      </w:r>
      <w:r>
        <w:rPr>
          <w:rFonts w:hint="eastAsia" w:ascii="宋体" w:hAnsi="宋体" w:eastAsia="宋体" w:cs="宋体"/>
          <w:color w:val="auto"/>
          <w:szCs w:val="21"/>
          <w:highlight w:val="none"/>
          <w:lang w:eastAsia="zh-CN"/>
        </w:rPr>
        <w:t>卖</w:t>
      </w:r>
      <w:r>
        <w:rPr>
          <w:rFonts w:hint="eastAsia" w:ascii="宋体" w:hAnsi="宋体" w:eastAsia="宋体" w:cs="宋体"/>
          <w:color w:val="auto"/>
          <w:szCs w:val="21"/>
          <w:highlight w:val="none"/>
        </w:rPr>
        <w:t>方（中标方）造成的第三方提出侵犯专利权、商标权、著作权或其它知识产权起诉的指控。如果任何第三方提出由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导致的侵权指控，</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须与第三方交涉并承担可能发生的一切法律责任和费用</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若因此造成买方损失的，卖方赔偿买方全部损失</w:t>
      </w:r>
      <w:r>
        <w:rPr>
          <w:rFonts w:hint="eastAsia" w:ascii="宋体" w:hAnsi="宋体" w:eastAsia="宋体" w:cs="宋体"/>
          <w:color w:val="auto"/>
          <w:szCs w:val="21"/>
          <w:highlight w:val="none"/>
        </w:rPr>
        <w:t>。</w:t>
      </w:r>
    </w:p>
    <w:p w14:paraId="2A32C22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依本合同约定向</w:t>
      </w:r>
      <w:r>
        <w:rPr>
          <w:rFonts w:hint="eastAsia" w:ascii="宋体" w:hAnsi="宋体" w:eastAsia="宋体" w:cs="宋体"/>
          <w:color w:val="auto"/>
          <w:sz w:val="21"/>
          <w:szCs w:val="21"/>
          <w:highlight w:val="none"/>
          <w:lang w:val="en-US" w:eastAsia="zh-CN"/>
        </w:rPr>
        <w:t>买方</w:t>
      </w:r>
      <w:r>
        <w:rPr>
          <w:rFonts w:hint="eastAsia" w:ascii="宋体" w:hAnsi="宋体" w:eastAsia="宋体" w:cs="宋体"/>
          <w:color w:val="auto"/>
          <w:szCs w:val="21"/>
          <w:highlight w:val="none"/>
        </w:rPr>
        <w:t>提供的报告、资料、文件等内容及服务成果后，</w:t>
      </w:r>
      <w:r>
        <w:rPr>
          <w:rFonts w:hint="eastAsia" w:ascii="宋体" w:hAnsi="宋体" w:eastAsia="宋体" w:cs="宋体"/>
          <w:color w:val="auto"/>
          <w:sz w:val="21"/>
          <w:szCs w:val="21"/>
          <w:highlight w:val="none"/>
          <w:lang w:val="en-US" w:eastAsia="zh-CN"/>
        </w:rPr>
        <w:t>买方</w:t>
      </w:r>
      <w:r>
        <w:rPr>
          <w:rFonts w:hint="eastAsia" w:ascii="宋体" w:hAnsi="宋体" w:eastAsia="宋体" w:cs="宋体"/>
          <w:color w:val="auto"/>
          <w:szCs w:val="21"/>
          <w:highlight w:val="none"/>
        </w:rPr>
        <w:t>对上述内容享有充分、完整和排他的著作权和知识产权。未经</w:t>
      </w:r>
      <w:r>
        <w:rPr>
          <w:rFonts w:hint="eastAsia" w:ascii="宋体" w:hAnsi="宋体" w:eastAsia="宋体" w:cs="宋体"/>
          <w:color w:val="auto"/>
          <w:sz w:val="21"/>
          <w:szCs w:val="21"/>
          <w:highlight w:val="none"/>
          <w:lang w:val="en-US" w:eastAsia="zh-CN"/>
        </w:rPr>
        <w:t>买方</w:t>
      </w:r>
      <w:r>
        <w:rPr>
          <w:rFonts w:hint="eastAsia" w:ascii="宋体" w:hAnsi="宋体" w:eastAsia="宋体" w:cs="宋体"/>
          <w:color w:val="auto"/>
          <w:szCs w:val="21"/>
          <w:highlight w:val="none"/>
        </w:rPr>
        <w:t>书面许可，</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不得向任何第三方提供上述报告、资料、文件等内容及服务成果。</w:t>
      </w:r>
    </w:p>
    <w:p w14:paraId="55A5A48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服务人员应履行保密义务。如</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因违反本条约定给</w:t>
      </w:r>
      <w:r>
        <w:rPr>
          <w:rFonts w:hint="eastAsia" w:ascii="宋体" w:hAnsi="宋体" w:eastAsia="宋体" w:cs="宋体"/>
          <w:color w:val="auto"/>
          <w:sz w:val="21"/>
          <w:szCs w:val="21"/>
          <w:highlight w:val="none"/>
          <w:lang w:val="en-US" w:eastAsia="zh-CN"/>
        </w:rPr>
        <w:t>买方</w:t>
      </w:r>
      <w:r>
        <w:rPr>
          <w:rFonts w:hint="eastAsia" w:ascii="宋体" w:hAnsi="宋体" w:eastAsia="宋体" w:cs="宋体"/>
          <w:color w:val="auto"/>
          <w:szCs w:val="21"/>
          <w:highlight w:val="none"/>
        </w:rPr>
        <w:t>造成损失的，</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应当承担相应的法律责任，并赔偿由此给</w:t>
      </w:r>
      <w:r>
        <w:rPr>
          <w:rFonts w:hint="eastAsia" w:ascii="宋体" w:hAnsi="宋体" w:eastAsia="宋体" w:cs="宋体"/>
          <w:color w:val="auto"/>
          <w:sz w:val="21"/>
          <w:szCs w:val="21"/>
          <w:highlight w:val="none"/>
          <w:lang w:val="en-US" w:eastAsia="zh-CN"/>
        </w:rPr>
        <w:t>买方</w:t>
      </w:r>
      <w:r>
        <w:rPr>
          <w:rFonts w:hint="eastAsia" w:ascii="宋体" w:hAnsi="宋体" w:eastAsia="宋体" w:cs="宋体"/>
          <w:color w:val="auto"/>
          <w:szCs w:val="21"/>
          <w:highlight w:val="none"/>
        </w:rPr>
        <w:t>造成的一切损失。</w:t>
      </w:r>
    </w:p>
    <w:p w14:paraId="6A69AEE9">
      <w:pPr>
        <w:pStyle w:val="26"/>
        <w:spacing w:line="360" w:lineRule="auto"/>
        <w:jc w:val="left"/>
        <w:outlineLvl w:val="9"/>
        <w:rPr>
          <w:rFonts w:hint="eastAsia" w:ascii="宋体" w:hAnsi="宋体" w:eastAsia="宋体" w:cs="宋体"/>
          <w:b/>
          <w:color w:val="auto"/>
          <w:szCs w:val="21"/>
          <w:highlight w:val="none"/>
        </w:rPr>
      </w:pPr>
      <w:bookmarkStart w:id="185" w:name="_Toc513820526"/>
      <w:bookmarkStart w:id="186" w:name="_Toc28103954"/>
      <w:bookmarkStart w:id="187" w:name="_Toc475521238"/>
      <w:bookmarkStart w:id="188" w:name="_Toc475521711"/>
      <w:bookmarkStart w:id="189" w:name="_Toc28104055"/>
      <w:r>
        <w:rPr>
          <w:rFonts w:hint="eastAsia" w:ascii="宋体" w:hAnsi="宋体" w:eastAsia="宋体" w:cs="宋体"/>
          <w:b/>
          <w:color w:val="auto"/>
          <w:szCs w:val="21"/>
          <w:highlight w:val="none"/>
        </w:rPr>
        <w:t>7. 货物包装、运输、装卸和保险</w:t>
      </w:r>
      <w:bookmarkEnd w:id="185"/>
      <w:bookmarkEnd w:id="186"/>
      <w:bookmarkEnd w:id="187"/>
      <w:bookmarkEnd w:id="188"/>
      <w:bookmarkEnd w:id="189"/>
    </w:p>
    <w:p w14:paraId="5E6C49BD">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1、由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负责按国家相关标准进行产品包装且包装必须为制造商原厂包装，设备的包装均应有良好的防湿、防锈、防潮、防雨、防腐及防碰撞的措施，凡由于包装不良造成的损失和由此产生的费用均由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承担。</w:t>
      </w:r>
    </w:p>
    <w:p w14:paraId="44DD09BC">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负责将设备材料运抵交货地点过程中的全部运输费用，包括装卸车、货物现场的搬运。</w:t>
      </w:r>
    </w:p>
    <w:p w14:paraId="373D5E3E">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3、各种产品,</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提供装箱清单，按装箱清单验收货物。</w:t>
      </w:r>
    </w:p>
    <w:p w14:paraId="7839EACC">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4、货物在验收合格前的保险由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负责，</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负责其派出的现场服务人员人身意外保险。</w:t>
      </w:r>
    </w:p>
    <w:p w14:paraId="2E0601B4">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5、</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负责本单位与本项目有关人员的人身意外保险。货物在验收合格前的保险由</w:t>
      </w:r>
      <w:r>
        <w:rPr>
          <w:rFonts w:hint="eastAsia" w:hAnsi="宋体" w:cs="宋体"/>
          <w:color w:val="auto"/>
          <w:szCs w:val="21"/>
          <w:highlight w:val="none"/>
          <w:lang w:val="en-US" w:eastAsia="zh-CN"/>
        </w:rPr>
        <w:t>卖方</w:t>
      </w:r>
      <w:r>
        <w:rPr>
          <w:rFonts w:hint="eastAsia" w:ascii="宋体" w:hAnsi="宋体" w:eastAsia="宋体" w:cs="宋体"/>
          <w:color w:val="auto"/>
          <w:szCs w:val="21"/>
          <w:highlight w:val="none"/>
        </w:rPr>
        <w:t>负责。</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负责因自身原因引发的</w:t>
      </w:r>
      <w:r>
        <w:rPr>
          <w:rFonts w:hint="eastAsia" w:hAnsi="宋体" w:cs="宋体"/>
          <w:color w:val="auto"/>
          <w:szCs w:val="21"/>
          <w:highlight w:val="none"/>
          <w:lang w:val="en-US" w:eastAsia="zh-CN"/>
        </w:rPr>
        <w:t>包括工作人员及</w:t>
      </w:r>
      <w:r>
        <w:rPr>
          <w:rFonts w:hint="eastAsia" w:ascii="宋体" w:hAnsi="宋体" w:eastAsia="宋体" w:cs="宋体"/>
          <w:color w:val="auto"/>
          <w:szCs w:val="21"/>
          <w:highlight w:val="none"/>
        </w:rPr>
        <w:t>第三方</w:t>
      </w:r>
      <w:r>
        <w:rPr>
          <w:rFonts w:hint="eastAsia" w:hAnsi="宋体" w:cs="宋体"/>
          <w:color w:val="auto"/>
          <w:szCs w:val="21"/>
          <w:highlight w:val="none"/>
          <w:lang w:val="en-US" w:eastAsia="zh-CN"/>
        </w:rPr>
        <w:t>在内的</w:t>
      </w:r>
      <w:r>
        <w:rPr>
          <w:rFonts w:hint="eastAsia" w:ascii="宋体" w:hAnsi="宋体" w:eastAsia="宋体" w:cs="宋体"/>
          <w:color w:val="auto"/>
          <w:szCs w:val="21"/>
          <w:highlight w:val="none"/>
        </w:rPr>
        <w:t>人身伤害、伤亡和财产损失的赔偿</w:t>
      </w:r>
      <w:r>
        <w:rPr>
          <w:rFonts w:hint="eastAsia" w:hAnsi="宋体" w:cs="宋体"/>
          <w:color w:val="auto"/>
          <w:szCs w:val="21"/>
          <w:highlight w:val="none"/>
          <w:lang w:eastAsia="zh-CN"/>
        </w:rPr>
        <w:t>，</w:t>
      </w:r>
      <w:r>
        <w:rPr>
          <w:rFonts w:hint="eastAsia" w:hAnsi="宋体" w:cs="宋体"/>
          <w:color w:val="auto"/>
          <w:szCs w:val="21"/>
          <w:highlight w:val="none"/>
          <w:lang w:val="en-US" w:eastAsia="zh-CN"/>
        </w:rPr>
        <w:t>若因此造成买方损失的，卖方赔偿买方由此产生的全部损失</w:t>
      </w:r>
      <w:r>
        <w:rPr>
          <w:rFonts w:hint="eastAsia" w:ascii="宋体" w:hAnsi="宋体" w:eastAsia="宋体" w:cs="宋体"/>
          <w:color w:val="auto"/>
          <w:szCs w:val="21"/>
          <w:highlight w:val="none"/>
        </w:rPr>
        <w:t>。</w:t>
      </w:r>
    </w:p>
    <w:p w14:paraId="33C1DCB4">
      <w:pPr>
        <w:pStyle w:val="26"/>
        <w:spacing w:line="360" w:lineRule="auto"/>
        <w:jc w:val="left"/>
        <w:outlineLvl w:val="9"/>
        <w:rPr>
          <w:rFonts w:hint="eastAsia" w:ascii="宋体" w:hAnsi="宋体" w:eastAsia="宋体" w:cs="宋体"/>
          <w:b/>
          <w:color w:val="auto"/>
          <w:szCs w:val="21"/>
          <w:highlight w:val="none"/>
        </w:rPr>
      </w:pPr>
      <w:bookmarkStart w:id="190" w:name="_Toc475521719"/>
      <w:bookmarkStart w:id="191" w:name="_Toc28103962"/>
      <w:bookmarkStart w:id="192" w:name="_Toc475521246"/>
      <w:bookmarkStart w:id="193" w:name="_Toc28104063"/>
      <w:bookmarkStart w:id="194" w:name="_Toc513820534"/>
      <w:r>
        <w:rPr>
          <w:rFonts w:hint="eastAsia" w:ascii="宋体" w:hAnsi="宋体" w:eastAsia="宋体" w:cs="宋体"/>
          <w:b/>
          <w:color w:val="auto"/>
          <w:szCs w:val="21"/>
          <w:highlight w:val="none"/>
        </w:rPr>
        <w:t>8. 质量保证及售后服务</w:t>
      </w:r>
      <w:bookmarkEnd w:id="190"/>
      <w:bookmarkEnd w:id="191"/>
      <w:bookmarkEnd w:id="192"/>
      <w:bookmarkEnd w:id="193"/>
      <w:bookmarkEnd w:id="194"/>
    </w:p>
    <w:p w14:paraId="2CA5C4E8">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1、交货验收完毕后，</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有责任及时通告产品问题信息，并提供相应的解决措施，包括更换。对于</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在使用过程中发现的问题，</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要及时提供相应的解决方案，保障正常使用。</w:t>
      </w:r>
    </w:p>
    <w:p w14:paraId="76C38193">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需完全服从</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在质保期内的管理，积极提供质量保修服务，不得以任何理由拖延维修。质保期内根据</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要求对产品进行定期维护和巡检，并向</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提交固定巡检人员信息和巡检报告。质保期满后提供终身保修服务。产品若出现问题时提供以下形式的技术支持服务，一般故障12小时内处理完毕，特殊故障24小时内处理完毕：</w:t>
      </w:r>
    </w:p>
    <w:p w14:paraId="762EAD3C">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①电话咨询：接</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通知后1小时内，</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须为</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提供电话咨询的技术援助，解答用户在使用中遇到的问题，及时提出解决问题的建议和操作方法；</w:t>
      </w:r>
    </w:p>
    <w:p w14:paraId="31B3046E">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②线上服务：接</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通知后1小时内，</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须为采购人提供及时的线上咨询和技术支持服务的响应。通过线上多种方式进行技术援助，配合解决</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在使用中遇到的问题，及时提出解决问题的建议和操作方法；</w:t>
      </w:r>
    </w:p>
    <w:p w14:paraId="3A6D13CD">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③现场响应：自收到用户的服务请求起2小时内，若以上两种服务形式不能解决问题，</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应指派技术人员4小时内赶赴现场进行故障处理或到场维修。遇到重大技术问题，</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应及时组织有关技术专家进行技术会诊，并在24小时内采取相应措施以确保设备的正常运行。如现场不能解决问题的，免费提供备品备件供</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使用。如</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未在规定时间内解决问题，给</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造成损失的，</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须承担赔偿责任。质保期满后提供终身保修服务。响应速度同质保期内要求。</w:t>
      </w:r>
    </w:p>
    <w:p w14:paraId="501E1CB6">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3、交付后，</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应组织</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及相关人员进行培训，包括但不限于以下内容：</w:t>
      </w:r>
    </w:p>
    <w:p w14:paraId="4CAB4334">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（1）相关产品的使用、维护和保养等方法；（以使操作人员具备独立进行操作、故障处理、日常测试和维护保养等工作的能力为要求）。</w:t>
      </w:r>
    </w:p>
    <w:p w14:paraId="403600A0">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（2）相关产品的操作培训计划。</w:t>
      </w:r>
    </w:p>
    <w:p w14:paraId="2181AC74">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4、对于</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在使用过程中发现的问题，</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要及时提供相应的解决方案，保障正常使用。产品在用户使用的头三个月内，同一产品出现三次质量问题，</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应免费整机更换。</w:t>
      </w:r>
    </w:p>
    <w:p w14:paraId="5211946A">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5、质保期内及质保期满后均应按</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要求提供软硬件系统优化、功能升级和故障分析等服务，配合</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完成相关系统和平台对接工作，不再另计费用。</w:t>
      </w:r>
    </w:p>
    <w:p w14:paraId="59970958">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6、在质保期结束前，须由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和</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进行一次全面检查，任何缺陷必须由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负责修理，在修理之后，</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应将缺陷原因、修理内容、完成修理及恢复正常的时间和日期等报告给</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w:t>
      </w:r>
    </w:p>
    <w:p w14:paraId="3A856257">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应加强平台管理，按</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要求开展网络安全自查工作并及时整改。因</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过失导致的网络安全事件，相关损失与责任全部由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承担。</w:t>
      </w:r>
    </w:p>
    <w:p w14:paraId="089AD9A0">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8、</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须按</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要求按时提交系统完整数据库结构和相关技术文档，相关公共数据须符合</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数据交换标准。</w:t>
      </w:r>
    </w:p>
    <w:p w14:paraId="35282993">
      <w:pPr>
        <w:pStyle w:val="26"/>
        <w:spacing w:line="360" w:lineRule="auto"/>
        <w:jc w:val="left"/>
        <w:outlineLvl w:val="9"/>
        <w:rPr>
          <w:rFonts w:hint="eastAsia" w:ascii="宋体" w:hAnsi="宋体" w:eastAsia="宋体" w:cs="宋体"/>
          <w:b/>
          <w:color w:val="auto"/>
          <w:szCs w:val="21"/>
          <w:highlight w:val="none"/>
        </w:rPr>
      </w:pPr>
      <w:bookmarkStart w:id="195" w:name="_Toc475521729"/>
      <w:bookmarkStart w:id="196" w:name="_Toc28103972"/>
      <w:bookmarkStart w:id="197" w:name="_Toc513820544"/>
      <w:bookmarkStart w:id="198" w:name="_Toc28104073"/>
      <w:bookmarkStart w:id="199" w:name="_Toc475521256"/>
      <w:r>
        <w:rPr>
          <w:rFonts w:hint="eastAsia" w:ascii="宋体" w:hAnsi="宋体" w:eastAsia="宋体" w:cs="宋体"/>
          <w:b/>
          <w:color w:val="auto"/>
          <w:szCs w:val="21"/>
          <w:highlight w:val="none"/>
        </w:rPr>
        <w:t>9. 货物检验和技术服务</w:t>
      </w:r>
      <w:bookmarkEnd w:id="195"/>
      <w:bookmarkEnd w:id="196"/>
      <w:bookmarkEnd w:id="197"/>
      <w:bookmarkEnd w:id="198"/>
      <w:bookmarkEnd w:id="199"/>
    </w:p>
    <w:p w14:paraId="018900B1">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1、合同货物产品在</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送达、安装、调试完毕五日内，由</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按照合同货物参数及技术要求进行质量验收，并签署验收意见。对验收不合格的，</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应当无条件进行重新返修、更换，直至</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验收合格为止，所需费用由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自行承担，同时，</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应当承担相应违约责任。经</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催告，</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仍无法提供验收合格的货物的，</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有权解除合同并要求</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承担相应违约责任。</w:t>
      </w:r>
    </w:p>
    <w:p w14:paraId="5E5E0E61">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2、对已验收的货物，</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如发现存在潜在的质量问题，应书面形式在质量保证期内向</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提出异议，</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应当在收到异议后的十日内予以书面答复（十日内不书面答复的视为</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同意</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异议）。经确认存在质量问题且属于原厂家更换范畴的，</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应及时给予免费更换，并由</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重新组织验收。</w:t>
      </w:r>
    </w:p>
    <w:p w14:paraId="7D8CD487">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3、交付的货物数量和质量均符合本合同约定的，由</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和</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出具最终验收报告，但该报告不能免除</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对货物由于设计、工艺或材料的缺陷而产生的故障或质量问题应承担的责任。全部货物经</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验收合格后，货物的风险转移到</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，此前货物灭失、损坏等风险由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承担。</w:t>
      </w:r>
    </w:p>
    <w:p w14:paraId="58E7CC08">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4、本次采购货物产品如涉及地埋，</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必须负责全部的施工、地面恢复，地埋组件等，所有工作必须符合国家及行业标准。进行地埋等隐蔽工程施工时必须告知</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 xml:space="preserve">，并且进行施工现场的拍照。照片将作为使用单位的验收依据之一。 </w:t>
      </w:r>
    </w:p>
    <w:p w14:paraId="03745981">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 xml:space="preserve">5、交付验收标准：依次序对照适用标准为： </w:t>
      </w:r>
    </w:p>
    <w:p w14:paraId="1BD13E2C">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1) 符合中华人民共和国国家安全质量标准、环保标准或行业标准； </w:t>
      </w:r>
    </w:p>
    <w:p w14:paraId="61012E30">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2) 符合招标文件和响应承诺中采购人认可的合理最佳配置、参数及各项要求； </w:t>
      </w:r>
    </w:p>
    <w:p w14:paraId="074FDBF3">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3) 货物来源国官方标准。上述标准必须是有关官方机构发布的最新版本的标准； </w:t>
      </w:r>
    </w:p>
    <w:p w14:paraId="347037F3">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4) 如招标文件的技术要求或招标文件中承诺的技术要求，高于国家或行业标准，以高的标准进行验收。</w:t>
      </w:r>
    </w:p>
    <w:p w14:paraId="039587F2">
      <w:pPr>
        <w:pStyle w:val="26"/>
        <w:keepNext w:val="0"/>
        <w:keepLines w:val="0"/>
        <w:pageBreakBefore w:val="0"/>
        <w:widowControl w:val="0"/>
        <w:kinsoku/>
        <w:wordWrap/>
        <w:overflowPunct/>
        <w:topLinePunct w:val="0"/>
        <w:autoSpaceDE/>
        <w:autoSpaceDN/>
        <w:bidi w:val="0"/>
        <w:adjustRightInd/>
        <w:snapToGrid/>
        <w:spacing w:line="360" w:lineRule="auto"/>
        <w:ind w:firstLine="422" w:firstLineChars="200"/>
        <w:jc w:val="left"/>
        <w:textAlignment w:val="auto"/>
        <w:outlineLvl w:val="9"/>
        <w:rPr>
          <w:rFonts w:hint="eastAsia" w:ascii="宋体" w:hAnsi="宋体" w:eastAsia="宋体" w:cs="宋体"/>
          <w:b/>
          <w:color w:val="auto"/>
          <w:szCs w:val="21"/>
          <w:highlight w:val="none"/>
        </w:rPr>
      </w:pPr>
      <w:bookmarkStart w:id="200" w:name="_Toc475521263"/>
      <w:bookmarkStart w:id="201" w:name="_Toc475521736"/>
      <w:bookmarkStart w:id="202" w:name="_Toc28103976"/>
      <w:bookmarkStart w:id="203" w:name="_Toc513820548"/>
      <w:bookmarkStart w:id="204" w:name="_Toc28104077"/>
      <w:r>
        <w:rPr>
          <w:rFonts w:hint="eastAsia" w:ascii="宋体" w:hAnsi="宋体" w:eastAsia="宋体" w:cs="宋体"/>
          <w:b/>
          <w:color w:val="auto"/>
          <w:szCs w:val="21"/>
          <w:highlight w:val="none"/>
        </w:rPr>
        <w:t>9.</w:t>
      </w:r>
      <w:r>
        <w:rPr>
          <w:rFonts w:hint="eastAsia" w:ascii="宋体" w:hAnsi="宋体" w:eastAsia="宋体" w:cs="宋体"/>
          <w:b/>
          <w:color w:val="auto"/>
          <w:szCs w:val="21"/>
          <w:highlight w:val="none"/>
          <w:lang w:val="en-US" w:eastAsia="zh-CN"/>
        </w:rPr>
        <w:t>6</w:t>
      </w:r>
      <w:r>
        <w:rPr>
          <w:rFonts w:hint="eastAsia" w:ascii="宋体" w:hAnsi="宋体" w:eastAsia="宋体" w:cs="宋体"/>
          <w:b/>
          <w:color w:val="auto"/>
          <w:szCs w:val="21"/>
          <w:highlight w:val="none"/>
        </w:rPr>
        <w:t>到货货物应与投标技术描述相一致，否则买方将有权拒绝接收该批货物。</w:t>
      </w:r>
      <w:bookmarkEnd w:id="200"/>
      <w:bookmarkEnd w:id="201"/>
      <w:bookmarkEnd w:id="202"/>
      <w:bookmarkEnd w:id="203"/>
      <w:bookmarkEnd w:id="204"/>
    </w:p>
    <w:p w14:paraId="2EAE5281">
      <w:pPr>
        <w:pStyle w:val="26"/>
        <w:spacing w:line="360" w:lineRule="auto"/>
        <w:jc w:val="left"/>
        <w:outlineLvl w:val="9"/>
        <w:rPr>
          <w:rFonts w:hint="eastAsia" w:ascii="宋体" w:hAnsi="宋体" w:eastAsia="宋体" w:cs="宋体"/>
          <w:b/>
          <w:color w:val="auto"/>
          <w:szCs w:val="21"/>
          <w:highlight w:val="none"/>
        </w:rPr>
      </w:pPr>
      <w:bookmarkStart w:id="205" w:name="_Toc475521264"/>
      <w:bookmarkStart w:id="206" w:name="_Toc28104078"/>
      <w:bookmarkStart w:id="207" w:name="_Toc513820549"/>
      <w:bookmarkStart w:id="208" w:name="_Toc475521737"/>
      <w:bookmarkStart w:id="209" w:name="_Toc28103977"/>
      <w:r>
        <w:rPr>
          <w:rFonts w:hint="eastAsia" w:ascii="宋体" w:hAnsi="宋体" w:eastAsia="宋体" w:cs="宋体"/>
          <w:b/>
          <w:color w:val="auto"/>
          <w:szCs w:val="21"/>
          <w:highlight w:val="none"/>
        </w:rPr>
        <w:t>10. 技术文件和资料</w:t>
      </w:r>
      <w:bookmarkEnd w:id="205"/>
      <w:bookmarkEnd w:id="206"/>
      <w:bookmarkEnd w:id="207"/>
      <w:bookmarkEnd w:id="208"/>
      <w:bookmarkEnd w:id="209"/>
    </w:p>
    <w:p w14:paraId="57F8F2F3">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应于验收后向</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提供验收报告、技术文档的归纳、整理、提交，并提供完整的技术资料。</w:t>
      </w:r>
    </w:p>
    <w:p w14:paraId="0BDBC6E6">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2、技术文件：货物清单、产品合格证、使用说明、检测合格报告、完整的技术资料应随货物一起送到，未按要求送达视为虚假应标，按政府采购相关法律法规处理。</w:t>
      </w:r>
    </w:p>
    <w:p w14:paraId="27919FF2">
      <w:pPr>
        <w:pStyle w:val="26"/>
        <w:spacing w:line="360" w:lineRule="auto"/>
        <w:jc w:val="left"/>
        <w:outlineLvl w:val="9"/>
        <w:rPr>
          <w:rFonts w:hint="eastAsia" w:ascii="宋体" w:hAnsi="宋体" w:eastAsia="宋体" w:cs="宋体"/>
          <w:b/>
          <w:color w:val="auto"/>
          <w:szCs w:val="21"/>
          <w:highlight w:val="none"/>
        </w:rPr>
      </w:pPr>
      <w:bookmarkStart w:id="210" w:name="_Toc513820553"/>
      <w:bookmarkStart w:id="211" w:name="_Toc28103981"/>
      <w:bookmarkStart w:id="212" w:name="_Toc28104082"/>
      <w:bookmarkStart w:id="213" w:name="_Toc475521741"/>
      <w:bookmarkStart w:id="214" w:name="_Toc475521268"/>
      <w:r>
        <w:rPr>
          <w:rFonts w:hint="eastAsia" w:ascii="宋体" w:hAnsi="宋体" w:eastAsia="宋体" w:cs="宋体"/>
          <w:b/>
          <w:color w:val="auto"/>
          <w:szCs w:val="21"/>
          <w:highlight w:val="none"/>
        </w:rPr>
        <w:t>11. 合同变更</w:t>
      </w:r>
      <w:bookmarkEnd w:id="210"/>
      <w:bookmarkEnd w:id="211"/>
      <w:bookmarkEnd w:id="212"/>
      <w:bookmarkEnd w:id="213"/>
      <w:bookmarkEnd w:id="214"/>
    </w:p>
    <w:p w14:paraId="2DD60B6B">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215" w:name="_Toc28104083"/>
      <w:bookmarkStart w:id="216" w:name="_Toc475521742"/>
      <w:bookmarkStart w:id="217" w:name="_Toc513820554"/>
      <w:bookmarkStart w:id="218" w:name="_Toc475521269"/>
      <w:bookmarkStart w:id="219" w:name="_Toc28103982"/>
      <w:r>
        <w:rPr>
          <w:rFonts w:hint="eastAsia" w:ascii="宋体" w:hAnsi="宋体" w:eastAsia="宋体" w:cs="宋体"/>
          <w:color w:val="auto"/>
          <w:szCs w:val="21"/>
          <w:highlight w:val="none"/>
        </w:rPr>
        <w:t>11.1买卖双方的任何一方对合同内容提出修改，均应以书面形式通知对方，并达成由双方签署的合同修改书。</w:t>
      </w:r>
      <w:bookmarkEnd w:id="215"/>
      <w:bookmarkEnd w:id="216"/>
      <w:bookmarkEnd w:id="217"/>
      <w:bookmarkEnd w:id="218"/>
      <w:bookmarkEnd w:id="219"/>
    </w:p>
    <w:p w14:paraId="061F808E">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220" w:name="_Toc475521743"/>
      <w:bookmarkStart w:id="221" w:name="_Toc28104084"/>
      <w:bookmarkStart w:id="222" w:name="_Toc475521270"/>
      <w:bookmarkStart w:id="223" w:name="_Toc513820555"/>
      <w:bookmarkStart w:id="224" w:name="_Toc28103983"/>
      <w:r>
        <w:rPr>
          <w:rFonts w:hint="eastAsia" w:ascii="宋体" w:hAnsi="宋体" w:eastAsia="宋体" w:cs="宋体"/>
          <w:color w:val="auto"/>
          <w:szCs w:val="21"/>
          <w:highlight w:val="none"/>
        </w:rPr>
        <w:t>11.2除非买方对货物的型号、规格和涉及价格因素的技术参数和配套件提出修改，卖方不得对合同价格提出修改要求。</w:t>
      </w:r>
      <w:bookmarkEnd w:id="220"/>
      <w:bookmarkEnd w:id="221"/>
      <w:bookmarkEnd w:id="222"/>
      <w:bookmarkEnd w:id="223"/>
      <w:bookmarkEnd w:id="224"/>
    </w:p>
    <w:p w14:paraId="0724DB7C">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225" w:name="_Toc513820556"/>
      <w:bookmarkStart w:id="226" w:name="_Toc28104085"/>
      <w:bookmarkStart w:id="227" w:name="_Toc475521744"/>
      <w:bookmarkStart w:id="228" w:name="_Toc475521271"/>
      <w:bookmarkStart w:id="229" w:name="_Toc28103984"/>
      <w:r>
        <w:rPr>
          <w:rFonts w:hint="eastAsia" w:ascii="宋体" w:hAnsi="宋体" w:eastAsia="宋体" w:cs="宋体"/>
          <w:color w:val="auto"/>
          <w:szCs w:val="21"/>
          <w:highlight w:val="none"/>
        </w:rPr>
        <w:t>11.3买方因设计施工变更货物的型号规格及数量，卖方应承诺多退少补，并及时供货保证施工进度需要。</w:t>
      </w:r>
      <w:bookmarkEnd w:id="225"/>
      <w:bookmarkEnd w:id="226"/>
      <w:bookmarkEnd w:id="227"/>
      <w:bookmarkEnd w:id="228"/>
      <w:bookmarkEnd w:id="229"/>
    </w:p>
    <w:p w14:paraId="469D7811">
      <w:pPr>
        <w:pStyle w:val="26"/>
        <w:spacing w:line="360" w:lineRule="auto"/>
        <w:jc w:val="left"/>
        <w:outlineLvl w:val="9"/>
        <w:rPr>
          <w:rFonts w:hint="eastAsia" w:ascii="宋体" w:hAnsi="宋体" w:eastAsia="宋体" w:cs="宋体"/>
          <w:b/>
          <w:color w:val="auto"/>
          <w:szCs w:val="21"/>
          <w:highlight w:val="none"/>
        </w:rPr>
      </w:pPr>
      <w:bookmarkStart w:id="230" w:name="_Toc475521272"/>
      <w:bookmarkStart w:id="231" w:name="_Toc28103985"/>
      <w:bookmarkStart w:id="232" w:name="_Toc475521745"/>
      <w:bookmarkStart w:id="233" w:name="_Toc28104086"/>
      <w:bookmarkStart w:id="234" w:name="_Toc513820557"/>
      <w:r>
        <w:rPr>
          <w:rFonts w:hint="eastAsia" w:ascii="宋体" w:hAnsi="宋体" w:eastAsia="宋体" w:cs="宋体"/>
          <w:b/>
          <w:color w:val="auto"/>
          <w:szCs w:val="21"/>
          <w:highlight w:val="none"/>
        </w:rPr>
        <w:t>12. 违约责任</w:t>
      </w:r>
      <w:bookmarkEnd w:id="230"/>
      <w:bookmarkEnd w:id="231"/>
      <w:bookmarkEnd w:id="232"/>
      <w:bookmarkEnd w:id="233"/>
      <w:bookmarkEnd w:id="234"/>
    </w:p>
    <w:p w14:paraId="4504772B">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12.</w:t>
      </w:r>
      <w:r>
        <w:rPr>
          <w:rFonts w:hint="eastAsia" w:ascii="宋体" w:hAnsi="宋体" w:eastAsia="宋体" w:cs="宋体"/>
          <w:color w:val="auto"/>
          <w:szCs w:val="21"/>
          <w:highlight w:val="none"/>
        </w:rPr>
        <w:t>1、卖方须严格按照采购文件要求及投标文件进行履约，未按要求履约的，或因卖方原因服务质量及诚信要求达不到约定的标准，买方有权不对其进行验收，有权要求卖方支付合同金额10%的违约金，若该违约金不足以弥补买方实际损失的，卖方还应赔偿买方所有实际损失（包括但不限于买方本身的财产损失、由此而导致的买方对任何第三方的法律责任等），同时买方有权对卖方进行双倍罚款或解除合同。</w:t>
      </w:r>
    </w:p>
    <w:p w14:paraId="3C346666">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12.</w:t>
      </w:r>
      <w:r>
        <w:rPr>
          <w:rFonts w:hint="eastAsia" w:ascii="宋体" w:hAnsi="宋体" w:eastAsia="宋体" w:cs="宋体"/>
          <w:color w:val="auto"/>
          <w:szCs w:val="21"/>
          <w:highlight w:val="none"/>
        </w:rPr>
        <w:t>2、若非买方原因，卖方逾期签订合同或逾期交付的，买方有权要求卖方支付逾期违约金，逾期违约金为每天1000.00元人民币，但其最终累计金额不超过合同价款的10%；卖方必须按买方指定的时间和地点按时交货上门，产品或服务不符合买方要求的,买方有权拒绝收货，买方在收货后发现存在质量问题的，卖方必须在接到采购人通知之日起3日内负责免费调换至合格，同时买方有权要求卖方承担逾期交付的违约责任。</w:t>
      </w:r>
    </w:p>
    <w:p w14:paraId="185ED356">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12.</w:t>
      </w:r>
      <w:r>
        <w:rPr>
          <w:rFonts w:hint="eastAsia" w:ascii="宋体" w:hAnsi="宋体" w:eastAsia="宋体" w:cs="宋体"/>
          <w:color w:val="auto"/>
          <w:szCs w:val="21"/>
          <w:highlight w:val="none"/>
        </w:rPr>
        <w:t>3、本项目不得分包、转包。卖方将本项目违规转包或分包的，买方有权解除合同，卖方应向买方支付合同金额10%的违约金，给买方造成损失的还需另行赔偿买方损失。</w:t>
      </w:r>
    </w:p>
    <w:p w14:paraId="1B73B9E4">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12.</w:t>
      </w:r>
      <w:r>
        <w:rPr>
          <w:rFonts w:hint="eastAsia" w:ascii="宋体" w:hAnsi="宋体" w:eastAsia="宋体" w:cs="宋体"/>
          <w:color w:val="auto"/>
          <w:szCs w:val="21"/>
          <w:highlight w:val="none"/>
        </w:rPr>
        <w:t>4、供应商违约后，买方要求供应商继续履行合同的，卖方承担了违约责任后，仍应继续履行合同。</w:t>
      </w:r>
    </w:p>
    <w:p w14:paraId="01D3023E">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12.</w:t>
      </w:r>
      <w:r>
        <w:rPr>
          <w:rFonts w:hint="eastAsia" w:ascii="宋体" w:hAnsi="宋体" w:eastAsia="宋体" w:cs="宋体"/>
          <w:color w:val="auto"/>
          <w:szCs w:val="21"/>
          <w:highlight w:val="none"/>
        </w:rPr>
        <w:t>5、如因卖方工作人员在履行职务过程中的疏忽、失职、过错等故意或者过失原因给买方造成损失或侵害，包括但不限于买方本身的财产损失、由此而导致的采购人对任何第三方的法律责任等，卖方对此均应承担全部的赔偿责任。</w:t>
      </w:r>
    </w:p>
    <w:p w14:paraId="480EE6C6">
      <w:pPr>
        <w:pStyle w:val="26"/>
        <w:spacing w:line="360" w:lineRule="auto"/>
        <w:jc w:val="left"/>
        <w:outlineLvl w:val="9"/>
        <w:rPr>
          <w:rFonts w:hint="eastAsia" w:ascii="宋体" w:hAnsi="宋体" w:eastAsia="宋体" w:cs="宋体"/>
          <w:b/>
          <w:color w:val="auto"/>
          <w:szCs w:val="21"/>
          <w:highlight w:val="none"/>
        </w:rPr>
      </w:pPr>
      <w:bookmarkStart w:id="235" w:name="_Toc28103999"/>
      <w:bookmarkStart w:id="236" w:name="_Toc475521759"/>
      <w:bookmarkStart w:id="237" w:name="_Toc513820571"/>
      <w:bookmarkStart w:id="238" w:name="_Toc475521286"/>
      <w:bookmarkStart w:id="239" w:name="_Toc28104100"/>
      <w:r>
        <w:rPr>
          <w:rFonts w:hint="eastAsia" w:ascii="宋体" w:hAnsi="宋体" w:eastAsia="宋体" w:cs="宋体"/>
          <w:b/>
          <w:color w:val="auto"/>
          <w:szCs w:val="21"/>
          <w:highlight w:val="none"/>
        </w:rPr>
        <w:t>13. 合同纠纷解决方式</w:t>
      </w:r>
      <w:bookmarkEnd w:id="235"/>
      <w:bookmarkEnd w:id="236"/>
      <w:bookmarkEnd w:id="237"/>
      <w:bookmarkEnd w:id="238"/>
      <w:bookmarkEnd w:id="239"/>
    </w:p>
    <w:p w14:paraId="1B8538CF">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240" w:name="_Toc513820572"/>
      <w:bookmarkStart w:id="241" w:name="_Toc28104101"/>
      <w:bookmarkStart w:id="242" w:name="_Toc475521760"/>
      <w:bookmarkStart w:id="243" w:name="_Toc475521287"/>
      <w:bookmarkStart w:id="244" w:name="_Toc28104000"/>
      <w:r>
        <w:rPr>
          <w:rFonts w:hint="eastAsia" w:ascii="宋体" w:hAnsi="宋体" w:eastAsia="宋体" w:cs="宋体"/>
          <w:color w:val="auto"/>
          <w:szCs w:val="21"/>
          <w:highlight w:val="none"/>
        </w:rPr>
        <w:t>13.1凡有关本合同或执行本合同中发生的争端，买卖双方应通过友好协商，妥善解决。如通过协商仍不能解决时，可向</w:t>
      </w:r>
      <w:r>
        <w:rPr>
          <w:rFonts w:hint="eastAsia" w:ascii="宋体" w:hAnsi="宋体" w:eastAsia="宋体" w:cs="宋体"/>
          <w:color w:val="auto"/>
          <w:szCs w:val="21"/>
          <w:highlight w:val="none"/>
          <w:u w:val="single"/>
          <w:lang w:eastAsia="zh-CN"/>
        </w:rPr>
        <w:t>温州</w:t>
      </w:r>
      <w:r>
        <w:rPr>
          <w:rFonts w:hint="eastAsia" w:ascii="宋体" w:hAnsi="宋体" w:eastAsia="宋体" w:cs="宋体"/>
          <w:color w:val="auto"/>
          <w:szCs w:val="21"/>
          <w:highlight w:val="none"/>
          <w:u w:val="single"/>
        </w:rPr>
        <w:t>市</w:t>
      </w:r>
      <w:r>
        <w:rPr>
          <w:rFonts w:hint="eastAsia" w:hAnsi="宋体" w:cs="宋体"/>
          <w:color w:val="auto"/>
          <w:szCs w:val="21"/>
          <w:highlight w:val="none"/>
          <w:u w:val="single"/>
          <w:lang w:val="en-US" w:eastAsia="zh-CN"/>
        </w:rPr>
        <w:t>龙湾区</w:t>
      </w:r>
      <w:r>
        <w:rPr>
          <w:rFonts w:hint="eastAsia" w:ascii="宋体" w:hAnsi="宋体" w:eastAsia="宋体" w:cs="宋体"/>
          <w:color w:val="auto"/>
          <w:szCs w:val="21"/>
          <w:highlight w:val="none"/>
          <w:u w:val="single"/>
        </w:rPr>
        <w:t>人民法院</w:t>
      </w:r>
      <w:r>
        <w:rPr>
          <w:rFonts w:hint="eastAsia" w:ascii="宋体" w:hAnsi="宋体" w:eastAsia="宋体" w:cs="宋体"/>
          <w:color w:val="auto"/>
          <w:szCs w:val="21"/>
          <w:highlight w:val="none"/>
        </w:rPr>
        <w:t>起诉。</w:t>
      </w:r>
      <w:bookmarkEnd w:id="240"/>
      <w:bookmarkEnd w:id="241"/>
      <w:bookmarkEnd w:id="242"/>
      <w:bookmarkEnd w:id="243"/>
      <w:bookmarkEnd w:id="244"/>
    </w:p>
    <w:p w14:paraId="252EC909">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245" w:name="_Toc28104102"/>
      <w:bookmarkStart w:id="246" w:name="_Toc28104001"/>
      <w:bookmarkStart w:id="247" w:name="_Toc475521761"/>
      <w:bookmarkStart w:id="248" w:name="_Toc513820573"/>
      <w:bookmarkStart w:id="249" w:name="_Toc475521288"/>
      <w:r>
        <w:rPr>
          <w:rFonts w:hint="eastAsia" w:ascii="宋体" w:hAnsi="宋体" w:eastAsia="宋体" w:cs="宋体"/>
          <w:color w:val="auto"/>
          <w:szCs w:val="21"/>
          <w:highlight w:val="none"/>
        </w:rPr>
        <w:t>13.2诉讼费用除</w:t>
      </w:r>
      <w:r>
        <w:rPr>
          <w:rFonts w:hint="eastAsia" w:hAnsi="宋体" w:cs="宋体"/>
          <w:color w:val="auto"/>
          <w:szCs w:val="21"/>
          <w:highlight w:val="none"/>
          <w:lang w:val="en-US" w:eastAsia="zh-CN"/>
        </w:rPr>
        <w:t>人民法院</w:t>
      </w:r>
      <w:r>
        <w:rPr>
          <w:rFonts w:hint="eastAsia" w:ascii="宋体" w:hAnsi="宋体" w:eastAsia="宋体" w:cs="宋体"/>
          <w:color w:val="auto"/>
          <w:szCs w:val="21"/>
          <w:highlight w:val="none"/>
        </w:rPr>
        <w:t>另有</w:t>
      </w:r>
      <w:r>
        <w:rPr>
          <w:rFonts w:hint="eastAsia" w:hAnsi="宋体" w:cs="宋体"/>
          <w:color w:val="auto"/>
          <w:szCs w:val="21"/>
          <w:highlight w:val="none"/>
          <w:lang w:val="en-US" w:eastAsia="zh-CN"/>
        </w:rPr>
        <w:t>判</w:t>
      </w:r>
      <w:r>
        <w:rPr>
          <w:rFonts w:hint="eastAsia" w:ascii="宋体" w:hAnsi="宋体" w:eastAsia="宋体" w:cs="宋体"/>
          <w:color w:val="auto"/>
          <w:szCs w:val="21"/>
          <w:highlight w:val="none"/>
        </w:rPr>
        <w:t>决外，由败诉方承担。</w:t>
      </w:r>
      <w:bookmarkEnd w:id="245"/>
      <w:bookmarkEnd w:id="246"/>
      <w:bookmarkEnd w:id="247"/>
      <w:bookmarkEnd w:id="248"/>
      <w:bookmarkEnd w:id="249"/>
    </w:p>
    <w:p w14:paraId="5E535D45">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250" w:name="_Toc28104103"/>
      <w:bookmarkStart w:id="251" w:name="_Toc475521762"/>
      <w:bookmarkStart w:id="252" w:name="_Toc28104002"/>
      <w:bookmarkStart w:id="253" w:name="_Toc513820574"/>
      <w:bookmarkStart w:id="254" w:name="_Toc475521289"/>
      <w:r>
        <w:rPr>
          <w:rFonts w:hint="eastAsia" w:ascii="宋体" w:hAnsi="宋体" w:eastAsia="宋体" w:cs="宋体"/>
          <w:color w:val="auto"/>
          <w:szCs w:val="21"/>
          <w:highlight w:val="none"/>
        </w:rPr>
        <w:t>13.3在诉讼期间，除正在进行诉讼的部分外，本合同其他部分应继续执行。</w:t>
      </w:r>
      <w:bookmarkEnd w:id="250"/>
      <w:bookmarkEnd w:id="251"/>
      <w:bookmarkEnd w:id="252"/>
      <w:bookmarkEnd w:id="253"/>
      <w:bookmarkEnd w:id="254"/>
    </w:p>
    <w:p w14:paraId="2CE146E9">
      <w:pPr>
        <w:pStyle w:val="26"/>
        <w:spacing w:line="360" w:lineRule="auto"/>
        <w:jc w:val="left"/>
        <w:outlineLvl w:val="9"/>
        <w:rPr>
          <w:rFonts w:hint="eastAsia" w:ascii="宋体" w:hAnsi="宋体" w:eastAsia="宋体" w:cs="宋体"/>
          <w:b/>
          <w:color w:val="auto"/>
          <w:szCs w:val="21"/>
          <w:highlight w:val="none"/>
        </w:rPr>
      </w:pPr>
      <w:bookmarkStart w:id="255" w:name="_Toc475521290"/>
      <w:bookmarkStart w:id="256" w:name="_Toc475521763"/>
      <w:bookmarkStart w:id="257" w:name="_Toc28104003"/>
      <w:bookmarkStart w:id="258" w:name="_Toc28104104"/>
      <w:bookmarkStart w:id="259" w:name="_Toc513820575"/>
      <w:r>
        <w:rPr>
          <w:rFonts w:hint="eastAsia" w:ascii="宋体" w:hAnsi="宋体" w:eastAsia="宋体" w:cs="宋体"/>
          <w:b/>
          <w:color w:val="auto"/>
          <w:szCs w:val="21"/>
          <w:highlight w:val="none"/>
        </w:rPr>
        <w:t>14. 适用法律</w:t>
      </w:r>
      <w:bookmarkEnd w:id="255"/>
      <w:bookmarkEnd w:id="256"/>
      <w:bookmarkEnd w:id="257"/>
      <w:bookmarkEnd w:id="258"/>
      <w:bookmarkEnd w:id="259"/>
    </w:p>
    <w:p w14:paraId="2FF8B293">
      <w:pPr>
        <w:pStyle w:val="26"/>
        <w:spacing w:line="360" w:lineRule="auto"/>
        <w:ind w:firstLine="420" w:firstLineChars="200"/>
        <w:jc w:val="left"/>
        <w:outlineLvl w:val="9"/>
        <w:rPr>
          <w:rFonts w:hint="eastAsia" w:ascii="宋体" w:hAnsi="宋体" w:eastAsia="宋体" w:cs="宋体"/>
          <w:color w:val="auto"/>
          <w:szCs w:val="21"/>
          <w:highlight w:val="none"/>
        </w:rPr>
      </w:pPr>
      <w:bookmarkStart w:id="260" w:name="_Toc513820576"/>
      <w:bookmarkStart w:id="261" w:name="_Toc28104004"/>
      <w:bookmarkStart w:id="262" w:name="_Toc475521291"/>
      <w:bookmarkStart w:id="263" w:name="_Toc28104105"/>
      <w:bookmarkStart w:id="264" w:name="_Toc475521764"/>
      <w:r>
        <w:rPr>
          <w:rFonts w:hint="eastAsia" w:ascii="宋体" w:hAnsi="宋体" w:eastAsia="宋体" w:cs="宋体"/>
          <w:color w:val="auto"/>
          <w:szCs w:val="21"/>
          <w:highlight w:val="none"/>
        </w:rPr>
        <w:t>14.1本合同按照中华人民共和国的生效法律、法规和浙江省、温州市政府的规定进行解释。</w:t>
      </w:r>
      <w:bookmarkEnd w:id="260"/>
      <w:bookmarkEnd w:id="261"/>
      <w:bookmarkEnd w:id="262"/>
      <w:bookmarkEnd w:id="263"/>
      <w:bookmarkEnd w:id="264"/>
    </w:p>
    <w:p w14:paraId="458191AD">
      <w:pPr>
        <w:pStyle w:val="26"/>
        <w:spacing w:line="360" w:lineRule="auto"/>
        <w:jc w:val="left"/>
        <w:outlineLvl w:val="9"/>
        <w:rPr>
          <w:rFonts w:hint="eastAsia" w:ascii="宋体" w:hAnsi="宋体" w:eastAsia="宋体" w:cs="宋体"/>
          <w:b/>
          <w:color w:val="auto"/>
          <w:szCs w:val="21"/>
          <w:highlight w:val="none"/>
        </w:rPr>
      </w:pPr>
      <w:bookmarkStart w:id="265" w:name="_Toc28104106"/>
      <w:bookmarkStart w:id="266" w:name="_Toc475521292"/>
      <w:bookmarkStart w:id="267" w:name="_Toc28104005"/>
      <w:bookmarkStart w:id="268" w:name="_Toc513820577"/>
      <w:bookmarkStart w:id="269" w:name="_Toc475521765"/>
      <w:r>
        <w:rPr>
          <w:rFonts w:hint="eastAsia" w:ascii="宋体" w:hAnsi="宋体" w:eastAsia="宋体" w:cs="宋体"/>
          <w:b/>
          <w:color w:val="auto"/>
          <w:szCs w:val="21"/>
          <w:highlight w:val="none"/>
        </w:rPr>
        <w:t>15. 合同生效及其他</w:t>
      </w:r>
      <w:bookmarkEnd w:id="265"/>
      <w:bookmarkEnd w:id="266"/>
      <w:bookmarkEnd w:id="267"/>
      <w:bookmarkEnd w:id="268"/>
      <w:bookmarkEnd w:id="269"/>
    </w:p>
    <w:p w14:paraId="2C49296C">
      <w:pPr>
        <w:pStyle w:val="26"/>
        <w:spacing w:line="360" w:lineRule="auto"/>
        <w:ind w:firstLine="420" w:firstLineChars="200"/>
        <w:jc w:val="left"/>
        <w:outlineLvl w:val="9"/>
        <w:rPr>
          <w:rFonts w:hint="eastAsia" w:ascii="宋体" w:hAnsi="宋体" w:eastAsia="宋体" w:cs="宋体"/>
          <w:color w:val="auto"/>
          <w:szCs w:val="21"/>
          <w:highlight w:val="none"/>
        </w:rPr>
      </w:pPr>
      <w:bookmarkStart w:id="270" w:name="_Toc513820578"/>
      <w:bookmarkStart w:id="271" w:name="_Toc28104107"/>
      <w:bookmarkStart w:id="272" w:name="_Toc28104006"/>
      <w:bookmarkStart w:id="273" w:name="_Toc475521293"/>
      <w:bookmarkStart w:id="274" w:name="_Toc475521766"/>
      <w:r>
        <w:rPr>
          <w:rFonts w:hint="eastAsia" w:ascii="宋体" w:hAnsi="宋体" w:eastAsia="宋体" w:cs="宋体"/>
          <w:color w:val="auto"/>
          <w:szCs w:val="21"/>
          <w:highlight w:val="none"/>
        </w:rPr>
        <w:t>15.1合同应在双方签字盖公章后生效，招、投标文件、补充文件及询标答疑纪要作为本合同的附件，与本合同具有同等法律效力，解释顺序按时间逆序优先执行。</w:t>
      </w:r>
      <w:bookmarkEnd w:id="270"/>
      <w:bookmarkEnd w:id="271"/>
      <w:bookmarkEnd w:id="272"/>
      <w:bookmarkEnd w:id="273"/>
      <w:bookmarkEnd w:id="274"/>
    </w:p>
    <w:p w14:paraId="3B4A2098">
      <w:pPr>
        <w:pStyle w:val="26"/>
        <w:spacing w:line="360" w:lineRule="auto"/>
        <w:ind w:firstLine="420" w:firstLineChars="200"/>
        <w:jc w:val="left"/>
        <w:outlineLvl w:val="9"/>
        <w:rPr>
          <w:rFonts w:hint="eastAsia" w:ascii="宋体" w:hAnsi="宋体" w:eastAsia="宋体" w:cs="宋体"/>
          <w:color w:val="auto"/>
          <w:szCs w:val="21"/>
          <w:highlight w:val="none"/>
        </w:rPr>
      </w:pPr>
      <w:bookmarkStart w:id="275" w:name="_Toc475521767"/>
      <w:bookmarkStart w:id="276" w:name="_Toc475521294"/>
      <w:bookmarkStart w:id="277" w:name="_Toc513820579"/>
      <w:bookmarkStart w:id="278" w:name="_Toc28104108"/>
      <w:bookmarkStart w:id="279" w:name="_Toc28104007"/>
      <w:r>
        <w:rPr>
          <w:rFonts w:hint="eastAsia" w:ascii="宋体" w:hAnsi="宋体" w:eastAsia="宋体" w:cs="宋体"/>
          <w:color w:val="auto"/>
          <w:szCs w:val="21"/>
          <w:highlight w:val="none"/>
        </w:rPr>
        <w:t>15.2本合同共4份，买方执2份，卖方执2份，同等生效。</w:t>
      </w:r>
      <w:bookmarkEnd w:id="275"/>
      <w:bookmarkEnd w:id="276"/>
      <w:bookmarkEnd w:id="277"/>
      <w:bookmarkEnd w:id="278"/>
      <w:bookmarkEnd w:id="279"/>
    </w:p>
    <w:p w14:paraId="5F9B1E77">
      <w:pPr>
        <w:pStyle w:val="26"/>
        <w:spacing w:line="360" w:lineRule="auto"/>
        <w:jc w:val="left"/>
        <w:outlineLvl w:val="9"/>
        <w:rPr>
          <w:rFonts w:hint="eastAsia" w:ascii="宋体" w:hAnsi="宋体" w:eastAsia="宋体" w:cs="宋体"/>
          <w:color w:val="auto"/>
          <w:szCs w:val="21"/>
          <w:highlight w:val="none"/>
        </w:rPr>
      </w:pPr>
      <w:bookmarkStart w:id="280" w:name="_Toc475521295"/>
      <w:bookmarkStart w:id="281" w:name="_Toc28104008"/>
      <w:bookmarkStart w:id="282" w:name="_Toc513820580"/>
      <w:bookmarkStart w:id="283" w:name="_Toc28104109"/>
      <w:bookmarkStart w:id="284" w:name="_Toc475521768"/>
      <w:r>
        <w:rPr>
          <w:rFonts w:hint="eastAsia" w:ascii="宋体" w:hAnsi="宋体" w:eastAsia="宋体" w:cs="宋体"/>
          <w:b/>
          <w:bCs/>
          <w:color w:val="auto"/>
          <w:szCs w:val="21"/>
          <w:highlight w:val="none"/>
        </w:rPr>
        <w:t>16.</w:t>
      </w:r>
      <w:r>
        <w:rPr>
          <w:rFonts w:hint="eastAsia" w:ascii="宋体" w:hAnsi="宋体" w:eastAsia="宋体" w:cs="宋体"/>
          <w:color w:val="auto"/>
          <w:szCs w:val="21"/>
          <w:highlight w:val="none"/>
        </w:rPr>
        <w:t xml:space="preserve"> </w:t>
      </w:r>
      <w:r>
        <w:rPr>
          <w:rFonts w:hint="eastAsia" w:ascii="宋体" w:hAnsi="宋体" w:eastAsia="宋体" w:cs="宋体"/>
          <w:b/>
          <w:color w:val="auto"/>
          <w:szCs w:val="21"/>
          <w:highlight w:val="none"/>
        </w:rPr>
        <w:t>双方约定的其它事宜</w:t>
      </w:r>
      <w:r>
        <w:rPr>
          <w:rFonts w:hint="eastAsia" w:ascii="宋体" w:hAnsi="宋体" w:eastAsia="宋体" w:cs="宋体"/>
          <w:b/>
          <w:color w:val="auto"/>
          <w:szCs w:val="21"/>
          <w:highlight w:val="none"/>
          <w:u w:val="single"/>
        </w:rPr>
        <w:t xml:space="preserve">                                                      </w:t>
      </w:r>
      <w:r>
        <w:rPr>
          <w:rFonts w:hint="eastAsia" w:ascii="宋体" w:hAnsi="宋体" w:eastAsia="宋体" w:cs="宋体"/>
          <w:b/>
          <w:color w:val="auto"/>
          <w:szCs w:val="21"/>
          <w:highlight w:val="none"/>
        </w:rPr>
        <w:t xml:space="preserve"> 。</w:t>
      </w:r>
      <w:bookmarkEnd w:id="280"/>
      <w:bookmarkEnd w:id="281"/>
      <w:bookmarkEnd w:id="282"/>
      <w:bookmarkEnd w:id="283"/>
      <w:bookmarkEnd w:id="284"/>
    </w:p>
    <w:p w14:paraId="56AFD559">
      <w:pPr>
        <w:pStyle w:val="175"/>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买方（盖章） ：                           卖方（盖章）： </w:t>
      </w:r>
    </w:p>
    <w:p w14:paraId="199732CC">
      <w:pPr>
        <w:pStyle w:val="175"/>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法定代表人或授权委托人（签字）：           法定代表人或授权委托人（签字）：</w:t>
      </w:r>
    </w:p>
    <w:p w14:paraId="3B650000">
      <w:pPr>
        <w:pStyle w:val="175"/>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开户银行：                                开户银行：</w:t>
      </w:r>
    </w:p>
    <w:p w14:paraId="0ED5200A">
      <w:pPr>
        <w:pStyle w:val="175"/>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帐号：                                    帐号：</w:t>
      </w:r>
    </w:p>
    <w:p w14:paraId="63931A53">
      <w:pPr>
        <w:pStyle w:val="175"/>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                                  联系人：</w:t>
      </w:r>
    </w:p>
    <w:p w14:paraId="3014A490">
      <w:pPr>
        <w:pStyle w:val="175"/>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联系电话：                                联系电话：</w:t>
      </w:r>
    </w:p>
    <w:p w14:paraId="0538F58E">
      <w:pPr>
        <w:pStyle w:val="175"/>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签约日期：                                签约日期：</w:t>
      </w:r>
    </w:p>
    <w:p w14:paraId="4DEB5E5B">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highlight w:val="none"/>
        </w:rPr>
        <w:t>注：本合同作为示范文本（含廉政承诺书（必须提供）），具体以中标人与采购人所签定正式合同为准。</w:t>
      </w:r>
    </w:p>
    <w:p w14:paraId="6291012D">
      <w:pPr>
        <w:rPr>
          <w:rFonts w:hint="eastAsia" w:ascii="宋体" w:hAnsi="宋体" w:eastAsia="宋体" w:cs="宋体"/>
          <w:color w:val="auto"/>
          <w:szCs w:val="21"/>
          <w:highlight w:val="none"/>
        </w:rPr>
      </w:pPr>
    </w:p>
    <w:p w14:paraId="1AC05CEC">
      <w:pPr>
        <w:snapToGrid w:val="0"/>
        <w:spacing w:line="360" w:lineRule="exact"/>
        <w:ind w:firstLine="211" w:firstLineChars="100"/>
        <w:jc w:val="center"/>
        <w:rPr>
          <w:rFonts w:hint="eastAsia" w:ascii="宋体" w:hAnsi="宋体" w:eastAsia="宋体" w:cs="宋体"/>
          <w:b/>
          <w:bCs/>
          <w:color w:val="auto"/>
          <w:kern w:val="24"/>
          <w:sz w:val="28"/>
          <w:szCs w:val="28"/>
          <w:highlight w:val="none"/>
        </w:rPr>
      </w:pPr>
      <w:r>
        <w:rPr>
          <w:rFonts w:hint="eastAsia" w:ascii="宋体" w:hAnsi="宋体" w:eastAsia="宋体" w:cs="宋体"/>
          <w:b/>
          <w:bCs/>
          <w:color w:val="auto"/>
          <w:szCs w:val="28"/>
          <w:highlight w:val="none"/>
        </w:rPr>
        <w:br w:type="page"/>
      </w:r>
      <w:r>
        <w:rPr>
          <w:rFonts w:hint="eastAsia" w:ascii="宋体" w:hAnsi="宋体" w:eastAsia="宋体" w:cs="宋体"/>
          <w:b/>
          <w:bCs/>
          <w:color w:val="auto"/>
          <w:kern w:val="24"/>
          <w:sz w:val="28"/>
          <w:szCs w:val="28"/>
          <w:highlight w:val="none"/>
        </w:rPr>
        <w:t>廉政承诺书</w:t>
      </w:r>
    </w:p>
    <w:p w14:paraId="4099EF9E">
      <w:pPr>
        <w:spacing w:line="5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温州瓯瓷产业发展有限公司</w:t>
      </w:r>
      <w:r>
        <w:rPr>
          <w:rFonts w:hint="eastAsia" w:ascii="宋体" w:hAnsi="宋体" w:eastAsia="宋体" w:cs="宋体"/>
          <w:color w:val="auto"/>
          <w:szCs w:val="21"/>
          <w:highlight w:val="none"/>
        </w:rPr>
        <w:t>：</w:t>
      </w:r>
    </w:p>
    <w:p w14:paraId="1F001178">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根据国家反腐倡廉精神要求，以及</w:t>
      </w:r>
      <w:r>
        <w:rPr>
          <w:rFonts w:hint="eastAsia" w:ascii="宋体" w:hAnsi="宋体" w:eastAsia="宋体" w:cs="宋体"/>
          <w:color w:val="auto"/>
          <w:szCs w:val="21"/>
          <w:highlight w:val="none"/>
          <w:lang w:eastAsia="zh-CN"/>
        </w:rPr>
        <w:t>温州瓯瓷产业发展有限公司</w:t>
      </w:r>
      <w:r>
        <w:rPr>
          <w:rFonts w:hint="eastAsia" w:ascii="宋体" w:hAnsi="宋体" w:eastAsia="宋体" w:cs="宋体"/>
          <w:color w:val="auto"/>
          <w:szCs w:val="21"/>
          <w:highlight w:val="none"/>
        </w:rPr>
        <w:t>有关工程建设、廉政建设规定，我向</w:t>
      </w:r>
      <w:r>
        <w:rPr>
          <w:rFonts w:hint="eastAsia" w:ascii="宋体" w:hAnsi="宋体" w:eastAsia="宋体" w:cs="宋体"/>
          <w:color w:val="auto"/>
          <w:szCs w:val="21"/>
          <w:highlight w:val="none"/>
          <w:lang w:eastAsia="zh-CN"/>
        </w:rPr>
        <w:t>温州瓯瓷产业发展有限公司</w:t>
      </w:r>
      <w:r>
        <w:rPr>
          <w:rFonts w:hint="eastAsia" w:ascii="宋体" w:hAnsi="宋体" w:eastAsia="宋体" w:cs="宋体"/>
          <w:color w:val="auto"/>
          <w:szCs w:val="21"/>
          <w:highlight w:val="none"/>
        </w:rPr>
        <w:t>作出郑重的廉政承诺：</w:t>
      </w:r>
    </w:p>
    <w:p w14:paraId="574D80D1">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1、严格遵守</w:t>
      </w:r>
      <w:r>
        <w:rPr>
          <w:rFonts w:hint="eastAsia" w:ascii="宋体" w:hAnsi="宋体" w:eastAsia="宋体" w:cs="宋体"/>
          <w:color w:val="auto"/>
          <w:szCs w:val="21"/>
          <w:highlight w:val="none"/>
          <w:lang w:eastAsia="zh-CN"/>
        </w:rPr>
        <w:t>温州瓯瓷产业发展有限公司</w:t>
      </w:r>
      <w:r>
        <w:rPr>
          <w:rFonts w:hint="eastAsia" w:ascii="宋体" w:hAnsi="宋体" w:eastAsia="宋体" w:cs="宋体"/>
          <w:color w:val="auto"/>
          <w:szCs w:val="21"/>
          <w:highlight w:val="none"/>
        </w:rPr>
        <w:t>及各下属公司招投标、廉政建设相关制度，管理好本单位工作人员，诚实做人，诚信做事。</w:t>
      </w:r>
    </w:p>
    <w:p w14:paraId="3BFBCC36">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不向业主单位管理人员行贿；不邀请业主单位管理人员参股或搭暗股；不向业主单位管理人员送礼金（品）、送回扣、送验收（评审）红包、送有价证券等物品；不宴请业主单位管理人员和安排健身、娱乐活动；不向业主单位管理人员提供通讯工具、交通工具等。</w:t>
      </w:r>
    </w:p>
    <w:p w14:paraId="70FFB6A5">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不参加业主单位管理人员（或家人）的婚丧嫁娶等活动，拒绝业主单位管理人员个人提供的材料设备、工程分包、劳务等经济活动要求，拒绝业主单位管理人员有关工作安插要求，不向业主单位管理人员提供各类长短途旅游等休闲活动。</w:t>
      </w:r>
    </w:p>
    <w:p w14:paraId="64B6C795">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4、保证在工程建设中以设备质量、工程质量为重，积极配合业主单位和监理单位，保质保量完成设备安装、工程建设，承诺在设备供应和工程建设中的所作所为能经受历史的检验并终身负责。  </w:t>
      </w:r>
    </w:p>
    <w:p w14:paraId="1276B770">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以上承诺如有违反，本人自愿接受党纪、政纪处理及</w:t>
      </w:r>
      <w:r>
        <w:rPr>
          <w:rFonts w:hint="eastAsia" w:ascii="宋体" w:hAnsi="宋体" w:eastAsia="宋体" w:cs="宋体"/>
          <w:color w:val="auto"/>
          <w:szCs w:val="21"/>
          <w:highlight w:val="none"/>
          <w:lang w:eastAsia="zh-CN"/>
        </w:rPr>
        <w:t>温州瓯瓷产业发展有限公司</w:t>
      </w:r>
      <w:r>
        <w:rPr>
          <w:rFonts w:hint="eastAsia" w:ascii="宋体" w:hAnsi="宋体" w:eastAsia="宋体" w:cs="宋体"/>
          <w:color w:val="auto"/>
          <w:szCs w:val="21"/>
          <w:highlight w:val="none"/>
        </w:rPr>
        <w:t xml:space="preserve">管理制度处置，甚至法律制裁。  </w:t>
      </w:r>
    </w:p>
    <w:p w14:paraId="7E63BFF4">
      <w:pPr>
        <w:spacing w:line="520" w:lineRule="exact"/>
        <w:ind w:right="-316"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特此承诺。                               </w:t>
      </w:r>
    </w:p>
    <w:p w14:paraId="1F248147">
      <w:pPr>
        <w:spacing w:line="520" w:lineRule="exact"/>
        <w:ind w:right="-316" w:firstLine="3360" w:firstLineChars="16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承诺人：            （签字）</w:t>
      </w:r>
    </w:p>
    <w:p w14:paraId="525C8B01">
      <w:pPr>
        <w:spacing w:line="520" w:lineRule="exact"/>
        <w:ind w:firstLine="3360" w:firstLineChars="16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时 间：</w:t>
      </w:r>
    </w:p>
    <w:p w14:paraId="46CB2E04">
      <w:pPr>
        <w:rPr>
          <w:rFonts w:hint="eastAsia" w:ascii="宋体" w:hAnsi="宋体" w:eastAsia="宋体" w:cs="宋体"/>
          <w:color w:val="auto"/>
          <w:szCs w:val="21"/>
          <w:highlight w:val="none"/>
        </w:rPr>
      </w:pPr>
    </w:p>
    <w:p w14:paraId="6AD8EAC4">
      <w:pPr>
        <w:rPr>
          <w:rFonts w:hint="eastAsia" w:ascii="宋体" w:hAnsi="宋体" w:eastAsia="宋体" w:cs="宋体"/>
          <w:color w:val="auto"/>
          <w:szCs w:val="21"/>
          <w:highlight w:val="none"/>
        </w:rPr>
      </w:pPr>
    </w:p>
    <w:p w14:paraId="4F0629FF">
      <w:pPr>
        <w:snapToGrid w:val="0"/>
        <w:spacing w:before="120" w:beforeLines="50" w:after="120" w:afterLines="50"/>
        <w:rPr>
          <w:rFonts w:hint="eastAsia" w:ascii="宋体" w:hAnsi="宋体" w:eastAsia="宋体" w:cs="宋体"/>
          <w:color w:val="auto"/>
          <w:highlight w:val="none"/>
        </w:rPr>
      </w:pPr>
      <w:r>
        <w:rPr>
          <w:rFonts w:hint="eastAsia" w:ascii="宋体" w:hAnsi="宋体" w:eastAsia="宋体" w:cs="宋体"/>
          <w:color w:val="auto"/>
          <w:szCs w:val="21"/>
          <w:highlight w:val="none"/>
        </w:rPr>
        <w:t>（本承诺书一式两份，本人与</w:t>
      </w:r>
      <w:r>
        <w:rPr>
          <w:rFonts w:hint="eastAsia" w:ascii="宋体" w:hAnsi="宋体" w:eastAsia="宋体" w:cs="宋体"/>
          <w:color w:val="auto"/>
          <w:szCs w:val="21"/>
          <w:highlight w:val="none"/>
          <w:lang w:eastAsia="zh-CN"/>
        </w:rPr>
        <w:t>温州瓯瓷产业发展有限公司</w:t>
      </w:r>
      <w:r>
        <w:rPr>
          <w:rFonts w:hint="eastAsia" w:ascii="宋体" w:hAnsi="宋体" w:eastAsia="宋体" w:cs="宋体"/>
          <w:color w:val="auto"/>
          <w:szCs w:val="21"/>
          <w:highlight w:val="none"/>
        </w:rPr>
        <w:t>各存1份）</w:t>
      </w:r>
    </w:p>
    <w:p w14:paraId="635E83D5">
      <w:pPr>
        <w:snapToGrid w:val="0"/>
        <w:spacing w:line="360" w:lineRule="auto"/>
        <w:ind w:firstLine="211" w:firstLineChars="100"/>
        <w:rPr>
          <w:rFonts w:hint="eastAsia" w:ascii="宋体" w:hAnsi="宋体" w:eastAsia="宋体" w:cs="宋体"/>
          <w:b/>
          <w:color w:val="auto"/>
          <w:szCs w:val="21"/>
          <w:highlight w:val="none"/>
        </w:rPr>
      </w:pPr>
    </w:p>
    <w:p w14:paraId="4DD0667F">
      <w:pPr>
        <w:snapToGrid w:val="0"/>
        <w:spacing w:line="360" w:lineRule="auto"/>
        <w:ind w:firstLine="211" w:firstLineChars="100"/>
        <w:rPr>
          <w:rFonts w:hint="eastAsia" w:ascii="宋体" w:hAnsi="宋体" w:eastAsia="宋体" w:cs="宋体"/>
          <w:b/>
          <w:color w:val="auto"/>
          <w:szCs w:val="21"/>
          <w:highlight w:val="none"/>
        </w:rPr>
      </w:pPr>
    </w:p>
    <w:p w14:paraId="7B9CE88D">
      <w:pPr>
        <w:snapToGrid w:val="0"/>
        <w:spacing w:line="360" w:lineRule="auto"/>
        <w:ind w:firstLine="211" w:firstLineChars="100"/>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注：本合同作为示范文本（含廉政承诺书（必须提供），具体以中标人与</w:t>
      </w:r>
      <w:r>
        <w:rPr>
          <w:rFonts w:hint="eastAsia" w:ascii="宋体" w:hAnsi="宋体" w:eastAsia="宋体" w:cs="宋体"/>
          <w:b/>
          <w:color w:val="auto"/>
          <w:szCs w:val="21"/>
          <w:highlight w:val="none"/>
          <w:lang w:eastAsia="zh-CN"/>
        </w:rPr>
        <w:t>采购人</w:t>
      </w:r>
      <w:r>
        <w:rPr>
          <w:rFonts w:hint="eastAsia" w:ascii="宋体" w:hAnsi="宋体" w:eastAsia="宋体" w:cs="宋体"/>
          <w:b/>
          <w:color w:val="auto"/>
          <w:szCs w:val="21"/>
          <w:highlight w:val="none"/>
        </w:rPr>
        <w:t>所签定正式合同为准。</w:t>
      </w:r>
    </w:p>
    <w:p w14:paraId="235F1B40">
      <w:pPr>
        <w:pStyle w:val="20"/>
        <w:spacing w:after="50" w:line="360" w:lineRule="auto"/>
        <w:ind w:firstLine="0"/>
        <w:jc w:val="both"/>
        <w:outlineLvl w:val="9"/>
        <w:rPr>
          <w:rFonts w:hint="eastAsia" w:ascii="宋体" w:hAnsi="宋体" w:eastAsia="宋体" w:cs="宋体"/>
          <w:b/>
          <w:bCs/>
          <w:color w:val="auto"/>
          <w:szCs w:val="28"/>
          <w:highlight w:val="none"/>
        </w:rPr>
      </w:pPr>
    </w:p>
    <w:p w14:paraId="1F01A2FC">
      <w:pPr>
        <w:pStyle w:val="20"/>
        <w:spacing w:after="50" w:line="360" w:lineRule="auto"/>
        <w:ind w:firstLine="0"/>
        <w:jc w:val="both"/>
        <w:outlineLvl w:val="9"/>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br w:type="page"/>
      </w:r>
    </w:p>
    <w:p w14:paraId="463F5AA1">
      <w:pPr>
        <w:pStyle w:val="20"/>
        <w:spacing w:after="50" w:line="360" w:lineRule="auto"/>
        <w:ind w:firstLine="0"/>
        <w:jc w:val="center"/>
        <w:outlineLvl w:val="0"/>
        <w:rPr>
          <w:rFonts w:hint="eastAsia" w:ascii="宋体" w:hAnsi="宋体" w:eastAsia="宋体" w:cs="宋体"/>
          <w:b/>
          <w:bCs/>
          <w:color w:val="auto"/>
          <w:sz w:val="36"/>
          <w:highlight w:val="none"/>
        </w:rPr>
      </w:pPr>
      <w:bookmarkStart w:id="285" w:name="_Toc816"/>
      <w:r>
        <w:rPr>
          <w:rFonts w:hint="eastAsia" w:ascii="宋体" w:hAnsi="宋体" w:eastAsia="宋体" w:cs="宋体"/>
          <w:b/>
          <w:bCs/>
          <w:color w:val="auto"/>
          <w:szCs w:val="28"/>
          <w:highlight w:val="none"/>
        </w:rPr>
        <w:t>第五部分  投标文件格式</w:t>
      </w:r>
      <w:bookmarkEnd w:id="75"/>
      <w:bookmarkEnd w:id="76"/>
      <w:bookmarkEnd w:id="285"/>
    </w:p>
    <w:p w14:paraId="389B6B35">
      <w:pPr>
        <w:numPr>
          <w:ilvl w:val="0"/>
          <w:numId w:val="0"/>
        </w:numPr>
        <w:tabs>
          <w:tab w:val="left" w:pos="5106"/>
        </w:tabs>
        <w:spacing w:after="312" w:afterLines="100" w:line="400" w:lineRule="exact"/>
        <w:jc w:val="center"/>
        <w:outlineLvl w:val="1"/>
        <w:rPr>
          <w:rFonts w:hint="eastAsia" w:ascii="宋体" w:hAnsi="宋体" w:eastAsia="宋体" w:cs="宋体"/>
          <w:b/>
          <w:bCs/>
          <w:color w:val="auto"/>
          <w:sz w:val="28"/>
          <w:szCs w:val="36"/>
          <w:highlight w:val="none"/>
        </w:rPr>
      </w:pPr>
      <w:bookmarkStart w:id="286" w:name="_Toc11753"/>
      <w:bookmarkStart w:id="287" w:name="_Toc29280"/>
      <w:bookmarkStart w:id="288" w:name="_Toc29924"/>
      <w:r>
        <w:rPr>
          <w:rFonts w:hint="eastAsia" w:ascii="宋体" w:hAnsi="宋体" w:eastAsia="宋体" w:cs="宋体"/>
          <w:b/>
          <w:bCs/>
          <w:color w:val="auto"/>
          <w:sz w:val="28"/>
          <w:szCs w:val="36"/>
          <w:highlight w:val="none"/>
        </w:rPr>
        <w:t>附件</w:t>
      </w:r>
      <w:r>
        <w:rPr>
          <w:rFonts w:hint="eastAsia" w:ascii="宋体" w:hAnsi="宋体" w:eastAsia="宋体" w:cs="宋体"/>
          <w:b/>
          <w:bCs/>
          <w:color w:val="auto"/>
          <w:sz w:val="28"/>
          <w:szCs w:val="36"/>
          <w:highlight w:val="none"/>
          <w:lang w:val="en-US" w:eastAsia="zh-CN"/>
        </w:rPr>
        <w:t>1</w:t>
      </w:r>
      <w:r>
        <w:rPr>
          <w:rFonts w:hint="eastAsia" w:ascii="宋体" w:hAnsi="宋体" w:eastAsia="宋体" w:cs="宋体"/>
          <w:b/>
          <w:bCs/>
          <w:color w:val="auto"/>
          <w:sz w:val="28"/>
          <w:szCs w:val="36"/>
          <w:highlight w:val="none"/>
        </w:rPr>
        <w:t xml:space="preserve">  资格</w:t>
      </w:r>
      <w:r>
        <w:rPr>
          <w:rFonts w:hint="eastAsia" w:ascii="宋体" w:hAnsi="宋体" w:eastAsia="宋体" w:cs="宋体"/>
          <w:b/>
          <w:bCs/>
          <w:color w:val="auto"/>
          <w:sz w:val="28"/>
          <w:szCs w:val="36"/>
          <w:highlight w:val="none"/>
          <w:lang w:val="en-US" w:eastAsia="zh-CN"/>
        </w:rPr>
        <w:t>审查</w:t>
      </w:r>
      <w:r>
        <w:rPr>
          <w:rFonts w:hint="eastAsia" w:ascii="宋体" w:hAnsi="宋体" w:eastAsia="宋体" w:cs="宋体"/>
          <w:b/>
          <w:bCs/>
          <w:color w:val="auto"/>
          <w:sz w:val="28"/>
          <w:szCs w:val="36"/>
          <w:highlight w:val="none"/>
        </w:rPr>
        <w:t>文件</w:t>
      </w:r>
      <w:bookmarkEnd w:id="286"/>
      <w:bookmarkEnd w:id="287"/>
      <w:bookmarkEnd w:id="288"/>
    </w:p>
    <w:p w14:paraId="23BF6E6A">
      <w:pPr>
        <w:rPr>
          <w:rFonts w:hint="eastAsia" w:ascii="宋体" w:hAnsi="宋体" w:eastAsia="宋体" w:cs="宋体"/>
          <w:color w:val="auto"/>
          <w:highlight w:val="none"/>
          <w:lang w:val="en-US" w:eastAsia="zh-CN"/>
        </w:rPr>
      </w:pPr>
      <w:r>
        <w:rPr>
          <w:rFonts w:hint="eastAsia" w:ascii="宋体" w:hAnsi="宋体" w:eastAsia="宋体" w:cs="宋体"/>
          <w:b/>
          <w:color w:val="auto"/>
          <w:szCs w:val="22"/>
          <w:highlight w:val="none"/>
        </w:rPr>
        <w:t>包括但不限</w:t>
      </w:r>
      <w:r>
        <w:rPr>
          <w:rFonts w:hint="eastAsia" w:ascii="宋体" w:hAnsi="宋体" w:eastAsia="宋体" w:cs="宋体"/>
          <w:b/>
          <w:color w:val="auto"/>
          <w:szCs w:val="22"/>
          <w:highlight w:val="none"/>
          <w:lang w:val="en-US" w:eastAsia="zh-CN"/>
        </w:rPr>
        <w:t>于：</w:t>
      </w:r>
    </w:p>
    <w:p w14:paraId="59151B89">
      <w:pPr>
        <w:numPr>
          <w:ilvl w:val="0"/>
          <w:numId w:val="17"/>
        </w:numPr>
        <w:snapToGrid w:val="0"/>
        <w:spacing w:line="360" w:lineRule="exact"/>
        <w:ind w:firstLine="840" w:firstLineChars="400"/>
        <w:rPr>
          <w:rFonts w:hint="eastAsia" w:ascii="宋体" w:hAnsi="宋体" w:eastAsia="宋体" w:cs="宋体"/>
          <w:bCs/>
          <w:color w:val="auto"/>
          <w:szCs w:val="22"/>
          <w:highlight w:val="none"/>
        </w:rPr>
      </w:pPr>
      <w:r>
        <w:rPr>
          <w:rFonts w:hint="eastAsia" w:ascii="宋体" w:hAnsi="宋体" w:eastAsia="宋体" w:cs="宋体"/>
          <w:bCs/>
          <w:color w:val="auto"/>
          <w:szCs w:val="22"/>
          <w:highlight w:val="none"/>
          <w:lang w:eastAsia="zh-CN"/>
        </w:rPr>
        <w:t>投标供应商</w:t>
      </w:r>
      <w:r>
        <w:rPr>
          <w:rFonts w:hint="eastAsia" w:ascii="宋体" w:hAnsi="宋体" w:eastAsia="宋体" w:cs="宋体"/>
          <w:bCs/>
          <w:color w:val="auto"/>
          <w:szCs w:val="22"/>
          <w:highlight w:val="none"/>
        </w:rPr>
        <w:t>营业执照副本；</w:t>
      </w:r>
    </w:p>
    <w:p w14:paraId="38888F5C">
      <w:pPr>
        <w:snapToGrid w:val="0"/>
        <w:spacing w:line="360" w:lineRule="exact"/>
        <w:ind w:firstLine="840" w:firstLineChars="4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2、参加国有企业采购活动前3年内在经营活动中有/无重大违法记录的书面声明</w:t>
      </w:r>
      <w:r>
        <w:rPr>
          <w:rFonts w:hint="eastAsia" w:ascii="宋体" w:hAnsi="宋体" w:eastAsia="宋体" w:cs="宋体"/>
          <w:color w:val="auto"/>
          <w:szCs w:val="22"/>
          <w:highlight w:val="none"/>
          <w:lang w:eastAsia="zh-CN"/>
        </w:rPr>
        <w:t>（</w:t>
      </w:r>
      <w:r>
        <w:rPr>
          <w:rFonts w:hint="eastAsia" w:ascii="宋体" w:hAnsi="宋体" w:eastAsia="宋体" w:cs="宋体"/>
          <w:color w:val="auto"/>
          <w:szCs w:val="22"/>
          <w:highlight w:val="none"/>
          <w:lang w:val="en-US" w:eastAsia="zh-CN"/>
        </w:rPr>
        <w:t>格式如下</w:t>
      </w:r>
      <w:r>
        <w:rPr>
          <w:rFonts w:hint="eastAsia" w:ascii="宋体" w:hAnsi="宋体" w:eastAsia="宋体" w:cs="宋体"/>
          <w:color w:val="auto"/>
          <w:szCs w:val="22"/>
          <w:highlight w:val="none"/>
          <w:lang w:eastAsia="zh-CN"/>
        </w:rPr>
        <w:t>）</w:t>
      </w:r>
      <w:r>
        <w:rPr>
          <w:rFonts w:hint="eastAsia" w:ascii="宋体" w:hAnsi="宋体" w:eastAsia="宋体" w:cs="宋体"/>
          <w:color w:val="auto"/>
          <w:szCs w:val="21"/>
          <w:highlight w:val="none"/>
          <w:lang w:val="en-US" w:eastAsia="zh-CN"/>
        </w:rPr>
        <w:t>；</w:t>
      </w:r>
    </w:p>
    <w:p w14:paraId="31FC4A41">
      <w:pPr>
        <w:snapToGrid w:val="0"/>
        <w:spacing w:line="360" w:lineRule="exact"/>
        <w:ind w:firstLine="840" w:firstLineChars="4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3、未被“信用中国” ( www.creditchina.gov.cn )、中国政府采购网(www.ccgp.gov.cn ] 列入失信被执行人、重大税收违法案件当事人名单、政府采购严重违法失信行为记录名单。（以采购组织机构在开标当日在“信用中国”（www.creditchina.gov.cn）、中国政府采购网（www.ccgp.gov.cn）网页查询记录为准。）</w:t>
      </w:r>
    </w:p>
    <w:p w14:paraId="5368C87B">
      <w:pPr>
        <w:snapToGrid w:val="0"/>
        <w:spacing w:line="360" w:lineRule="exact"/>
        <w:ind w:firstLine="840" w:firstLineChars="4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4、投标保证金缴纳凭证。</w:t>
      </w:r>
    </w:p>
    <w:p w14:paraId="11F3B076">
      <w:pPr>
        <w:snapToGrid w:val="0"/>
        <w:spacing w:line="360" w:lineRule="exact"/>
        <w:ind w:firstLine="840" w:firstLineChars="400"/>
        <w:rPr>
          <w:rFonts w:hint="eastAsia" w:ascii="宋体" w:hAnsi="宋体" w:eastAsia="宋体" w:cs="宋体"/>
          <w:color w:val="auto"/>
          <w:szCs w:val="22"/>
          <w:highlight w:val="none"/>
        </w:rPr>
      </w:pPr>
      <w:r>
        <w:rPr>
          <w:rFonts w:hint="eastAsia" w:ascii="宋体" w:hAnsi="宋体" w:eastAsia="宋体" w:cs="宋体"/>
          <w:color w:val="auto"/>
          <w:szCs w:val="22"/>
          <w:highlight w:val="none"/>
          <w:lang w:val="en-US" w:eastAsia="zh-CN"/>
        </w:rPr>
        <w:t>5、</w:t>
      </w:r>
      <w:r>
        <w:rPr>
          <w:rFonts w:hint="eastAsia" w:ascii="宋体" w:hAnsi="宋体" w:eastAsia="宋体" w:cs="宋体"/>
          <w:color w:val="auto"/>
          <w:szCs w:val="22"/>
          <w:highlight w:val="none"/>
        </w:rPr>
        <w:t>关于</w:t>
      </w:r>
      <w:r>
        <w:rPr>
          <w:rFonts w:hint="eastAsia" w:ascii="宋体" w:hAnsi="宋体" w:eastAsia="宋体" w:cs="宋体"/>
          <w:color w:val="auto"/>
          <w:szCs w:val="22"/>
          <w:highlight w:val="none"/>
          <w:lang w:eastAsia="zh-CN"/>
        </w:rPr>
        <w:t>满足</w:t>
      </w:r>
      <w:r>
        <w:rPr>
          <w:rFonts w:hint="eastAsia" w:ascii="宋体" w:hAnsi="宋体" w:eastAsia="宋体" w:cs="宋体"/>
          <w:color w:val="auto"/>
          <w:szCs w:val="21"/>
          <w:highlight w:val="none"/>
          <w:lang w:eastAsia="zh-CN"/>
        </w:rPr>
        <w:t>《温州市市属国有企业采购管理办法》</w:t>
      </w:r>
      <w:r>
        <w:rPr>
          <w:rFonts w:hint="eastAsia" w:ascii="宋体" w:hAnsi="宋体" w:eastAsia="宋体" w:cs="宋体"/>
          <w:color w:val="auto"/>
          <w:szCs w:val="21"/>
          <w:highlight w:val="none"/>
        </w:rPr>
        <w:t>第十</w:t>
      </w:r>
      <w:r>
        <w:rPr>
          <w:rFonts w:hint="eastAsia" w:ascii="宋体" w:hAnsi="宋体" w:eastAsia="宋体" w:cs="宋体"/>
          <w:color w:val="auto"/>
          <w:szCs w:val="21"/>
          <w:highlight w:val="none"/>
          <w:lang w:val="en-US" w:eastAsia="zh-CN"/>
        </w:rPr>
        <w:t>八</w:t>
      </w:r>
      <w:r>
        <w:rPr>
          <w:rFonts w:hint="eastAsia" w:ascii="宋体" w:hAnsi="宋体" w:eastAsia="宋体" w:cs="宋体"/>
          <w:color w:val="auto"/>
          <w:szCs w:val="21"/>
          <w:highlight w:val="none"/>
        </w:rPr>
        <w:t>条</w:t>
      </w:r>
      <w:r>
        <w:rPr>
          <w:rFonts w:hint="eastAsia" w:ascii="宋体" w:hAnsi="宋体" w:eastAsia="宋体" w:cs="宋体"/>
          <w:color w:val="auto"/>
          <w:szCs w:val="21"/>
          <w:highlight w:val="none"/>
          <w:lang w:val="en-US" w:eastAsia="zh-CN"/>
        </w:rPr>
        <w:t>规定</w:t>
      </w:r>
      <w:r>
        <w:rPr>
          <w:rFonts w:hint="eastAsia" w:ascii="宋体" w:hAnsi="宋体" w:eastAsia="宋体" w:cs="宋体"/>
          <w:color w:val="auto"/>
          <w:szCs w:val="22"/>
          <w:highlight w:val="none"/>
        </w:rPr>
        <w:t>的承诺函</w:t>
      </w:r>
      <w:r>
        <w:rPr>
          <w:rFonts w:hint="eastAsia" w:ascii="宋体" w:hAnsi="宋体" w:eastAsia="宋体" w:cs="宋体"/>
          <w:color w:val="auto"/>
          <w:szCs w:val="22"/>
          <w:highlight w:val="none"/>
          <w:lang w:eastAsia="zh-CN"/>
        </w:rPr>
        <w:t>（</w:t>
      </w:r>
      <w:r>
        <w:rPr>
          <w:rFonts w:hint="eastAsia" w:ascii="宋体" w:hAnsi="宋体" w:eastAsia="宋体" w:cs="宋体"/>
          <w:color w:val="auto"/>
          <w:szCs w:val="22"/>
          <w:highlight w:val="none"/>
          <w:lang w:val="en-US" w:eastAsia="zh-CN"/>
        </w:rPr>
        <w:t>格式如下</w:t>
      </w:r>
      <w:r>
        <w:rPr>
          <w:rFonts w:hint="eastAsia" w:ascii="宋体" w:hAnsi="宋体" w:eastAsia="宋体" w:cs="宋体"/>
          <w:color w:val="auto"/>
          <w:szCs w:val="22"/>
          <w:highlight w:val="none"/>
          <w:lang w:eastAsia="zh-CN"/>
        </w:rPr>
        <w:t>）：</w:t>
      </w:r>
    </w:p>
    <w:p w14:paraId="18341657">
      <w:pPr>
        <w:pStyle w:val="7"/>
        <w:keepNext w:val="0"/>
        <w:keepLines w:val="0"/>
        <w:pageBreakBefore w:val="0"/>
        <w:widowControl w:val="0"/>
        <w:kinsoku/>
        <w:wordWrap/>
        <w:overflowPunct w:val="0"/>
        <w:topLinePunct w:val="0"/>
        <w:autoSpaceDE/>
        <w:autoSpaceDN/>
        <w:bidi w:val="0"/>
        <w:adjustRightInd/>
        <w:spacing w:line="360" w:lineRule="exact"/>
        <w:ind w:right="-21" w:rightChars="-10" w:firstLine="0"/>
        <w:textAlignment w:val="auto"/>
        <w:rPr>
          <w:rFonts w:hint="eastAsia" w:ascii="宋体" w:hAnsi="宋体" w:eastAsia="宋体" w:cs="宋体"/>
          <w:b/>
          <w:color w:val="auto"/>
          <w:sz w:val="21"/>
          <w:szCs w:val="21"/>
          <w:highlight w:val="none"/>
          <w:u w:val="single"/>
        </w:rPr>
      </w:pPr>
    </w:p>
    <w:p w14:paraId="0FB31D53">
      <w:pPr>
        <w:pStyle w:val="7"/>
        <w:keepNext w:val="0"/>
        <w:keepLines w:val="0"/>
        <w:pageBreakBefore w:val="0"/>
        <w:widowControl w:val="0"/>
        <w:kinsoku/>
        <w:wordWrap/>
        <w:overflowPunct w:val="0"/>
        <w:topLinePunct w:val="0"/>
        <w:autoSpaceDE/>
        <w:autoSpaceDN/>
        <w:bidi w:val="0"/>
        <w:adjustRightInd/>
        <w:spacing w:line="360" w:lineRule="exact"/>
        <w:ind w:right="-21" w:rightChars="-10" w:firstLine="0"/>
        <w:textAlignment w:val="auto"/>
        <w:rPr>
          <w:rFonts w:hint="eastAsia" w:ascii="宋体" w:hAnsi="宋体" w:eastAsia="宋体" w:cs="宋体"/>
          <w:b/>
          <w:color w:val="auto"/>
          <w:sz w:val="21"/>
          <w:szCs w:val="21"/>
          <w:highlight w:val="none"/>
          <w:u w:val="single"/>
        </w:rPr>
      </w:pPr>
    </w:p>
    <w:p w14:paraId="03EE5474">
      <w:pPr>
        <w:pStyle w:val="7"/>
        <w:keepNext w:val="0"/>
        <w:keepLines w:val="0"/>
        <w:pageBreakBefore w:val="0"/>
        <w:widowControl w:val="0"/>
        <w:kinsoku/>
        <w:wordWrap/>
        <w:overflowPunct w:val="0"/>
        <w:topLinePunct w:val="0"/>
        <w:autoSpaceDE/>
        <w:autoSpaceDN/>
        <w:bidi w:val="0"/>
        <w:adjustRightInd/>
        <w:spacing w:line="360" w:lineRule="exact"/>
        <w:ind w:right="-21" w:rightChars="-10" w:firstLine="0"/>
        <w:jc w:val="center"/>
        <w:textAlignment w:val="auto"/>
        <w:rPr>
          <w:rFonts w:hint="eastAsia" w:ascii="宋体" w:hAnsi="宋体" w:eastAsia="宋体" w:cs="宋体"/>
          <w:b/>
          <w:bCs/>
          <w:color w:val="auto"/>
          <w:spacing w:val="0"/>
          <w:sz w:val="21"/>
          <w:szCs w:val="21"/>
          <w:highlight w:val="none"/>
          <w:u w:val="single"/>
        </w:rPr>
      </w:pPr>
      <w:r>
        <w:rPr>
          <w:rFonts w:hint="eastAsia" w:ascii="宋体" w:hAnsi="宋体" w:eastAsia="宋体" w:cs="宋体"/>
          <w:b/>
          <w:bCs/>
          <w:color w:val="auto"/>
          <w:spacing w:val="0"/>
          <w:szCs w:val="22"/>
          <w:highlight w:val="none"/>
        </w:rPr>
        <w:t>关于满足</w:t>
      </w:r>
      <w:r>
        <w:rPr>
          <w:rFonts w:hint="eastAsia" w:ascii="宋体" w:hAnsi="宋体" w:eastAsia="宋体" w:cs="宋体"/>
          <w:b/>
          <w:bCs/>
          <w:color w:val="auto"/>
          <w:spacing w:val="0"/>
          <w:szCs w:val="21"/>
          <w:highlight w:val="none"/>
          <w:lang w:eastAsia="zh-CN"/>
        </w:rPr>
        <w:t>《温州市市属国有企业采购管理办法》</w:t>
      </w:r>
      <w:r>
        <w:rPr>
          <w:rFonts w:hint="eastAsia" w:ascii="宋体" w:hAnsi="宋体" w:eastAsia="宋体" w:cs="宋体"/>
          <w:b/>
          <w:bCs/>
          <w:color w:val="auto"/>
          <w:spacing w:val="0"/>
          <w:szCs w:val="21"/>
          <w:highlight w:val="none"/>
        </w:rPr>
        <w:t>第十</w:t>
      </w:r>
      <w:r>
        <w:rPr>
          <w:rFonts w:hint="eastAsia" w:ascii="宋体" w:hAnsi="宋体" w:eastAsia="宋体" w:cs="宋体"/>
          <w:b/>
          <w:bCs/>
          <w:color w:val="auto"/>
          <w:spacing w:val="0"/>
          <w:szCs w:val="21"/>
          <w:highlight w:val="none"/>
          <w:lang w:val="en-US" w:eastAsia="zh-CN"/>
        </w:rPr>
        <w:t>八</w:t>
      </w:r>
      <w:r>
        <w:rPr>
          <w:rFonts w:hint="eastAsia" w:ascii="宋体" w:hAnsi="宋体" w:eastAsia="宋体" w:cs="宋体"/>
          <w:b/>
          <w:bCs/>
          <w:color w:val="auto"/>
          <w:spacing w:val="0"/>
          <w:szCs w:val="21"/>
          <w:highlight w:val="none"/>
        </w:rPr>
        <w:t>条</w:t>
      </w:r>
      <w:r>
        <w:rPr>
          <w:rFonts w:hint="eastAsia" w:ascii="宋体" w:hAnsi="宋体" w:eastAsia="宋体" w:cs="宋体"/>
          <w:b/>
          <w:bCs/>
          <w:color w:val="auto"/>
          <w:spacing w:val="0"/>
          <w:szCs w:val="21"/>
          <w:highlight w:val="none"/>
          <w:lang w:val="en-US" w:eastAsia="zh-CN"/>
        </w:rPr>
        <w:t>规定</w:t>
      </w:r>
      <w:r>
        <w:rPr>
          <w:rFonts w:hint="eastAsia" w:ascii="宋体" w:hAnsi="宋体" w:eastAsia="宋体" w:cs="宋体"/>
          <w:b/>
          <w:bCs/>
          <w:color w:val="auto"/>
          <w:spacing w:val="0"/>
          <w:szCs w:val="22"/>
          <w:highlight w:val="none"/>
        </w:rPr>
        <w:t>的承诺函</w:t>
      </w:r>
    </w:p>
    <w:p w14:paraId="5BF8E074">
      <w:pPr>
        <w:pStyle w:val="7"/>
        <w:keepNext w:val="0"/>
        <w:keepLines w:val="0"/>
        <w:pageBreakBefore w:val="0"/>
        <w:widowControl w:val="0"/>
        <w:kinsoku/>
        <w:wordWrap/>
        <w:overflowPunct w:val="0"/>
        <w:topLinePunct w:val="0"/>
        <w:autoSpaceDE/>
        <w:autoSpaceDN/>
        <w:bidi w:val="0"/>
        <w:adjustRightInd/>
        <w:spacing w:line="360" w:lineRule="exact"/>
        <w:ind w:right="-21" w:rightChars="-10" w:firstLine="0"/>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u w:val="single"/>
        </w:rPr>
        <w:t>致</w:t>
      </w:r>
      <w:r>
        <w:rPr>
          <w:rFonts w:hint="eastAsia" w:ascii="宋体" w:hAnsi="宋体" w:eastAsia="宋体" w:cs="宋体"/>
          <w:b/>
          <w:color w:val="auto"/>
          <w:sz w:val="21"/>
          <w:szCs w:val="21"/>
          <w:highlight w:val="none"/>
          <w:u w:val="single"/>
          <w:lang w:eastAsia="zh-CN"/>
        </w:rPr>
        <w:t>温州瓯瓷产业发展有限公司</w:t>
      </w:r>
      <w:r>
        <w:rPr>
          <w:rFonts w:hint="eastAsia" w:ascii="宋体" w:hAnsi="宋体" w:eastAsia="宋体" w:cs="宋体"/>
          <w:color w:val="auto"/>
          <w:sz w:val="21"/>
          <w:szCs w:val="21"/>
          <w:highlight w:val="none"/>
        </w:rPr>
        <w:t>：</w:t>
      </w:r>
    </w:p>
    <w:p w14:paraId="3EE7D318">
      <w:pPr>
        <w:keepNext w:val="0"/>
        <w:keepLines w:val="0"/>
        <w:pageBreakBefore w:val="0"/>
        <w:widowControl w:val="0"/>
        <w:kinsoku/>
        <w:wordWrap/>
        <w:topLinePunct w:val="0"/>
        <w:autoSpaceDE/>
        <w:autoSpaceDN/>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我单位就</w:t>
      </w:r>
      <w:r>
        <w:rPr>
          <w:rFonts w:hint="eastAsia" w:ascii="宋体" w:hAnsi="宋体" w:eastAsia="宋体" w:cs="宋体"/>
          <w:color w:val="auto"/>
          <w:sz w:val="21"/>
          <w:szCs w:val="21"/>
          <w:highlight w:val="none"/>
          <w:u w:val="single"/>
          <w:lang w:val="en-US" w:eastAsia="zh-CN"/>
        </w:rPr>
        <w:t xml:space="preserve">   （项目名称、项目编号）  </w:t>
      </w:r>
      <w:r>
        <w:rPr>
          <w:rFonts w:hint="eastAsia" w:ascii="宋体" w:hAnsi="宋体" w:eastAsia="宋体" w:cs="宋体"/>
          <w:color w:val="auto"/>
          <w:sz w:val="21"/>
          <w:szCs w:val="21"/>
          <w:highlight w:val="none"/>
        </w:rPr>
        <w:t>承诺具备下列条件：</w:t>
      </w:r>
    </w:p>
    <w:p w14:paraId="042E680F">
      <w:pPr>
        <w:keepNext w:val="0"/>
        <w:keepLines w:val="0"/>
        <w:pageBreakBefore w:val="0"/>
        <w:widowControl w:val="0"/>
        <w:kinsoku/>
        <w:wordWrap/>
        <w:topLinePunct w:val="0"/>
        <w:autoSpaceDE/>
        <w:autoSpaceDN/>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1.具有独立承担民事责任的能力；</w:t>
      </w:r>
    </w:p>
    <w:p w14:paraId="373C5431">
      <w:pPr>
        <w:keepNext w:val="0"/>
        <w:keepLines w:val="0"/>
        <w:pageBreakBefore w:val="0"/>
        <w:widowControl w:val="0"/>
        <w:kinsoku/>
        <w:wordWrap/>
        <w:topLinePunct w:val="0"/>
        <w:autoSpaceDE/>
        <w:autoSpaceDN/>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2.具有良好的商业信誉和健全的财务会计制度；</w:t>
      </w:r>
    </w:p>
    <w:p w14:paraId="41A6F065">
      <w:pPr>
        <w:keepNext w:val="0"/>
        <w:keepLines w:val="0"/>
        <w:pageBreakBefore w:val="0"/>
        <w:widowControl w:val="0"/>
        <w:kinsoku/>
        <w:wordWrap/>
        <w:topLinePunct w:val="0"/>
        <w:autoSpaceDE/>
        <w:autoSpaceDN/>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3.具有履行合同所必需的设备和专业技术</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售后保障等</w:t>
      </w:r>
      <w:r>
        <w:rPr>
          <w:rFonts w:hint="eastAsia" w:ascii="宋体" w:hAnsi="宋体" w:eastAsia="宋体" w:cs="宋体"/>
          <w:color w:val="auto"/>
          <w:sz w:val="21"/>
          <w:szCs w:val="21"/>
          <w:highlight w:val="none"/>
        </w:rPr>
        <w:t>能力；</w:t>
      </w:r>
    </w:p>
    <w:p w14:paraId="611A7BD6">
      <w:pPr>
        <w:keepNext w:val="0"/>
        <w:keepLines w:val="0"/>
        <w:pageBreakBefore w:val="0"/>
        <w:widowControl w:val="0"/>
        <w:kinsoku/>
        <w:wordWrap/>
        <w:topLinePunct w:val="0"/>
        <w:autoSpaceDE/>
        <w:autoSpaceDN/>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4.有依法缴纳税收和社会保障资金的良好记录；</w:t>
      </w:r>
    </w:p>
    <w:p w14:paraId="1BE5D08B">
      <w:pPr>
        <w:keepNext w:val="0"/>
        <w:keepLines w:val="0"/>
        <w:pageBreakBefore w:val="0"/>
        <w:widowControl w:val="0"/>
        <w:kinsoku/>
        <w:wordWrap/>
        <w:topLinePunct w:val="0"/>
        <w:autoSpaceDE/>
        <w:autoSpaceDN/>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5.参加采购</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招投标等</w:t>
      </w:r>
      <w:r>
        <w:rPr>
          <w:rFonts w:hint="eastAsia" w:ascii="宋体" w:hAnsi="宋体" w:eastAsia="宋体" w:cs="宋体"/>
          <w:color w:val="auto"/>
          <w:sz w:val="21"/>
          <w:szCs w:val="21"/>
          <w:highlight w:val="none"/>
        </w:rPr>
        <w:t>活动前三年内,在经营活动中没有重大违法记录</w:t>
      </w:r>
      <w:r>
        <w:rPr>
          <w:rFonts w:hint="eastAsia" w:ascii="宋体" w:hAnsi="宋体" w:eastAsia="宋体" w:cs="宋体"/>
          <w:color w:val="auto"/>
          <w:sz w:val="21"/>
          <w:szCs w:val="21"/>
          <w:highlight w:val="none"/>
          <w:lang w:val="en-US" w:eastAsia="zh-CN"/>
        </w:rPr>
        <w:t>和</w:t>
      </w:r>
      <w:r>
        <w:rPr>
          <w:rFonts w:hint="eastAsia" w:ascii="宋体" w:hAnsi="宋体" w:eastAsia="宋体" w:cs="宋体"/>
          <w:color w:val="auto"/>
          <w:sz w:val="21"/>
          <w:szCs w:val="21"/>
          <w:highlight w:val="none"/>
        </w:rPr>
        <w:t>行贿记录。</w:t>
      </w:r>
    </w:p>
    <w:p w14:paraId="00408D77">
      <w:pPr>
        <w:keepNext w:val="0"/>
        <w:keepLines w:val="0"/>
        <w:pageBreakBefore w:val="0"/>
        <w:widowControl w:val="0"/>
        <w:kinsoku/>
        <w:wordWrap/>
        <w:topLinePunct w:val="0"/>
        <w:autoSpaceDE/>
        <w:autoSpaceDN/>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r>
        <w:rPr>
          <w:rFonts w:hint="eastAsia" w:ascii="宋体" w:hAnsi="宋体" w:eastAsia="宋体" w:cs="宋体"/>
          <w:color w:val="auto"/>
          <w:sz w:val="21"/>
          <w:szCs w:val="21"/>
          <w:highlight w:val="none"/>
          <w:lang w:val="en-US" w:eastAsia="zh-CN"/>
        </w:rPr>
        <w:t>法律、行政法规规定的其他条件</w:t>
      </w:r>
      <w:r>
        <w:rPr>
          <w:rFonts w:hint="eastAsia" w:ascii="宋体" w:hAnsi="宋体" w:eastAsia="宋体" w:cs="宋体"/>
          <w:color w:val="auto"/>
          <w:sz w:val="21"/>
          <w:szCs w:val="21"/>
          <w:highlight w:val="none"/>
        </w:rPr>
        <w:t>。</w:t>
      </w:r>
    </w:p>
    <w:p w14:paraId="029BF800">
      <w:pPr>
        <w:keepNext w:val="0"/>
        <w:keepLines w:val="0"/>
        <w:pageBreakBefore w:val="0"/>
        <w:widowControl w:val="0"/>
        <w:kinsoku/>
        <w:wordWrap/>
        <w:topLinePunct w:val="0"/>
        <w:autoSpaceDE/>
        <w:autoSpaceDN/>
        <w:bidi w:val="0"/>
        <w:adjustRightInd/>
        <w:spacing w:line="360" w:lineRule="exact"/>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如有虚假，</w:t>
      </w:r>
      <w:r>
        <w:rPr>
          <w:rFonts w:hint="eastAsia" w:ascii="宋体" w:hAnsi="宋体" w:eastAsia="宋体" w:cs="宋体"/>
          <w:b/>
          <w:bCs/>
          <w:color w:val="auto"/>
          <w:sz w:val="21"/>
          <w:szCs w:val="21"/>
          <w:highlight w:val="none"/>
          <w:lang w:eastAsia="zh-CN"/>
        </w:rPr>
        <w:t>采购人</w:t>
      </w:r>
      <w:r>
        <w:rPr>
          <w:rFonts w:hint="eastAsia" w:ascii="宋体" w:hAnsi="宋体" w:eastAsia="宋体" w:cs="宋体"/>
          <w:b/>
          <w:bCs/>
          <w:color w:val="auto"/>
          <w:sz w:val="21"/>
          <w:szCs w:val="21"/>
          <w:highlight w:val="none"/>
        </w:rPr>
        <w:t>可取消我单位任何资格（投标/中标/签订合同），我单位对此无任何异议。</w:t>
      </w:r>
    </w:p>
    <w:p w14:paraId="19C31370">
      <w:pPr>
        <w:keepNext w:val="0"/>
        <w:keepLines w:val="0"/>
        <w:pageBreakBefore w:val="0"/>
        <w:widowControl w:val="0"/>
        <w:kinsoku/>
        <w:wordWrap/>
        <w:topLinePunct w:val="0"/>
        <w:autoSpaceDE/>
        <w:autoSpaceDN/>
        <w:bidi w:val="0"/>
        <w:adjustRightInd/>
        <w:spacing w:line="360" w:lineRule="exact"/>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特此承诺！</w:t>
      </w:r>
    </w:p>
    <w:p w14:paraId="0BB39148">
      <w:pPr>
        <w:keepNext w:val="0"/>
        <w:keepLines w:val="0"/>
        <w:pageBreakBefore w:val="0"/>
        <w:widowControl w:val="0"/>
        <w:kinsoku/>
        <w:wordWrap/>
        <w:topLinePunct w:val="0"/>
        <w:autoSpaceDE/>
        <w:autoSpaceDN/>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注：（1）参加采购</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招投标等</w:t>
      </w:r>
      <w:r>
        <w:rPr>
          <w:rFonts w:hint="eastAsia" w:ascii="宋体" w:hAnsi="宋体" w:eastAsia="宋体" w:cs="宋体"/>
          <w:color w:val="auto"/>
          <w:sz w:val="21"/>
          <w:szCs w:val="21"/>
          <w:highlight w:val="none"/>
        </w:rPr>
        <w:t>活动的时间是指</w:t>
      </w:r>
      <w:r>
        <w:rPr>
          <w:rFonts w:hint="eastAsia" w:ascii="宋体" w:hAnsi="宋体" w:eastAsia="宋体" w:cs="宋体"/>
          <w:color w:val="auto"/>
          <w:sz w:val="21"/>
          <w:szCs w:val="21"/>
          <w:highlight w:val="none"/>
          <w:lang w:val="en-US" w:eastAsia="zh-CN"/>
        </w:rPr>
        <w:t>投标供应商</w:t>
      </w:r>
      <w:r>
        <w:rPr>
          <w:rFonts w:hint="eastAsia" w:ascii="宋体" w:hAnsi="宋体" w:eastAsia="宋体" w:cs="宋体"/>
          <w:color w:val="auto"/>
          <w:sz w:val="21"/>
          <w:szCs w:val="21"/>
          <w:highlight w:val="none"/>
        </w:rPr>
        <w:t>参加本项目的</w:t>
      </w:r>
      <w:r>
        <w:rPr>
          <w:rFonts w:hint="eastAsia" w:ascii="宋体" w:hAnsi="宋体" w:eastAsia="宋体" w:cs="宋体"/>
          <w:color w:val="auto"/>
          <w:sz w:val="21"/>
          <w:szCs w:val="21"/>
          <w:highlight w:val="none"/>
          <w:lang w:val="en-US" w:eastAsia="zh-CN"/>
        </w:rPr>
        <w:t>国有企业</w:t>
      </w:r>
      <w:r>
        <w:rPr>
          <w:rFonts w:hint="eastAsia" w:ascii="宋体" w:hAnsi="宋体" w:eastAsia="宋体" w:cs="宋体"/>
          <w:color w:val="auto"/>
          <w:sz w:val="21"/>
          <w:szCs w:val="21"/>
          <w:highlight w:val="none"/>
        </w:rPr>
        <w:t>采购活动时间为准（具体以投标截止时间为准）。</w:t>
      </w:r>
    </w:p>
    <w:p w14:paraId="038D8EB2">
      <w:pPr>
        <w:keepNext w:val="0"/>
        <w:keepLines w:val="0"/>
        <w:pageBreakBefore w:val="0"/>
        <w:widowControl w:val="0"/>
        <w:kinsoku/>
        <w:wordWrap/>
        <w:topLinePunct w:val="0"/>
        <w:autoSpaceDE/>
        <w:autoSpaceDN/>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（2）本承诺函必须提供。</w:t>
      </w:r>
    </w:p>
    <w:p w14:paraId="09AE5839">
      <w:pPr>
        <w:keepNext w:val="0"/>
        <w:keepLines w:val="0"/>
        <w:pageBreakBefore w:val="0"/>
        <w:widowControl w:val="0"/>
        <w:kinsoku/>
        <w:wordWrap/>
        <w:topLinePunct w:val="0"/>
        <w:autoSpaceDE/>
        <w:autoSpaceDN/>
        <w:bidi w:val="0"/>
        <w:adjustRightInd/>
        <w:spacing w:line="360" w:lineRule="exact"/>
        <w:ind w:right="-2" w:firstLine="5250" w:firstLineChars="25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投标供应商</w:t>
      </w:r>
      <w:r>
        <w:rPr>
          <w:rFonts w:hint="eastAsia" w:ascii="宋体" w:hAnsi="宋体" w:eastAsia="宋体" w:cs="宋体"/>
          <w:color w:val="auto"/>
          <w:sz w:val="21"/>
          <w:szCs w:val="21"/>
          <w:highlight w:val="none"/>
        </w:rPr>
        <w:t>（公章）：</w:t>
      </w:r>
    </w:p>
    <w:p w14:paraId="2FA262B8">
      <w:pPr>
        <w:keepNext w:val="0"/>
        <w:keepLines w:val="0"/>
        <w:pageBreakBefore w:val="0"/>
        <w:widowControl w:val="0"/>
        <w:kinsoku/>
        <w:wordWrap/>
        <w:topLinePunct w:val="0"/>
        <w:autoSpaceDE/>
        <w:autoSpaceDN/>
        <w:bidi w:val="0"/>
        <w:adjustRightInd/>
        <w:spacing w:after="156" w:afterLines="50" w:line="360" w:lineRule="exact"/>
        <w:ind w:left="5250" w:leftChars="25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法定代表人或授权代表（签字或盖章）：日期：</w:t>
      </w:r>
    </w:p>
    <w:p w14:paraId="504ED64C">
      <w:pPr>
        <w:snapToGrid w:val="0"/>
        <w:spacing w:line="360" w:lineRule="exact"/>
        <w:ind w:firstLine="840" w:firstLineChars="400"/>
        <w:rPr>
          <w:rFonts w:hint="eastAsia" w:ascii="宋体" w:hAnsi="宋体" w:eastAsia="宋体" w:cs="宋体"/>
          <w:color w:val="auto"/>
          <w:szCs w:val="22"/>
          <w:highlight w:val="none"/>
        </w:rPr>
      </w:pPr>
      <w:r>
        <w:rPr>
          <w:rFonts w:hint="eastAsia" w:ascii="宋体" w:hAnsi="宋体" w:eastAsia="宋体" w:cs="宋体"/>
          <w:color w:val="auto"/>
          <w:szCs w:val="22"/>
          <w:highlight w:val="none"/>
          <w:lang w:val="en-US" w:eastAsia="zh-CN"/>
        </w:rPr>
        <w:t>5、</w:t>
      </w:r>
      <w:r>
        <w:rPr>
          <w:rFonts w:hint="eastAsia" w:ascii="宋体" w:hAnsi="宋体" w:eastAsia="宋体" w:cs="宋体"/>
          <w:color w:val="auto"/>
          <w:szCs w:val="22"/>
          <w:highlight w:val="none"/>
        </w:rPr>
        <w:t>其他证明文件。</w:t>
      </w:r>
    </w:p>
    <w:p w14:paraId="3C8284E9">
      <w:pPr>
        <w:pStyle w:val="44"/>
        <w:spacing w:before="0" w:beforeAutospacing="0" w:after="0" w:afterAutospacing="0"/>
        <w:jc w:val="center"/>
        <w:rPr>
          <w:rFonts w:hint="eastAsia" w:ascii="宋体" w:hAnsi="宋体" w:eastAsia="宋体" w:cs="宋体"/>
          <w:color w:val="auto"/>
          <w:szCs w:val="21"/>
          <w:highlight w:val="none"/>
        </w:rPr>
      </w:pPr>
    </w:p>
    <w:p w14:paraId="06360A49">
      <w:pPr>
        <w:pStyle w:val="86"/>
        <w:spacing w:line="360" w:lineRule="auto"/>
        <w:rPr>
          <w:rFonts w:hint="eastAsia" w:ascii="宋体" w:hAnsi="宋体" w:eastAsia="宋体" w:cs="宋体"/>
          <w:b/>
          <w:bCs/>
          <w:color w:val="auto"/>
          <w:highlight w:val="none"/>
        </w:rPr>
      </w:pPr>
    </w:p>
    <w:p w14:paraId="6B112387">
      <w:pPr>
        <w:pStyle w:val="86"/>
        <w:spacing w:line="360" w:lineRule="auto"/>
        <w:rPr>
          <w:rFonts w:hint="eastAsia" w:ascii="宋体" w:hAnsi="宋体" w:eastAsia="宋体" w:cs="宋体"/>
          <w:b/>
          <w:bCs/>
          <w:color w:val="auto"/>
          <w:highlight w:val="none"/>
        </w:rPr>
      </w:pPr>
      <w:r>
        <w:rPr>
          <w:rFonts w:hint="eastAsia" w:ascii="宋体" w:hAnsi="宋体" w:eastAsia="宋体" w:cs="宋体"/>
          <w:b/>
          <w:bCs/>
          <w:color w:val="auto"/>
          <w:highlight w:val="none"/>
        </w:rPr>
        <w:t>备注：以上所需的各种证书、证件、证明、执照等证明材料均须加盖供应商电子签章。</w:t>
      </w:r>
    </w:p>
    <w:p w14:paraId="388D1299">
      <w:pPr>
        <w:spacing w:line="400" w:lineRule="exact"/>
        <w:jc w:val="center"/>
        <w:outlineLvl w:val="1"/>
        <w:rPr>
          <w:rFonts w:hint="eastAsia" w:ascii="宋体" w:hAnsi="宋体" w:eastAsia="宋体" w:cs="宋体"/>
          <w:b/>
          <w:color w:val="auto"/>
          <w:kern w:val="0"/>
          <w:sz w:val="24"/>
          <w:szCs w:val="24"/>
          <w:highlight w:val="none"/>
        </w:rPr>
      </w:pPr>
      <w:bookmarkStart w:id="289" w:name="_Toc32727"/>
      <w:r>
        <w:rPr>
          <w:rFonts w:hint="eastAsia" w:ascii="宋体" w:hAnsi="宋体" w:eastAsia="宋体" w:cs="宋体"/>
          <w:color w:val="auto"/>
          <w:sz w:val="24"/>
          <w:szCs w:val="24"/>
          <w:highlight w:val="none"/>
        </w:rPr>
        <w:br w:type="page"/>
      </w:r>
      <w:bookmarkStart w:id="290" w:name="_Toc28937"/>
      <w:bookmarkStart w:id="291" w:name="_Toc31852"/>
      <w:bookmarkStart w:id="292" w:name="_Toc22013"/>
      <w:bookmarkStart w:id="293" w:name="_Toc32120"/>
      <w:r>
        <w:rPr>
          <w:rFonts w:hint="eastAsia" w:ascii="宋体" w:hAnsi="宋体" w:eastAsia="宋体" w:cs="宋体"/>
          <w:b/>
          <w:color w:val="auto"/>
          <w:kern w:val="0"/>
          <w:sz w:val="24"/>
          <w:szCs w:val="24"/>
          <w:highlight w:val="none"/>
        </w:rPr>
        <w:t>参加国有企业采购活动前3年内在经营活动中有/无重大违法记录的书面声明</w:t>
      </w:r>
      <w:bookmarkEnd w:id="290"/>
      <w:bookmarkEnd w:id="291"/>
    </w:p>
    <w:p w14:paraId="486E7627">
      <w:pPr>
        <w:outlineLvl w:val="9"/>
        <w:rPr>
          <w:rFonts w:hint="eastAsia" w:ascii="宋体" w:hAnsi="宋体" w:eastAsia="宋体" w:cs="宋体"/>
          <w:color w:val="auto"/>
          <w:highlight w:val="none"/>
        </w:rPr>
      </w:pPr>
    </w:p>
    <w:p w14:paraId="4D4D50FB">
      <w:pPr>
        <w:outlineLvl w:val="9"/>
        <w:rPr>
          <w:rFonts w:hint="eastAsia" w:ascii="宋体" w:hAnsi="宋体" w:eastAsia="宋体" w:cs="宋体"/>
          <w:color w:val="auto"/>
          <w:highlight w:val="none"/>
        </w:rPr>
      </w:pPr>
      <w:r>
        <w:rPr>
          <w:rFonts w:hint="eastAsia" w:ascii="宋体" w:hAnsi="宋体" w:eastAsia="宋体" w:cs="宋体"/>
          <w:color w:val="auto"/>
          <w:highlight w:val="none"/>
        </w:rPr>
        <w:t xml:space="preserve">项目名称：瓯窑产业化项目研发生产提效设备-陶艺工作室仪器设备              </w:t>
      </w:r>
    </w:p>
    <w:p w14:paraId="2994A53F">
      <w:pPr>
        <w:outlineLvl w:val="9"/>
        <w:rPr>
          <w:rFonts w:hint="eastAsia" w:ascii="宋体" w:hAnsi="宋体" w:eastAsia="宋体" w:cs="宋体"/>
          <w:color w:val="auto"/>
          <w:highlight w:val="none"/>
        </w:rPr>
      </w:pPr>
      <w:r>
        <w:rPr>
          <w:rFonts w:hint="eastAsia" w:ascii="宋体" w:hAnsi="宋体" w:eastAsia="宋体" w:cs="宋体"/>
          <w:color w:val="auto"/>
          <w:highlight w:val="none"/>
          <w:lang w:eastAsia="zh-CN"/>
        </w:rPr>
        <w:t>项目编号：</w:t>
      </w:r>
      <w:r>
        <w:rPr>
          <w:rFonts w:hint="eastAsia" w:ascii="宋体" w:hAnsi="宋体" w:cs="宋体"/>
          <w:color w:val="auto"/>
          <w:highlight w:val="none"/>
          <w:lang w:val="en-US" w:eastAsia="zh-CN"/>
        </w:rPr>
        <w:t>WGSS-GYNY-Z-2025022</w:t>
      </w:r>
      <w:r>
        <w:rPr>
          <w:rFonts w:hint="eastAsia" w:ascii="宋体" w:hAnsi="宋体" w:eastAsia="宋体" w:cs="宋体"/>
          <w:color w:val="auto"/>
          <w:highlight w:val="none"/>
        </w:rPr>
        <w:t xml:space="preserve"> </w:t>
      </w:r>
    </w:p>
    <w:tbl>
      <w:tblPr>
        <w:tblStyle w:val="49"/>
        <w:tblW w:w="9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7360"/>
      </w:tblGrid>
      <w:tr w14:paraId="34027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7" w:hRule="atLeast"/>
        </w:trPr>
        <w:tc>
          <w:tcPr>
            <w:tcW w:w="1940" w:type="dxa"/>
            <w:vAlign w:val="center"/>
          </w:tcPr>
          <w:p w14:paraId="7E742B66">
            <w:pPr>
              <w:rPr>
                <w:rFonts w:hint="eastAsia" w:ascii="宋体" w:hAnsi="宋体" w:eastAsia="宋体" w:cs="宋体"/>
                <w:color w:val="auto"/>
                <w:highlight w:val="none"/>
              </w:rPr>
            </w:pPr>
            <w:r>
              <w:rPr>
                <w:rFonts w:hint="eastAsia" w:ascii="宋体" w:hAnsi="宋体" w:eastAsia="宋体" w:cs="宋体"/>
                <w:color w:val="auto"/>
                <w:szCs w:val="22"/>
                <w:highlight w:val="none"/>
              </w:rPr>
              <w:t>参加国有企业采购活动前3年内重大违法记录的书面声明</w:t>
            </w:r>
          </w:p>
        </w:tc>
        <w:tc>
          <w:tcPr>
            <w:tcW w:w="7360" w:type="dxa"/>
            <w:vAlign w:val="top"/>
          </w:tcPr>
          <w:p w14:paraId="53FF30D6">
            <w:pPr>
              <w:rPr>
                <w:rFonts w:hint="eastAsia" w:ascii="宋体" w:hAnsi="宋体" w:eastAsia="宋体" w:cs="宋体"/>
                <w:color w:val="auto"/>
                <w:highlight w:val="none"/>
              </w:rPr>
            </w:pPr>
          </w:p>
        </w:tc>
      </w:tr>
    </w:tbl>
    <w:p w14:paraId="12D1B700">
      <w:pPr>
        <w:rPr>
          <w:rFonts w:hint="eastAsia" w:ascii="宋体" w:hAnsi="宋体" w:eastAsia="宋体" w:cs="宋体"/>
          <w:color w:val="auto"/>
          <w:highlight w:val="none"/>
        </w:rPr>
      </w:pPr>
      <w:r>
        <w:rPr>
          <w:rFonts w:hint="eastAsia" w:ascii="宋体" w:hAnsi="宋体" w:eastAsia="宋体" w:cs="宋体"/>
          <w:color w:val="auto"/>
          <w:highlight w:val="none"/>
        </w:rPr>
        <w:t>备注：参加国有企业采购活动的时间是指供应商参加本项目的国有企业采购活动时间为准（具体以投标截止时间为准）</w:t>
      </w:r>
    </w:p>
    <w:p w14:paraId="17A2666F">
      <w:pPr>
        <w:rPr>
          <w:rFonts w:hint="eastAsia" w:ascii="宋体" w:hAnsi="宋体" w:eastAsia="宋体" w:cs="宋体"/>
          <w:color w:val="auto"/>
          <w:highlight w:val="none"/>
        </w:rPr>
      </w:pPr>
    </w:p>
    <w:p w14:paraId="46D4E3CD">
      <w:pPr>
        <w:rPr>
          <w:rFonts w:hint="eastAsia" w:ascii="宋体" w:hAnsi="宋体" w:eastAsia="宋体" w:cs="宋体"/>
          <w:color w:val="auto"/>
          <w:highlight w:val="none"/>
        </w:rPr>
      </w:pPr>
    </w:p>
    <w:p w14:paraId="26AE2FA3">
      <w:pPr>
        <w:rPr>
          <w:rFonts w:hint="eastAsia" w:ascii="宋体" w:hAnsi="宋体" w:eastAsia="宋体" w:cs="宋体"/>
          <w:color w:val="auto"/>
          <w:highlight w:val="none"/>
        </w:rPr>
      </w:pPr>
    </w:p>
    <w:p w14:paraId="7ADC6AB3">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投标供应商</w:t>
      </w:r>
      <w:r>
        <w:rPr>
          <w:rFonts w:hint="eastAsia" w:ascii="宋体" w:hAnsi="宋体" w:eastAsia="宋体" w:cs="宋体"/>
          <w:color w:val="auto"/>
          <w:kern w:val="0"/>
          <w:szCs w:val="21"/>
          <w:highlight w:val="none"/>
        </w:rPr>
        <w:t>（公章）：</w:t>
      </w:r>
    </w:p>
    <w:p w14:paraId="211070EB">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法定代表人或授权代表（签字或盖章）：</w:t>
      </w:r>
    </w:p>
    <w:p w14:paraId="318B782D">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日期：</w:t>
      </w:r>
    </w:p>
    <w:p w14:paraId="5407CAC8">
      <w:pPr>
        <w:rPr>
          <w:rFonts w:hint="eastAsia" w:ascii="宋体" w:hAnsi="宋体" w:eastAsia="宋体" w:cs="宋体"/>
          <w:color w:val="auto"/>
          <w:sz w:val="24"/>
          <w:szCs w:val="24"/>
          <w:highlight w:val="none"/>
        </w:rPr>
      </w:pPr>
      <w:r>
        <w:rPr>
          <w:rFonts w:hint="eastAsia" w:ascii="宋体" w:hAnsi="宋体" w:eastAsia="宋体" w:cs="宋体"/>
          <w:b/>
          <w:bCs/>
          <w:color w:val="auto"/>
          <w:szCs w:val="28"/>
          <w:highlight w:val="none"/>
        </w:rPr>
        <w:br w:type="page"/>
      </w:r>
    </w:p>
    <w:p w14:paraId="21259281">
      <w:pPr>
        <w:pStyle w:val="3"/>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-1 法定代表人身份证明</w:t>
      </w:r>
      <w:bookmarkEnd w:id="289"/>
      <w:bookmarkEnd w:id="292"/>
      <w:bookmarkEnd w:id="293"/>
    </w:p>
    <w:p w14:paraId="539D38EE">
      <w:pPr>
        <w:spacing w:line="440" w:lineRule="exact"/>
        <w:rPr>
          <w:rFonts w:hint="eastAsia" w:ascii="宋体" w:hAnsi="宋体" w:eastAsia="宋体" w:cs="宋体"/>
          <w:color w:val="auto"/>
          <w:szCs w:val="21"/>
          <w:highlight w:val="none"/>
        </w:rPr>
      </w:pPr>
    </w:p>
    <w:p w14:paraId="7A50BEF5">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投标供应商</w:t>
      </w:r>
      <w:r>
        <w:rPr>
          <w:rFonts w:hint="eastAsia" w:ascii="宋体" w:hAnsi="宋体" w:eastAsia="宋体" w:cs="宋体"/>
          <w:color w:val="auto"/>
          <w:szCs w:val="21"/>
          <w:highlight w:val="none"/>
        </w:rPr>
        <w:t>名称：</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w:t>
      </w:r>
    </w:p>
    <w:p w14:paraId="3B59A4AB">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单位性质：</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w:t>
      </w:r>
    </w:p>
    <w:p w14:paraId="7946AEED">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地址：</w:t>
      </w:r>
      <w:r>
        <w:rPr>
          <w:rFonts w:hint="eastAsia" w:ascii="宋体" w:hAnsi="宋体" w:eastAsia="宋体" w:cs="宋体"/>
          <w:color w:val="auto"/>
          <w:szCs w:val="21"/>
          <w:highlight w:val="none"/>
          <w:u w:val="single"/>
        </w:rPr>
        <w:t xml:space="preserve">                                   </w:t>
      </w:r>
    </w:p>
    <w:p w14:paraId="6DE3CCCD">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成立时间：</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年</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月</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日</w:t>
      </w:r>
    </w:p>
    <w:p w14:paraId="725D1E69">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经营期限：</w:t>
      </w:r>
      <w:r>
        <w:rPr>
          <w:rFonts w:hint="eastAsia" w:ascii="宋体" w:hAnsi="宋体" w:eastAsia="宋体" w:cs="宋体"/>
          <w:color w:val="auto"/>
          <w:szCs w:val="21"/>
          <w:highlight w:val="none"/>
          <w:u w:val="single"/>
        </w:rPr>
        <w:t xml:space="preserve">                               </w:t>
      </w:r>
    </w:p>
    <w:p w14:paraId="0B2C539D">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姓名：</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性别：</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年龄：</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职务：</w:t>
      </w:r>
      <w:r>
        <w:rPr>
          <w:rFonts w:hint="eastAsia" w:ascii="宋体" w:hAnsi="宋体" w:eastAsia="宋体" w:cs="宋体"/>
          <w:color w:val="auto"/>
          <w:szCs w:val="21"/>
          <w:highlight w:val="none"/>
          <w:u w:val="single"/>
        </w:rPr>
        <w:t xml:space="preserve">        </w:t>
      </w:r>
    </w:p>
    <w:p w14:paraId="3C4A2D22">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系</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eastAsia="zh-CN"/>
        </w:rPr>
        <w:t>投标供应商</w:t>
      </w:r>
      <w:r>
        <w:rPr>
          <w:rFonts w:hint="eastAsia" w:ascii="宋体" w:hAnsi="宋体" w:eastAsia="宋体" w:cs="宋体"/>
          <w:color w:val="auto"/>
          <w:szCs w:val="21"/>
          <w:highlight w:val="none"/>
        </w:rPr>
        <w:t>名称）的法定代表人。</w:t>
      </w:r>
    </w:p>
    <w:p w14:paraId="38787BB8">
      <w:pPr>
        <w:spacing w:line="44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特此证明。</w:t>
      </w:r>
    </w:p>
    <w:p w14:paraId="6B87F47C">
      <w:pPr>
        <w:spacing w:line="440" w:lineRule="exact"/>
        <w:rPr>
          <w:rFonts w:hint="eastAsia" w:ascii="宋体" w:hAnsi="宋体" w:eastAsia="宋体" w:cs="宋体"/>
          <w:color w:val="auto"/>
          <w:szCs w:val="21"/>
          <w:highlight w:val="none"/>
        </w:rPr>
      </w:pPr>
    </w:p>
    <w:p w14:paraId="105B3BAB">
      <w:pPr>
        <w:spacing w:line="440" w:lineRule="exact"/>
        <w:rPr>
          <w:rFonts w:hint="eastAsia" w:ascii="宋体" w:hAnsi="宋体" w:eastAsia="宋体" w:cs="宋体"/>
          <w:color w:val="auto"/>
          <w:szCs w:val="21"/>
          <w:highlight w:val="none"/>
        </w:rPr>
      </w:pPr>
      <w:r>
        <w:rPr>
          <w:rFonts w:hint="eastAsia" w:ascii="宋体" w:hAnsi="宋体" w:eastAsia="宋体" w:cs="宋体"/>
          <w:color w:val="auto"/>
          <w:highlight w:val="none"/>
        </w:rPr>
        <mc:AlternateContent>
          <mc:Choice Requires="wps">
            <w:drawing>
              <wp:anchor distT="45720" distB="45720" distL="114300" distR="114300" simplePos="0" relativeHeight="251659264" behindDoc="0" locked="0" layoutInCell="1" allowOverlap="1">
                <wp:simplePos x="0" y="0"/>
                <wp:positionH relativeFrom="column">
                  <wp:posOffset>133350</wp:posOffset>
                </wp:positionH>
                <wp:positionV relativeFrom="paragraph">
                  <wp:posOffset>2540</wp:posOffset>
                </wp:positionV>
                <wp:extent cx="3258185" cy="2076450"/>
                <wp:effectExtent l="4445" t="4445" r="13970" b="14605"/>
                <wp:wrapSquare wrapText="bothSides"/>
                <wp:docPr id="1" name="文本框 2"/>
                <wp:cNvGraphicFramePr/>
                <a:graphic xmlns:a="http://schemas.openxmlformats.org/drawingml/2006/main">
                  <a:graphicData uri="http://schemas.microsoft.com/office/word/2010/wordprocessingShape">
                    <wps:wsp>
                      <wps:cNvSpPr txBox="1"/>
                      <wps:spPr>
                        <a:xfrm>
                          <a:off x="0" y="0"/>
                          <a:ext cx="3258185" cy="207645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0E42390">
                            <w:pPr>
                              <w:spacing w:line="360" w:lineRule="auto"/>
                              <w:rPr>
                                <w:rFonts w:ascii="Arial" w:hAnsi="宋体" w:cs="Arial"/>
                                <w:szCs w:val="21"/>
                              </w:rPr>
                            </w:pPr>
                          </w:p>
                          <w:p w14:paraId="75352DE2">
                            <w:pPr>
                              <w:spacing w:line="360" w:lineRule="auto"/>
                              <w:rPr>
                                <w:rFonts w:ascii="Arial" w:hAnsi="宋体" w:cs="Arial"/>
                                <w:szCs w:val="21"/>
                              </w:rPr>
                            </w:pPr>
                          </w:p>
                          <w:p w14:paraId="527E3B2F">
                            <w:pPr>
                              <w:spacing w:line="360" w:lineRule="auto"/>
                              <w:rPr>
                                <w:rFonts w:ascii="Arial" w:hAnsi="宋体" w:cs="Arial"/>
                                <w:szCs w:val="21"/>
                              </w:rPr>
                            </w:pPr>
                          </w:p>
                          <w:p w14:paraId="0D08FD24">
                            <w:pPr>
                              <w:spacing w:line="360" w:lineRule="auto"/>
                              <w:rPr>
                                <w:rFonts w:ascii="Arial" w:hAnsi="Arial" w:cs="Arial"/>
                                <w:szCs w:val="21"/>
                              </w:rPr>
                            </w:pPr>
                            <w:r>
                              <w:rPr>
                                <w:rFonts w:ascii="Arial" w:hAnsi="宋体" w:cs="Arial"/>
                                <w:szCs w:val="21"/>
                              </w:rPr>
                              <w:t>身份证复印件粘贴处</w:t>
                            </w:r>
                          </w:p>
                          <w:p w14:paraId="5B03949B">
                            <w:r>
                              <w:rPr>
                                <w:rFonts w:ascii="Arial" w:hAnsi="宋体" w:cs="Arial"/>
                                <w:szCs w:val="21"/>
                              </w:rPr>
                              <w:t>（身份证需双面复印）</w:t>
                            </w:r>
                          </w:p>
                        </w:txbxContent>
                      </wps:txbx>
                      <wps:bodyPr wrap="square" upright="1"/>
                    </wps:wsp>
                  </a:graphicData>
                </a:graphic>
              </wp:anchor>
            </w:drawing>
          </mc:Choice>
          <mc:Fallback>
            <w:pict>
              <v:shape id="文本框 2" o:spid="_x0000_s1026" o:spt="202" type="#_x0000_t202" style="position:absolute;left:0pt;margin-left:10.5pt;margin-top:0.2pt;height:163.5pt;width:256.55pt;mso-wrap-distance-bottom:3.6pt;mso-wrap-distance-left:9pt;mso-wrap-distance-right:9pt;mso-wrap-distance-top:3.6pt;z-index:251659264;mso-width-relative:page;mso-height-relative:page;" fillcolor="#FFFFFF" filled="t" stroked="t" coordsize="21600,21600" o:gfxdata="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Kqhch1wAAAAcBAAAPAAAA&#10;AAAAAAEAIAAAACIAAABkcnMvZG93bnJldi54bWxQSwECFAAUAAAACACHTuJA8yaLPRYCAABFBAAA&#10;DgAAAAAAAAABACAAAAAmAQAAZHJzL2Uyb0RvYy54bWxQSwUGAAAAAAYABgBZAQAArgUAAAAA&#10;">
                <v:fill on="t" focussize="0,0"/>
                <v:stroke color="#000000" joinstyle="miter"/>
                <v:imagedata o:title=""/>
                <o:lock v:ext="edit" aspectratio="f"/>
                <v:textbox>
                  <w:txbxContent>
                    <w:p w14:paraId="60E42390">
                      <w:pPr>
                        <w:spacing w:line="360" w:lineRule="auto"/>
                        <w:rPr>
                          <w:rFonts w:ascii="Arial" w:hAnsi="宋体" w:cs="Arial"/>
                          <w:szCs w:val="21"/>
                        </w:rPr>
                      </w:pPr>
                    </w:p>
                    <w:p w14:paraId="75352DE2">
                      <w:pPr>
                        <w:spacing w:line="360" w:lineRule="auto"/>
                        <w:rPr>
                          <w:rFonts w:ascii="Arial" w:hAnsi="宋体" w:cs="Arial"/>
                          <w:szCs w:val="21"/>
                        </w:rPr>
                      </w:pPr>
                    </w:p>
                    <w:p w14:paraId="527E3B2F">
                      <w:pPr>
                        <w:spacing w:line="360" w:lineRule="auto"/>
                        <w:rPr>
                          <w:rFonts w:ascii="Arial" w:hAnsi="宋体" w:cs="Arial"/>
                          <w:szCs w:val="21"/>
                        </w:rPr>
                      </w:pPr>
                    </w:p>
                    <w:p w14:paraId="0D08FD24">
                      <w:pPr>
                        <w:spacing w:line="360" w:lineRule="auto"/>
                        <w:rPr>
                          <w:rFonts w:ascii="Arial" w:hAnsi="Arial" w:cs="Arial"/>
                          <w:szCs w:val="21"/>
                        </w:rPr>
                      </w:pPr>
                      <w:r>
                        <w:rPr>
                          <w:rFonts w:ascii="Arial" w:hAnsi="宋体" w:cs="Arial"/>
                          <w:szCs w:val="21"/>
                        </w:rPr>
                        <w:t>身份证复印件粘贴处</w:t>
                      </w:r>
                    </w:p>
                    <w:p w14:paraId="5B03949B">
                      <w:r>
                        <w:rPr>
                          <w:rFonts w:ascii="Arial" w:hAnsi="宋体" w:cs="Arial"/>
                          <w:szCs w:val="21"/>
                        </w:rPr>
                        <w:t>（身份证需双面复印）</w:t>
                      </w:r>
                    </w:p>
                  </w:txbxContent>
                </v:textbox>
                <w10:wrap type="square"/>
              </v:shape>
            </w:pict>
          </mc:Fallback>
        </mc:AlternateContent>
      </w:r>
    </w:p>
    <w:p w14:paraId="43B498B7">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w:t>
      </w:r>
    </w:p>
    <w:p w14:paraId="6C47C86C">
      <w:pPr>
        <w:spacing w:line="440" w:lineRule="exact"/>
        <w:rPr>
          <w:rFonts w:hint="eastAsia" w:ascii="宋体" w:hAnsi="宋体" w:eastAsia="宋体" w:cs="宋体"/>
          <w:color w:val="auto"/>
          <w:szCs w:val="21"/>
          <w:highlight w:val="none"/>
        </w:rPr>
      </w:pPr>
    </w:p>
    <w:p w14:paraId="154EDDDD">
      <w:pPr>
        <w:spacing w:line="440" w:lineRule="exact"/>
        <w:rPr>
          <w:rFonts w:hint="eastAsia" w:ascii="宋体" w:hAnsi="宋体" w:eastAsia="宋体" w:cs="宋体"/>
          <w:color w:val="auto"/>
          <w:szCs w:val="21"/>
          <w:highlight w:val="none"/>
        </w:rPr>
      </w:pPr>
    </w:p>
    <w:p w14:paraId="2361ADB6">
      <w:pPr>
        <w:spacing w:line="440" w:lineRule="exact"/>
        <w:rPr>
          <w:rFonts w:hint="eastAsia" w:ascii="宋体" w:hAnsi="宋体" w:eastAsia="宋体" w:cs="宋体"/>
          <w:color w:val="auto"/>
          <w:szCs w:val="21"/>
          <w:highlight w:val="none"/>
        </w:rPr>
      </w:pPr>
    </w:p>
    <w:p w14:paraId="3AB2AEDE">
      <w:pPr>
        <w:spacing w:line="440" w:lineRule="exact"/>
        <w:rPr>
          <w:rFonts w:hint="eastAsia" w:ascii="宋体" w:hAnsi="宋体" w:eastAsia="宋体" w:cs="宋体"/>
          <w:color w:val="auto"/>
          <w:szCs w:val="21"/>
          <w:highlight w:val="none"/>
        </w:rPr>
      </w:pPr>
    </w:p>
    <w:p w14:paraId="6B04D8DD">
      <w:pPr>
        <w:spacing w:line="440" w:lineRule="exact"/>
        <w:rPr>
          <w:rFonts w:hint="eastAsia" w:ascii="宋体" w:hAnsi="宋体" w:eastAsia="宋体" w:cs="宋体"/>
          <w:color w:val="auto"/>
          <w:szCs w:val="21"/>
          <w:highlight w:val="none"/>
        </w:rPr>
      </w:pPr>
    </w:p>
    <w:p w14:paraId="07FB32C9">
      <w:pPr>
        <w:spacing w:line="440" w:lineRule="exact"/>
        <w:rPr>
          <w:rFonts w:hint="eastAsia" w:ascii="宋体" w:hAnsi="宋体" w:eastAsia="宋体" w:cs="宋体"/>
          <w:color w:val="auto"/>
          <w:szCs w:val="21"/>
          <w:highlight w:val="none"/>
        </w:rPr>
      </w:pPr>
    </w:p>
    <w:p w14:paraId="26851018">
      <w:pPr>
        <w:spacing w:line="440" w:lineRule="exact"/>
        <w:rPr>
          <w:rFonts w:hint="eastAsia" w:ascii="宋体" w:hAnsi="宋体" w:eastAsia="宋体" w:cs="宋体"/>
          <w:color w:val="auto"/>
          <w:szCs w:val="21"/>
          <w:highlight w:val="none"/>
        </w:rPr>
      </w:pPr>
    </w:p>
    <w:p w14:paraId="0E2D541B">
      <w:pPr>
        <w:spacing w:line="440" w:lineRule="exact"/>
        <w:rPr>
          <w:rFonts w:hint="eastAsia" w:ascii="宋体" w:hAnsi="宋体" w:eastAsia="宋体" w:cs="宋体"/>
          <w:color w:val="auto"/>
          <w:szCs w:val="21"/>
          <w:highlight w:val="none"/>
        </w:rPr>
      </w:pPr>
    </w:p>
    <w:p w14:paraId="72B91DDB">
      <w:pPr>
        <w:spacing w:line="440" w:lineRule="exact"/>
        <w:jc w:val="righ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eastAsia="zh-CN"/>
        </w:rPr>
        <w:t>投标供应商</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（盖单位章）</w:t>
      </w:r>
    </w:p>
    <w:p w14:paraId="63B3E096">
      <w:pPr>
        <w:spacing w:line="440" w:lineRule="exact"/>
        <w:rPr>
          <w:rFonts w:hint="eastAsia" w:ascii="宋体" w:hAnsi="宋体" w:eastAsia="宋体" w:cs="宋体"/>
          <w:b/>
          <w:color w:val="auto"/>
          <w:sz w:val="28"/>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日  </w:t>
      </w:r>
    </w:p>
    <w:p w14:paraId="208F833F">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02CB150C">
      <w:pPr>
        <w:pStyle w:val="3"/>
        <w:jc w:val="center"/>
        <w:rPr>
          <w:rFonts w:hint="eastAsia" w:ascii="宋体" w:hAnsi="宋体" w:eastAsia="宋体" w:cs="宋体"/>
          <w:color w:val="auto"/>
          <w:highlight w:val="none"/>
        </w:rPr>
      </w:pPr>
      <w:bookmarkStart w:id="294" w:name="_Toc2998"/>
      <w:bookmarkStart w:id="295" w:name="_Toc13894"/>
      <w:bookmarkStart w:id="296" w:name="_Toc32263"/>
      <w:r>
        <w:rPr>
          <w:rFonts w:hint="eastAsia" w:ascii="宋体" w:hAnsi="宋体" w:eastAsia="宋体" w:cs="宋体"/>
          <w:color w:val="auto"/>
          <w:sz w:val="24"/>
          <w:szCs w:val="24"/>
          <w:highlight w:val="none"/>
        </w:rPr>
        <w:t>附件</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-2 法定代表人授权委托书</w:t>
      </w:r>
      <w:bookmarkEnd w:id="294"/>
      <w:bookmarkEnd w:id="295"/>
      <w:bookmarkEnd w:id="296"/>
    </w:p>
    <w:p w14:paraId="3CA0FF41">
      <w:pPr>
        <w:spacing w:line="360" w:lineRule="auto"/>
        <w:rPr>
          <w:rFonts w:hint="eastAsia" w:ascii="宋体" w:hAnsi="宋体" w:eastAsia="宋体" w:cs="宋体"/>
          <w:snapToGrid w:val="0"/>
          <w:color w:val="auto"/>
          <w:kern w:val="0"/>
          <w:szCs w:val="21"/>
          <w:highlight w:val="none"/>
          <w:lang w:eastAsia="zh-CN"/>
        </w:rPr>
      </w:pPr>
      <w:r>
        <w:rPr>
          <w:rFonts w:hint="eastAsia" w:ascii="宋体" w:hAnsi="宋体" w:eastAsia="宋体" w:cs="宋体"/>
          <w:snapToGrid w:val="0"/>
          <w:color w:val="auto"/>
          <w:kern w:val="0"/>
          <w:szCs w:val="21"/>
          <w:highlight w:val="none"/>
        </w:rPr>
        <w:t>温州瓯瓷产业发展有限公司</w:t>
      </w:r>
      <w:r>
        <w:rPr>
          <w:rFonts w:hint="eastAsia" w:ascii="宋体" w:hAnsi="宋体" w:eastAsia="宋体" w:cs="宋体"/>
          <w:snapToGrid w:val="0"/>
          <w:color w:val="auto"/>
          <w:kern w:val="0"/>
          <w:szCs w:val="21"/>
          <w:highlight w:val="none"/>
          <w:lang w:eastAsia="zh-CN"/>
        </w:rPr>
        <w:t>：</w:t>
      </w:r>
    </w:p>
    <w:p w14:paraId="58FA1389">
      <w:pPr>
        <w:spacing w:line="360" w:lineRule="auto"/>
        <w:ind w:firstLine="420" w:firstLineChars="200"/>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rPr>
        <w:t>本授权委托书声明：我</w:t>
      </w:r>
      <w:r>
        <w:rPr>
          <w:rFonts w:hint="eastAsia" w:ascii="宋体" w:hAnsi="宋体" w:eastAsia="宋体" w:cs="宋体"/>
          <w:snapToGrid w:val="0"/>
          <w:color w:val="auto"/>
          <w:kern w:val="0"/>
          <w:szCs w:val="21"/>
          <w:highlight w:val="none"/>
          <w:u w:val="single"/>
        </w:rPr>
        <w:t xml:space="preserve">  （法定代表人姓名）  </w:t>
      </w:r>
      <w:r>
        <w:rPr>
          <w:rFonts w:hint="eastAsia" w:ascii="宋体" w:hAnsi="宋体" w:eastAsia="宋体" w:cs="宋体"/>
          <w:snapToGrid w:val="0"/>
          <w:color w:val="auto"/>
          <w:kern w:val="0"/>
          <w:szCs w:val="21"/>
          <w:highlight w:val="none"/>
        </w:rPr>
        <w:t>系</w:t>
      </w:r>
      <w:r>
        <w:rPr>
          <w:rFonts w:hint="eastAsia" w:ascii="宋体" w:hAnsi="宋体" w:eastAsia="宋体" w:cs="宋体"/>
          <w:snapToGrid w:val="0"/>
          <w:color w:val="auto"/>
          <w:kern w:val="0"/>
          <w:szCs w:val="21"/>
          <w:highlight w:val="none"/>
          <w:u w:val="single"/>
        </w:rPr>
        <w:t xml:space="preserve">      （</w:t>
      </w:r>
      <w:r>
        <w:rPr>
          <w:rFonts w:hint="eastAsia" w:ascii="宋体" w:hAnsi="宋体" w:eastAsia="宋体" w:cs="宋体"/>
          <w:snapToGrid w:val="0"/>
          <w:color w:val="auto"/>
          <w:kern w:val="0"/>
          <w:szCs w:val="21"/>
          <w:highlight w:val="none"/>
          <w:u w:val="single"/>
          <w:lang w:eastAsia="zh-CN"/>
        </w:rPr>
        <w:t>投标供应商</w:t>
      </w:r>
      <w:r>
        <w:rPr>
          <w:rFonts w:hint="eastAsia" w:ascii="宋体" w:hAnsi="宋体" w:eastAsia="宋体" w:cs="宋体"/>
          <w:snapToGrid w:val="0"/>
          <w:color w:val="auto"/>
          <w:kern w:val="0"/>
          <w:szCs w:val="21"/>
          <w:highlight w:val="none"/>
          <w:u w:val="single"/>
        </w:rPr>
        <w:t xml:space="preserve">名称）       </w:t>
      </w:r>
      <w:r>
        <w:rPr>
          <w:rFonts w:hint="eastAsia" w:ascii="宋体" w:hAnsi="宋体" w:eastAsia="宋体" w:cs="宋体"/>
          <w:snapToGrid w:val="0"/>
          <w:color w:val="auto"/>
          <w:kern w:val="0"/>
          <w:szCs w:val="21"/>
          <w:highlight w:val="none"/>
        </w:rPr>
        <w:t>的法定代表人，现授权委托</w:t>
      </w:r>
      <w:r>
        <w:rPr>
          <w:rFonts w:hint="eastAsia" w:ascii="宋体" w:hAnsi="宋体" w:eastAsia="宋体" w:cs="宋体"/>
          <w:snapToGrid w:val="0"/>
          <w:color w:val="auto"/>
          <w:kern w:val="0"/>
          <w:szCs w:val="21"/>
          <w:highlight w:val="none"/>
          <w:u w:val="single"/>
        </w:rPr>
        <w:t xml:space="preserve">  （</w:t>
      </w:r>
      <w:r>
        <w:rPr>
          <w:rFonts w:hint="eastAsia" w:ascii="宋体" w:hAnsi="宋体" w:eastAsia="宋体" w:cs="宋体"/>
          <w:snapToGrid w:val="0"/>
          <w:color w:val="auto"/>
          <w:kern w:val="0"/>
          <w:szCs w:val="21"/>
          <w:highlight w:val="none"/>
          <w:u w:val="single"/>
          <w:lang w:eastAsia="zh-CN"/>
        </w:rPr>
        <w:t>投标供应商</w:t>
      </w:r>
      <w:r>
        <w:rPr>
          <w:rFonts w:hint="eastAsia" w:ascii="宋体" w:hAnsi="宋体" w:eastAsia="宋体" w:cs="宋体"/>
          <w:snapToGrid w:val="0"/>
          <w:color w:val="auto"/>
          <w:kern w:val="0"/>
          <w:szCs w:val="21"/>
          <w:highlight w:val="none"/>
          <w:u w:val="single"/>
        </w:rPr>
        <w:t xml:space="preserve">名称）   </w:t>
      </w:r>
      <w:r>
        <w:rPr>
          <w:rFonts w:hint="eastAsia" w:ascii="宋体" w:hAnsi="宋体" w:eastAsia="宋体" w:cs="宋体"/>
          <w:snapToGrid w:val="0"/>
          <w:color w:val="auto"/>
          <w:kern w:val="0"/>
          <w:szCs w:val="21"/>
          <w:highlight w:val="none"/>
        </w:rPr>
        <w:t>的</w:t>
      </w:r>
      <w:r>
        <w:rPr>
          <w:rFonts w:hint="eastAsia" w:ascii="宋体" w:hAnsi="宋体" w:eastAsia="宋体" w:cs="宋体"/>
          <w:snapToGrid w:val="0"/>
          <w:color w:val="auto"/>
          <w:kern w:val="0"/>
          <w:szCs w:val="21"/>
          <w:highlight w:val="none"/>
          <w:u w:val="single"/>
        </w:rPr>
        <w:t xml:space="preserve">  （授权代表姓名）  </w:t>
      </w:r>
      <w:r>
        <w:rPr>
          <w:rFonts w:hint="eastAsia" w:ascii="宋体" w:hAnsi="宋体" w:eastAsia="宋体" w:cs="宋体"/>
          <w:snapToGrid w:val="0"/>
          <w:color w:val="auto"/>
          <w:kern w:val="0"/>
          <w:szCs w:val="21"/>
          <w:highlight w:val="none"/>
        </w:rPr>
        <w:t>为我公司法定代表人授权代表，参加贵处组织的</w:t>
      </w:r>
      <w:r>
        <w:rPr>
          <w:rFonts w:hint="eastAsia" w:ascii="宋体" w:hAnsi="宋体" w:eastAsia="宋体" w:cs="宋体"/>
          <w:snapToGrid w:val="0"/>
          <w:color w:val="auto"/>
          <w:kern w:val="0"/>
          <w:szCs w:val="21"/>
          <w:highlight w:val="none"/>
          <w:u w:val="single"/>
        </w:rPr>
        <w:t xml:space="preserve">  （招标项目名称</w:t>
      </w:r>
      <w:r>
        <w:rPr>
          <w:rFonts w:hint="eastAsia" w:ascii="宋体" w:hAnsi="宋体" w:eastAsia="宋体" w:cs="宋体"/>
          <w:snapToGrid w:val="0"/>
          <w:color w:val="auto"/>
          <w:kern w:val="0"/>
          <w:szCs w:val="21"/>
          <w:highlight w:val="none"/>
          <w:u w:val="single"/>
          <w:lang w:eastAsia="zh-CN"/>
        </w:rPr>
        <w:t>、项目编号</w:t>
      </w:r>
      <w:r>
        <w:rPr>
          <w:rFonts w:hint="eastAsia" w:ascii="宋体" w:hAnsi="宋体" w:eastAsia="宋体" w:cs="宋体"/>
          <w:snapToGrid w:val="0"/>
          <w:color w:val="auto"/>
          <w:kern w:val="0"/>
          <w:szCs w:val="21"/>
          <w:highlight w:val="none"/>
          <w:u w:val="single"/>
        </w:rPr>
        <w:t xml:space="preserve">）  </w:t>
      </w:r>
      <w:r>
        <w:rPr>
          <w:rFonts w:hint="eastAsia" w:ascii="宋体" w:hAnsi="宋体" w:eastAsia="宋体" w:cs="宋体"/>
          <w:snapToGrid w:val="0"/>
          <w:color w:val="auto"/>
          <w:kern w:val="0"/>
          <w:szCs w:val="21"/>
          <w:highlight w:val="none"/>
        </w:rPr>
        <w:t>项目投标，全权处理本次招投标活动中的一切事宜，我承认授权代表全权代表我所签署的本项目的投标文件及招投标活动相关文件的内容。</w:t>
      </w:r>
    </w:p>
    <w:p w14:paraId="2F2D51C7">
      <w:pPr>
        <w:spacing w:line="500" w:lineRule="exact"/>
        <w:ind w:firstLine="612"/>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rPr>
        <w:t>授权代表无转授权，特此授权。</w:t>
      </w:r>
    </w:p>
    <w:p w14:paraId="79F2FD04">
      <w:pPr>
        <w:spacing w:line="500" w:lineRule="exact"/>
        <w:ind w:firstLine="612"/>
        <w:rPr>
          <w:rFonts w:hint="eastAsia" w:ascii="宋体" w:hAnsi="宋体" w:eastAsia="宋体" w:cs="宋体"/>
          <w:color w:val="auto"/>
          <w:szCs w:val="21"/>
          <w:highlight w:val="none"/>
        </w:rPr>
      </w:pPr>
      <w:r>
        <w:rPr>
          <w:rFonts w:hint="eastAsia" w:ascii="宋体" w:hAnsi="宋体" w:eastAsia="宋体" w:cs="宋体"/>
          <w:color w:val="auto"/>
          <w:szCs w:val="21"/>
          <w:highlight w:val="none"/>
        </w:rPr>
        <w:t>附：</w:t>
      </w:r>
    </w:p>
    <w:tbl>
      <w:tblPr>
        <w:tblStyle w:val="49"/>
        <w:tblW w:w="8460" w:type="dxa"/>
        <w:tblInd w:w="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0"/>
        <w:gridCol w:w="2070"/>
        <w:gridCol w:w="2070"/>
        <w:gridCol w:w="2070"/>
      </w:tblGrid>
      <w:tr w14:paraId="210FF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250" w:type="dxa"/>
            <w:tcBorders>
              <w:top w:val="single" w:color="auto" w:sz="12" w:space="0"/>
              <w:left w:val="single" w:color="auto" w:sz="12" w:space="0"/>
            </w:tcBorders>
            <w:vAlign w:val="center"/>
          </w:tcPr>
          <w:p w14:paraId="23E5C21E">
            <w:pPr>
              <w:ind w:firstLine="210" w:firstLineChars="1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授权代表姓名</w:t>
            </w:r>
          </w:p>
        </w:tc>
        <w:tc>
          <w:tcPr>
            <w:tcW w:w="2070" w:type="dxa"/>
            <w:tcBorders>
              <w:top w:val="single" w:color="auto" w:sz="12" w:space="0"/>
            </w:tcBorders>
            <w:vAlign w:val="center"/>
          </w:tcPr>
          <w:p w14:paraId="349B9AF9">
            <w:pPr>
              <w:ind w:firstLine="610"/>
              <w:jc w:val="right"/>
              <w:rPr>
                <w:rFonts w:hint="eastAsia" w:ascii="宋体" w:hAnsi="宋体" w:eastAsia="宋体" w:cs="宋体"/>
                <w:color w:val="auto"/>
                <w:szCs w:val="21"/>
                <w:highlight w:val="none"/>
              </w:rPr>
            </w:pPr>
          </w:p>
        </w:tc>
        <w:tc>
          <w:tcPr>
            <w:tcW w:w="2070" w:type="dxa"/>
            <w:tcBorders>
              <w:top w:val="single" w:color="auto" w:sz="12" w:space="0"/>
            </w:tcBorders>
            <w:vAlign w:val="center"/>
          </w:tcPr>
          <w:p w14:paraId="53C99883">
            <w:pPr>
              <w:ind w:firstLine="210" w:firstLineChars="1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性      别</w:t>
            </w:r>
          </w:p>
        </w:tc>
        <w:tc>
          <w:tcPr>
            <w:tcW w:w="2070" w:type="dxa"/>
            <w:tcBorders>
              <w:top w:val="single" w:color="auto" w:sz="12" w:space="0"/>
              <w:right w:val="single" w:color="auto" w:sz="12" w:space="0"/>
            </w:tcBorders>
            <w:vAlign w:val="center"/>
          </w:tcPr>
          <w:p w14:paraId="5143FBD8">
            <w:pPr>
              <w:ind w:firstLine="610"/>
              <w:jc w:val="right"/>
              <w:rPr>
                <w:rFonts w:hint="eastAsia" w:ascii="宋体" w:hAnsi="宋体" w:eastAsia="宋体" w:cs="宋体"/>
                <w:color w:val="auto"/>
                <w:szCs w:val="21"/>
                <w:highlight w:val="none"/>
              </w:rPr>
            </w:pPr>
          </w:p>
        </w:tc>
      </w:tr>
      <w:tr w14:paraId="666E0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250" w:type="dxa"/>
            <w:tcBorders>
              <w:left w:val="single" w:color="auto" w:sz="12" w:space="0"/>
            </w:tcBorders>
            <w:vAlign w:val="center"/>
          </w:tcPr>
          <w:p w14:paraId="75BDD86B">
            <w:pPr>
              <w:ind w:firstLine="210" w:firstLineChars="1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出 生 年 月</w:t>
            </w:r>
          </w:p>
        </w:tc>
        <w:tc>
          <w:tcPr>
            <w:tcW w:w="2070" w:type="dxa"/>
            <w:vAlign w:val="center"/>
          </w:tcPr>
          <w:p w14:paraId="4898EE78">
            <w:pPr>
              <w:ind w:firstLine="610"/>
              <w:jc w:val="right"/>
              <w:rPr>
                <w:rFonts w:hint="eastAsia" w:ascii="宋体" w:hAnsi="宋体" w:eastAsia="宋体" w:cs="宋体"/>
                <w:color w:val="auto"/>
                <w:szCs w:val="21"/>
                <w:highlight w:val="none"/>
              </w:rPr>
            </w:pPr>
          </w:p>
        </w:tc>
        <w:tc>
          <w:tcPr>
            <w:tcW w:w="2070" w:type="dxa"/>
            <w:vAlign w:val="center"/>
          </w:tcPr>
          <w:p w14:paraId="7D34BCC3">
            <w:pPr>
              <w:ind w:firstLine="210" w:firstLineChars="1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身份证号码</w:t>
            </w:r>
          </w:p>
        </w:tc>
        <w:tc>
          <w:tcPr>
            <w:tcW w:w="2070" w:type="dxa"/>
            <w:tcBorders>
              <w:right w:val="single" w:color="auto" w:sz="12" w:space="0"/>
            </w:tcBorders>
            <w:vAlign w:val="center"/>
          </w:tcPr>
          <w:p w14:paraId="43C5E8E6">
            <w:pPr>
              <w:ind w:firstLine="610"/>
              <w:jc w:val="right"/>
              <w:rPr>
                <w:rFonts w:hint="eastAsia" w:ascii="宋体" w:hAnsi="宋体" w:eastAsia="宋体" w:cs="宋体"/>
                <w:color w:val="auto"/>
                <w:szCs w:val="21"/>
                <w:highlight w:val="none"/>
              </w:rPr>
            </w:pPr>
          </w:p>
        </w:tc>
      </w:tr>
      <w:tr w14:paraId="72109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250" w:type="dxa"/>
            <w:tcBorders>
              <w:left w:val="single" w:color="auto" w:sz="12" w:space="0"/>
            </w:tcBorders>
            <w:vAlign w:val="center"/>
          </w:tcPr>
          <w:p w14:paraId="55B57297">
            <w:pPr>
              <w:ind w:firstLine="210" w:firstLineChars="1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       位</w:t>
            </w:r>
          </w:p>
        </w:tc>
        <w:tc>
          <w:tcPr>
            <w:tcW w:w="2070" w:type="dxa"/>
            <w:vAlign w:val="center"/>
          </w:tcPr>
          <w:p w14:paraId="22074E97">
            <w:pPr>
              <w:ind w:firstLine="610"/>
              <w:jc w:val="right"/>
              <w:rPr>
                <w:rFonts w:hint="eastAsia" w:ascii="宋体" w:hAnsi="宋体" w:eastAsia="宋体" w:cs="宋体"/>
                <w:color w:val="auto"/>
                <w:szCs w:val="21"/>
                <w:highlight w:val="none"/>
              </w:rPr>
            </w:pPr>
          </w:p>
        </w:tc>
        <w:tc>
          <w:tcPr>
            <w:tcW w:w="2070" w:type="dxa"/>
            <w:vAlign w:val="center"/>
          </w:tcPr>
          <w:p w14:paraId="239507C7">
            <w:pPr>
              <w:ind w:firstLine="210" w:firstLineChars="1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部      门</w:t>
            </w:r>
          </w:p>
        </w:tc>
        <w:tc>
          <w:tcPr>
            <w:tcW w:w="2070" w:type="dxa"/>
            <w:tcBorders>
              <w:right w:val="single" w:color="auto" w:sz="12" w:space="0"/>
            </w:tcBorders>
            <w:vAlign w:val="center"/>
          </w:tcPr>
          <w:p w14:paraId="13493DA4">
            <w:pPr>
              <w:ind w:firstLine="610"/>
              <w:jc w:val="right"/>
              <w:rPr>
                <w:rFonts w:hint="eastAsia" w:ascii="宋体" w:hAnsi="宋体" w:eastAsia="宋体" w:cs="宋体"/>
                <w:color w:val="auto"/>
                <w:szCs w:val="21"/>
                <w:highlight w:val="none"/>
              </w:rPr>
            </w:pPr>
          </w:p>
        </w:tc>
      </w:tr>
      <w:tr w14:paraId="0367E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250" w:type="dxa"/>
            <w:tcBorders>
              <w:left w:val="single" w:color="auto" w:sz="12" w:space="0"/>
            </w:tcBorders>
            <w:vAlign w:val="center"/>
          </w:tcPr>
          <w:p w14:paraId="40ADB4DB">
            <w:pPr>
              <w:ind w:firstLine="210" w:firstLineChars="1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职       务</w:t>
            </w:r>
          </w:p>
        </w:tc>
        <w:tc>
          <w:tcPr>
            <w:tcW w:w="2070" w:type="dxa"/>
            <w:vAlign w:val="center"/>
          </w:tcPr>
          <w:p w14:paraId="1D272707">
            <w:pPr>
              <w:ind w:firstLine="610"/>
              <w:jc w:val="right"/>
              <w:rPr>
                <w:rFonts w:hint="eastAsia" w:ascii="宋体" w:hAnsi="宋体" w:eastAsia="宋体" w:cs="宋体"/>
                <w:color w:val="auto"/>
                <w:szCs w:val="21"/>
                <w:highlight w:val="none"/>
              </w:rPr>
            </w:pPr>
          </w:p>
        </w:tc>
        <w:tc>
          <w:tcPr>
            <w:tcW w:w="2070" w:type="dxa"/>
            <w:vAlign w:val="center"/>
          </w:tcPr>
          <w:p w14:paraId="2E27C70C">
            <w:pPr>
              <w:ind w:firstLine="210" w:firstLineChars="1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 系 电话</w:t>
            </w:r>
          </w:p>
        </w:tc>
        <w:tc>
          <w:tcPr>
            <w:tcW w:w="2070" w:type="dxa"/>
            <w:tcBorders>
              <w:right w:val="single" w:color="auto" w:sz="12" w:space="0"/>
            </w:tcBorders>
            <w:vAlign w:val="center"/>
          </w:tcPr>
          <w:p w14:paraId="445079F3">
            <w:pPr>
              <w:ind w:firstLine="610"/>
              <w:jc w:val="right"/>
              <w:rPr>
                <w:rFonts w:hint="eastAsia" w:ascii="宋体" w:hAnsi="宋体" w:eastAsia="宋体" w:cs="宋体"/>
                <w:color w:val="auto"/>
                <w:szCs w:val="21"/>
                <w:highlight w:val="none"/>
              </w:rPr>
            </w:pPr>
          </w:p>
        </w:tc>
      </w:tr>
      <w:tr w14:paraId="42AEC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8" w:hRule="atLeast"/>
        </w:trPr>
        <w:tc>
          <w:tcPr>
            <w:tcW w:w="8460" w:type="dxa"/>
            <w:gridSpan w:val="4"/>
            <w:tcBorders>
              <w:left w:val="single" w:color="auto" w:sz="12" w:space="0"/>
              <w:bottom w:val="single" w:color="auto" w:sz="12" w:space="0"/>
              <w:right w:val="single" w:color="auto" w:sz="12" w:space="0"/>
            </w:tcBorders>
            <w:vAlign w:val="center"/>
          </w:tcPr>
          <w:p w14:paraId="3930B159">
            <w:pPr>
              <w:spacing w:line="360" w:lineRule="auto"/>
              <w:ind w:firstLine="61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身份证复印件粘贴处</w:t>
            </w:r>
          </w:p>
          <w:p w14:paraId="419CC796">
            <w:pPr>
              <w:spacing w:line="360" w:lineRule="auto"/>
              <w:ind w:firstLine="61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（身份证需双面复印）</w:t>
            </w:r>
          </w:p>
        </w:tc>
      </w:tr>
    </w:tbl>
    <w:p w14:paraId="18BCEB06">
      <w:pPr>
        <w:spacing w:line="360" w:lineRule="auto"/>
        <w:rPr>
          <w:rFonts w:hint="eastAsia" w:ascii="宋体" w:hAnsi="宋体" w:eastAsia="宋体" w:cs="宋体"/>
          <w:color w:val="auto"/>
          <w:szCs w:val="21"/>
          <w:highlight w:val="none"/>
        </w:rPr>
      </w:pPr>
    </w:p>
    <w:p w14:paraId="47F113A6">
      <w:pPr>
        <w:spacing w:line="360" w:lineRule="auto"/>
        <w:ind w:firstLine="420" w:firstLineChars="200"/>
        <w:jc w:val="center"/>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lang w:val="en-US" w:eastAsia="zh-CN"/>
        </w:rPr>
        <w:t xml:space="preserve">                                                  </w:t>
      </w:r>
      <w:r>
        <w:rPr>
          <w:rFonts w:hint="eastAsia" w:ascii="宋体" w:hAnsi="宋体" w:eastAsia="宋体" w:cs="宋体"/>
          <w:snapToGrid w:val="0"/>
          <w:color w:val="auto"/>
          <w:kern w:val="0"/>
          <w:szCs w:val="21"/>
          <w:highlight w:val="none"/>
          <w:lang w:eastAsia="zh-CN"/>
        </w:rPr>
        <w:t>投标供应商</w:t>
      </w:r>
      <w:r>
        <w:rPr>
          <w:rFonts w:hint="eastAsia" w:ascii="宋体" w:hAnsi="宋体" w:eastAsia="宋体" w:cs="宋体"/>
          <w:snapToGrid w:val="0"/>
          <w:color w:val="auto"/>
          <w:kern w:val="0"/>
          <w:szCs w:val="21"/>
          <w:highlight w:val="none"/>
        </w:rPr>
        <w:t>（公章）：</w:t>
      </w:r>
    </w:p>
    <w:p w14:paraId="40B8B2DA">
      <w:pPr>
        <w:spacing w:line="360" w:lineRule="auto"/>
        <w:ind w:firstLine="420" w:firstLineChars="200"/>
        <w:jc w:val="right"/>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rPr>
        <w:t>法定代表人（签字或盖章）：</w:t>
      </w:r>
    </w:p>
    <w:p w14:paraId="42525B02">
      <w:pPr>
        <w:spacing w:line="360" w:lineRule="auto"/>
        <w:ind w:firstLine="420" w:firstLineChars="200"/>
        <w:jc w:val="center"/>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lang w:val="en-US" w:eastAsia="zh-CN"/>
        </w:rPr>
        <w:t xml:space="preserve">                                     </w:t>
      </w:r>
      <w:r>
        <w:rPr>
          <w:rFonts w:hint="eastAsia" w:ascii="宋体" w:hAnsi="宋体" w:eastAsia="宋体" w:cs="宋体"/>
          <w:snapToGrid w:val="0"/>
          <w:color w:val="auto"/>
          <w:kern w:val="0"/>
          <w:szCs w:val="21"/>
          <w:highlight w:val="none"/>
        </w:rPr>
        <w:t>日</w:t>
      </w:r>
      <w:r>
        <w:rPr>
          <w:rFonts w:hint="eastAsia" w:ascii="宋体" w:hAnsi="宋体" w:eastAsia="宋体" w:cs="宋体"/>
          <w:snapToGrid w:val="0"/>
          <w:color w:val="auto"/>
          <w:kern w:val="0"/>
          <w:szCs w:val="21"/>
          <w:highlight w:val="none"/>
          <w:lang w:val="en-US" w:eastAsia="zh-CN"/>
        </w:rPr>
        <w:t xml:space="preserve"> </w:t>
      </w:r>
      <w:r>
        <w:rPr>
          <w:rFonts w:hint="eastAsia" w:ascii="宋体" w:hAnsi="宋体" w:eastAsia="宋体" w:cs="宋体"/>
          <w:snapToGrid w:val="0"/>
          <w:color w:val="auto"/>
          <w:kern w:val="0"/>
          <w:szCs w:val="21"/>
          <w:highlight w:val="none"/>
        </w:rPr>
        <w:t>期：</w:t>
      </w:r>
    </w:p>
    <w:p w14:paraId="1FC3446B">
      <w:pPr>
        <w:spacing w:line="400" w:lineRule="exact"/>
        <w:jc w:val="center"/>
        <w:outlineLvl w:val="1"/>
        <w:rPr>
          <w:rFonts w:hint="eastAsia" w:ascii="宋体" w:hAnsi="宋体" w:eastAsia="宋体" w:cs="宋体"/>
          <w:color w:val="auto"/>
          <w:sz w:val="24"/>
          <w:szCs w:val="24"/>
          <w:highlight w:val="none"/>
        </w:rPr>
      </w:pPr>
      <w:bookmarkStart w:id="297" w:name="_Toc186617637"/>
      <w:bookmarkStart w:id="298" w:name="_Toc191204214"/>
      <w:r>
        <w:rPr>
          <w:rFonts w:hint="eastAsia" w:ascii="宋体" w:hAnsi="宋体" w:eastAsia="宋体" w:cs="宋体"/>
          <w:color w:val="auto"/>
          <w:kern w:val="0"/>
          <w:szCs w:val="21"/>
          <w:highlight w:val="none"/>
        </w:rPr>
        <w:br w:type="page"/>
      </w:r>
      <w:bookmarkStart w:id="299" w:name="_Toc388974304"/>
      <w:bookmarkStart w:id="300" w:name="_Toc4643"/>
      <w:bookmarkStart w:id="301" w:name="_Toc27718"/>
      <w:bookmarkStart w:id="302" w:name="_Toc412788168"/>
      <w:bookmarkStart w:id="303" w:name="_Toc11706"/>
      <w:bookmarkStart w:id="304" w:name="_Toc22558"/>
      <w:r>
        <w:rPr>
          <w:rFonts w:hint="eastAsia" w:ascii="宋体" w:hAnsi="宋体" w:eastAsia="宋体" w:cs="宋体"/>
          <w:b/>
          <w:bCs/>
          <w:color w:val="auto"/>
          <w:kern w:val="2"/>
          <w:sz w:val="24"/>
          <w:szCs w:val="24"/>
          <w:highlight w:val="none"/>
          <w:lang w:val="en-US" w:eastAsia="zh-CN" w:bidi="ar-SA"/>
        </w:rPr>
        <w:t xml:space="preserve">附件3-1  </w:t>
      </w:r>
      <w:bookmarkEnd w:id="299"/>
      <w:r>
        <w:rPr>
          <w:rFonts w:hint="eastAsia" w:ascii="宋体" w:hAnsi="宋体" w:eastAsia="宋体" w:cs="宋体"/>
          <w:b/>
          <w:bCs/>
          <w:color w:val="auto"/>
          <w:kern w:val="2"/>
          <w:sz w:val="24"/>
          <w:szCs w:val="24"/>
          <w:highlight w:val="none"/>
          <w:lang w:val="en-US" w:eastAsia="zh-CN" w:bidi="ar-SA"/>
        </w:rPr>
        <w:t>开标一览表</w:t>
      </w:r>
      <w:bookmarkEnd w:id="300"/>
      <w:bookmarkEnd w:id="301"/>
      <w:bookmarkEnd w:id="302"/>
      <w:bookmarkEnd w:id="303"/>
      <w:bookmarkEnd w:id="304"/>
    </w:p>
    <w:p w14:paraId="479E8764">
      <w:pPr>
        <w:pStyle w:val="7"/>
        <w:spacing w:line="400" w:lineRule="exact"/>
        <w:ind w:firstLine="0"/>
        <w:rPr>
          <w:rFonts w:hint="eastAsia" w:ascii="宋体" w:hAnsi="宋体" w:eastAsia="宋体" w:cs="宋体"/>
          <w:color w:val="auto"/>
          <w:highlight w:val="none"/>
        </w:rPr>
      </w:pPr>
    </w:p>
    <w:p w14:paraId="1154D10F">
      <w:pPr>
        <w:pStyle w:val="7"/>
        <w:spacing w:line="400" w:lineRule="exact"/>
        <w:ind w:firstLine="0"/>
        <w:rPr>
          <w:rFonts w:hint="eastAsia" w:ascii="宋体" w:hAnsi="宋体" w:eastAsia="宋体" w:cs="宋体"/>
          <w:color w:val="auto"/>
          <w:highlight w:val="none"/>
        </w:rPr>
      </w:pPr>
      <w:r>
        <w:rPr>
          <w:rFonts w:hint="eastAsia" w:ascii="宋体" w:hAnsi="宋体" w:eastAsia="宋体" w:cs="宋体"/>
          <w:color w:val="auto"/>
          <w:sz w:val="22"/>
          <w:szCs w:val="18"/>
          <w:highlight w:val="none"/>
        </w:rPr>
        <w:t>项目</w:t>
      </w:r>
      <w:r>
        <w:rPr>
          <w:rFonts w:hint="eastAsia" w:ascii="宋体" w:hAnsi="宋体" w:eastAsia="宋体" w:cs="宋体"/>
          <w:color w:val="auto"/>
          <w:sz w:val="22"/>
          <w:szCs w:val="18"/>
          <w:highlight w:val="none"/>
          <w:lang w:eastAsia="zh-CN"/>
        </w:rPr>
        <w:t>编号</w:t>
      </w:r>
      <w:r>
        <w:rPr>
          <w:rFonts w:hint="eastAsia" w:ascii="宋体" w:hAnsi="宋体" w:eastAsia="宋体" w:cs="宋体"/>
          <w:color w:val="auto"/>
          <w:sz w:val="22"/>
          <w:szCs w:val="18"/>
          <w:highlight w:val="none"/>
        </w:rPr>
        <w:t>：</w:t>
      </w:r>
      <w:r>
        <w:rPr>
          <w:rFonts w:hint="eastAsia" w:ascii="宋体" w:hAnsi="宋体" w:cs="宋体"/>
          <w:color w:val="auto"/>
          <w:sz w:val="22"/>
          <w:szCs w:val="18"/>
          <w:highlight w:val="none"/>
          <w:lang w:val="en-US" w:eastAsia="zh-CN"/>
        </w:rPr>
        <w:t>WGSS-GYNY-Z-2025022</w:t>
      </w:r>
      <w:r>
        <w:rPr>
          <w:rFonts w:hint="eastAsia" w:ascii="宋体" w:hAnsi="宋体" w:eastAsia="宋体" w:cs="宋体"/>
          <w:color w:val="auto"/>
          <w:sz w:val="22"/>
          <w:szCs w:val="18"/>
          <w:highlight w:val="none"/>
        </w:rPr>
        <w:t xml:space="preserve">                  </w:t>
      </w:r>
      <w:r>
        <w:rPr>
          <w:rFonts w:hint="eastAsia" w:ascii="宋体" w:hAnsi="宋体" w:eastAsia="宋体" w:cs="宋体"/>
          <w:color w:val="auto"/>
          <w:sz w:val="22"/>
          <w:szCs w:val="18"/>
          <w:highlight w:val="none"/>
          <w:lang w:val="en-US" w:eastAsia="zh-CN"/>
        </w:rPr>
        <w:t xml:space="preserve"> </w:t>
      </w:r>
      <w:r>
        <w:rPr>
          <w:rFonts w:hint="eastAsia" w:ascii="宋体" w:hAnsi="宋体" w:eastAsia="宋体" w:cs="宋体"/>
          <w:color w:val="auto"/>
          <w:sz w:val="22"/>
          <w:szCs w:val="18"/>
          <w:highlight w:val="none"/>
        </w:rPr>
        <w:t xml:space="preserve"> （价格单位：人民币元）</w:t>
      </w:r>
    </w:p>
    <w:tbl>
      <w:tblPr>
        <w:tblStyle w:val="49"/>
        <w:tblW w:w="910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795"/>
        <w:gridCol w:w="2803"/>
        <w:gridCol w:w="2284"/>
        <w:gridCol w:w="1224"/>
      </w:tblGrid>
      <w:tr w14:paraId="014EDA4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2795" w:type="dxa"/>
            <w:tcBorders>
              <w:bottom w:val="single" w:color="auto" w:sz="4" w:space="0"/>
            </w:tcBorders>
            <w:vAlign w:val="center"/>
          </w:tcPr>
          <w:p w14:paraId="1E5FC150">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项目名称</w:t>
            </w:r>
          </w:p>
        </w:tc>
        <w:tc>
          <w:tcPr>
            <w:tcW w:w="2803" w:type="dxa"/>
            <w:vAlign w:val="center"/>
          </w:tcPr>
          <w:p w14:paraId="434EDAB2">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投标总价</w:t>
            </w:r>
          </w:p>
          <w:p w14:paraId="6B86093B">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（人民币元）</w:t>
            </w:r>
          </w:p>
        </w:tc>
        <w:tc>
          <w:tcPr>
            <w:tcW w:w="2284" w:type="dxa"/>
            <w:vAlign w:val="center"/>
          </w:tcPr>
          <w:p w14:paraId="1707D7DD">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合同履约期限</w:t>
            </w:r>
          </w:p>
        </w:tc>
        <w:tc>
          <w:tcPr>
            <w:tcW w:w="1224" w:type="dxa"/>
            <w:vAlign w:val="center"/>
          </w:tcPr>
          <w:p w14:paraId="2996405C">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质保期</w:t>
            </w:r>
          </w:p>
        </w:tc>
      </w:tr>
      <w:tr w14:paraId="3EDC589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2795" w:type="dxa"/>
            <w:tcBorders>
              <w:top w:val="single" w:color="auto" w:sz="4" w:space="0"/>
            </w:tcBorders>
            <w:vAlign w:val="center"/>
          </w:tcPr>
          <w:p w14:paraId="2F91114E">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宋体" w:hAnsi="宋体" w:eastAsia="宋体" w:cs="宋体"/>
                <w:color w:val="auto"/>
                <w:highlight w:val="none"/>
                <w:lang w:eastAsia="zh-CN"/>
              </w:rPr>
            </w:pPr>
            <w:r>
              <w:rPr>
                <w:rFonts w:hint="eastAsia" w:ascii="宋体" w:hAnsi="宋体" w:cs="宋体"/>
                <w:color w:val="auto"/>
                <w:highlight w:val="none"/>
                <w:lang w:eastAsia="zh-CN"/>
              </w:rPr>
              <w:t>瓯窑产业化项目研发生产提效设备-陶艺工作室仪器设备</w:t>
            </w:r>
          </w:p>
        </w:tc>
        <w:tc>
          <w:tcPr>
            <w:tcW w:w="2803" w:type="dxa"/>
            <w:vAlign w:val="center"/>
          </w:tcPr>
          <w:p w14:paraId="7A8CE81E">
            <w:pPr>
              <w:keepNext w:val="0"/>
              <w:keepLines w:val="0"/>
              <w:pageBreakBefore w:val="0"/>
              <w:widowControl w:val="0"/>
              <w:kinsoku/>
              <w:wordWrap/>
              <w:overflowPunct/>
              <w:topLinePunct w:val="0"/>
              <w:autoSpaceDE/>
              <w:autoSpaceDN/>
              <w:bidi w:val="0"/>
              <w:adjustRightInd/>
              <w:snapToGrid/>
              <w:spacing w:line="400" w:lineRule="exact"/>
              <w:ind w:right="0" w:rightChars="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小写：</w:t>
            </w:r>
          </w:p>
          <w:p w14:paraId="2E960336">
            <w:pPr>
              <w:keepNext w:val="0"/>
              <w:keepLines w:val="0"/>
              <w:pageBreakBefore w:val="0"/>
              <w:widowControl w:val="0"/>
              <w:kinsoku/>
              <w:wordWrap/>
              <w:overflowPunct/>
              <w:topLinePunct w:val="0"/>
              <w:autoSpaceDE/>
              <w:autoSpaceDN/>
              <w:bidi w:val="0"/>
              <w:adjustRightInd/>
              <w:snapToGrid/>
              <w:spacing w:line="400" w:lineRule="exact"/>
              <w:ind w:right="0" w:rightChars="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大写：</w:t>
            </w:r>
          </w:p>
        </w:tc>
        <w:tc>
          <w:tcPr>
            <w:tcW w:w="2284" w:type="dxa"/>
            <w:vAlign w:val="top"/>
          </w:tcPr>
          <w:p w14:paraId="773B2173">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 w:val="21"/>
                <w:szCs w:val="21"/>
                <w:highlight w:val="none"/>
                <w:lang w:eastAsia="zh-CN"/>
              </w:rPr>
              <w:t>合同签订后</w:t>
            </w:r>
            <w:r>
              <w:rPr>
                <w:rFonts w:hint="eastAsia" w:ascii="宋体" w:hAnsi="宋体" w:eastAsia="宋体" w:cs="宋体"/>
                <w:color w:val="auto"/>
                <w:sz w:val="21"/>
                <w:szCs w:val="21"/>
                <w:highlight w:val="none"/>
                <w:u w:val="single"/>
                <w:lang w:eastAsia="zh-CN"/>
              </w:rPr>
              <w:t xml:space="preserve"> </w:t>
            </w:r>
            <w:r>
              <w:rPr>
                <w:rFonts w:hint="eastAsia" w:ascii="宋体" w:hAnsi="宋体" w:eastAsia="宋体" w:cs="宋体"/>
                <w:color w:val="auto"/>
                <w:sz w:val="21"/>
                <w:szCs w:val="21"/>
                <w:highlight w:val="none"/>
                <w:u w:val="single"/>
                <w:lang w:val="en-US" w:eastAsia="zh-CN"/>
              </w:rPr>
              <w:t>30</w:t>
            </w:r>
            <w:r>
              <w:rPr>
                <w:rFonts w:hint="eastAsia" w:ascii="宋体" w:hAnsi="宋体" w:eastAsia="宋体" w:cs="宋体"/>
                <w:color w:val="auto"/>
                <w:sz w:val="21"/>
                <w:szCs w:val="21"/>
                <w:highlight w:val="none"/>
                <w:u w:val="single"/>
                <w:lang w:eastAsia="zh-CN"/>
              </w:rPr>
              <w:t xml:space="preserve">  </w:t>
            </w:r>
            <w:r>
              <w:rPr>
                <w:rFonts w:hint="eastAsia" w:ascii="宋体" w:hAnsi="宋体" w:eastAsia="宋体" w:cs="宋体"/>
                <w:color w:val="auto"/>
                <w:sz w:val="21"/>
                <w:szCs w:val="21"/>
                <w:highlight w:val="none"/>
                <w:lang w:eastAsia="zh-CN"/>
              </w:rPr>
              <w:t>日历天内完成交货及安装，交付采购人使用并验收合格</w:t>
            </w:r>
            <w:r>
              <w:rPr>
                <w:rFonts w:hint="eastAsia" w:ascii="宋体" w:hAnsi="宋体" w:eastAsia="宋体" w:cs="宋体"/>
                <w:color w:val="auto"/>
                <w:szCs w:val="21"/>
                <w:highlight w:val="none"/>
                <w:lang w:eastAsia="zh-CN"/>
              </w:rPr>
              <w:t>。</w:t>
            </w:r>
          </w:p>
        </w:tc>
        <w:tc>
          <w:tcPr>
            <w:tcW w:w="1224" w:type="dxa"/>
            <w:vAlign w:val="center"/>
          </w:tcPr>
          <w:p w14:paraId="2C28EF16">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宋体" w:hAnsi="宋体" w:eastAsia="宋体" w:cs="宋体"/>
                <w:color w:val="auto"/>
                <w:highlight w:val="none"/>
              </w:rPr>
            </w:pPr>
          </w:p>
          <w:p w14:paraId="65BA30CA">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宋体" w:hAnsi="宋体" w:eastAsia="宋体" w:cs="宋体"/>
                <w:color w:val="auto"/>
                <w:highlight w:val="none"/>
              </w:rPr>
            </w:pPr>
          </w:p>
        </w:tc>
      </w:tr>
    </w:tbl>
    <w:p w14:paraId="2013F600">
      <w:pPr>
        <w:pStyle w:val="26"/>
        <w:keepNext w:val="0"/>
        <w:keepLines w:val="0"/>
        <w:pageBreakBefore w:val="0"/>
        <w:widowControl w:val="0"/>
        <w:kinsoku/>
        <w:wordWrap/>
        <w:overflowPunct/>
        <w:topLinePunct w:val="0"/>
        <w:autoSpaceDE/>
        <w:autoSpaceDN/>
        <w:bidi w:val="0"/>
        <w:adjustRightInd/>
        <w:snapToGrid/>
        <w:spacing w:line="400" w:lineRule="exact"/>
        <w:ind w:firstLine="210" w:firstLineChars="1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注：1、本项目报价为“交钥匙”价。项目实施过程中所需的墙面开孔及封堵（如有）、胶带、设备的吊装、搬运、机械、设备检测、试运行、场地清理及垃圾清运费、采购人既有设施设备成品保护费、包装及运输、采购、施工、保管、安装或集成、调试、培训、咨询、服务、检测、安保、劳务、材料、差旅交通、就餐住宿、管理、利润、规费、税金、保险、相关协调费、专利技术、知识产权、售后服务费及其他实物和技术工作收费等所有为完成本项目所发生的全部相关费用均包含在所报价格中。</w:t>
      </w:r>
    </w:p>
    <w:p w14:paraId="7A416D8C">
      <w:pPr>
        <w:pStyle w:val="26"/>
        <w:keepNext w:val="0"/>
        <w:keepLines w:val="0"/>
        <w:pageBreakBefore w:val="0"/>
        <w:widowControl w:val="0"/>
        <w:kinsoku/>
        <w:wordWrap/>
        <w:overflowPunct/>
        <w:topLinePunct w:val="0"/>
        <w:autoSpaceDE/>
        <w:autoSpaceDN/>
        <w:bidi w:val="0"/>
        <w:adjustRightInd/>
        <w:snapToGrid/>
        <w:spacing w:line="400" w:lineRule="exact"/>
        <w:ind w:firstLine="630" w:firstLineChars="3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2、该表中投标总价应与附件</w:t>
      </w:r>
      <w:r>
        <w:rPr>
          <w:rFonts w:hint="eastAsia" w:ascii="宋体" w:hAnsi="宋体" w:eastAsia="宋体" w:cs="宋体"/>
          <w:color w:val="auto"/>
          <w:highlight w:val="none"/>
          <w:lang w:val="en-US" w:eastAsia="zh-CN"/>
        </w:rPr>
        <w:t xml:space="preserve">3-2 </w:t>
      </w:r>
      <w:r>
        <w:rPr>
          <w:rFonts w:hint="eastAsia" w:ascii="宋体" w:hAnsi="宋体" w:eastAsia="宋体" w:cs="宋体"/>
          <w:color w:val="auto"/>
          <w:highlight w:val="none"/>
          <w:lang w:eastAsia="zh-CN"/>
        </w:rPr>
        <w:t>报价明细表</w:t>
      </w:r>
      <w:r>
        <w:rPr>
          <w:rFonts w:hint="eastAsia" w:ascii="宋体" w:hAnsi="宋体" w:eastAsia="宋体" w:cs="宋体"/>
          <w:color w:val="auto"/>
          <w:highlight w:val="none"/>
        </w:rPr>
        <w:t>表中合计总价相一致。</w:t>
      </w:r>
    </w:p>
    <w:p w14:paraId="4258B505">
      <w:pPr>
        <w:pStyle w:val="26"/>
        <w:keepNext w:val="0"/>
        <w:keepLines w:val="0"/>
        <w:pageBreakBefore w:val="0"/>
        <w:widowControl w:val="0"/>
        <w:kinsoku/>
        <w:wordWrap/>
        <w:overflowPunct/>
        <w:topLinePunct w:val="0"/>
        <w:autoSpaceDE/>
        <w:autoSpaceDN/>
        <w:bidi w:val="0"/>
        <w:adjustRightInd/>
        <w:snapToGrid/>
        <w:spacing w:line="400" w:lineRule="exact"/>
        <w:ind w:firstLine="630" w:firstLineChars="3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▲不提供此表的投标文件将被视为未实质性响应招标文件。</w:t>
      </w:r>
    </w:p>
    <w:p w14:paraId="2C7387C6">
      <w:pPr>
        <w:spacing w:line="360" w:lineRule="auto"/>
        <w:rPr>
          <w:rFonts w:hint="eastAsia" w:ascii="宋体" w:hAnsi="宋体" w:eastAsia="宋体" w:cs="宋体"/>
          <w:color w:val="auto"/>
          <w:highlight w:val="none"/>
        </w:rPr>
      </w:pPr>
    </w:p>
    <w:p w14:paraId="09898A12">
      <w:pPr>
        <w:rPr>
          <w:rFonts w:hint="eastAsia" w:ascii="宋体" w:hAnsi="宋体" w:eastAsia="宋体" w:cs="宋体"/>
          <w:color w:val="auto"/>
          <w:highlight w:val="none"/>
        </w:rPr>
      </w:pPr>
    </w:p>
    <w:p w14:paraId="120DB0B6">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投标供应商（公章）：</w:t>
      </w:r>
    </w:p>
    <w:p w14:paraId="0AF287FB">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法定代表人或授权代表（签字或盖章）：</w:t>
      </w:r>
    </w:p>
    <w:p w14:paraId="0881143A">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日期：</w:t>
      </w:r>
    </w:p>
    <w:p w14:paraId="34EEAEFA">
      <w:pPr>
        <w:spacing w:line="400" w:lineRule="exact"/>
        <w:rPr>
          <w:rFonts w:hint="eastAsia" w:ascii="宋体" w:hAnsi="宋体" w:eastAsia="宋体" w:cs="宋体"/>
          <w:color w:val="auto"/>
          <w:kern w:val="0"/>
          <w:szCs w:val="21"/>
          <w:highlight w:val="none"/>
        </w:rPr>
      </w:pPr>
    </w:p>
    <w:p w14:paraId="1A7E8DB4">
      <w:pPr>
        <w:pStyle w:val="3"/>
        <w:pageBreakBefore/>
        <w:spacing w:line="240" w:lineRule="auto"/>
        <w:jc w:val="center"/>
        <w:rPr>
          <w:rFonts w:hint="eastAsia" w:ascii="宋体" w:hAnsi="宋体" w:eastAsia="宋体" w:cs="宋体"/>
          <w:color w:val="auto"/>
          <w:highlight w:val="none"/>
        </w:rPr>
      </w:pPr>
      <w:bookmarkStart w:id="305" w:name="_Toc3934"/>
      <w:bookmarkStart w:id="306" w:name="_Toc560"/>
      <w:bookmarkStart w:id="307" w:name="_Toc4467"/>
      <w:bookmarkStart w:id="308" w:name="_Toc246470296"/>
      <w:bookmarkStart w:id="309" w:name="_Toc388974302"/>
      <w:bookmarkStart w:id="310" w:name="_Toc152042580"/>
      <w:bookmarkStart w:id="311" w:name="_Toc152045791"/>
      <w:bookmarkStart w:id="312" w:name="_Toc412788171"/>
      <w:bookmarkStart w:id="313" w:name="_Toc244593278"/>
      <w:bookmarkStart w:id="314" w:name="_Toc144974860"/>
      <w:r>
        <w:rPr>
          <w:rFonts w:hint="eastAsia" w:ascii="宋体" w:hAnsi="宋体" w:eastAsia="宋体" w:cs="宋体"/>
          <w:color w:val="auto"/>
          <w:sz w:val="24"/>
          <w:szCs w:val="24"/>
          <w:highlight w:val="none"/>
        </w:rPr>
        <w:t>附件</w:t>
      </w:r>
      <w:r>
        <w:rPr>
          <w:rFonts w:hint="eastAsia" w:ascii="宋体" w:hAnsi="宋体" w:eastAsia="宋体" w:cs="宋体"/>
          <w:color w:val="auto"/>
          <w:sz w:val="24"/>
          <w:szCs w:val="24"/>
          <w:highlight w:val="none"/>
          <w:lang w:val="en-US" w:eastAsia="zh-CN"/>
        </w:rPr>
        <w:t>3-2</w:t>
      </w:r>
      <w:r>
        <w:rPr>
          <w:rFonts w:hint="eastAsia" w:ascii="宋体" w:hAnsi="宋体" w:eastAsia="宋体" w:cs="宋体"/>
          <w:color w:val="auto"/>
          <w:sz w:val="24"/>
          <w:szCs w:val="24"/>
          <w:highlight w:val="none"/>
        </w:rPr>
        <w:t xml:space="preserve">  </w:t>
      </w:r>
      <w:bookmarkEnd w:id="305"/>
      <w:r>
        <w:rPr>
          <w:rFonts w:hint="eastAsia" w:ascii="宋体" w:hAnsi="宋体" w:eastAsia="宋体" w:cs="宋体"/>
          <w:color w:val="auto"/>
          <w:highlight w:val="none"/>
          <w:lang w:eastAsia="zh-CN"/>
        </w:rPr>
        <w:t>报价</w:t>
      </w:r>
      <w:r>
        <w:rPr>
          <w:rFonts w:hint="eastAsia" w:ascii="宋体" w:hAnsi="宋体" w:eastAsia="宋体" w:cs="宋体"/>
          <w:color w:val="auto"/>
          <w:highlight w:val="none"/>
          <w:lang w:val="en-US" w:eastAsia="zh-CN"/>
        </w:rPr>
        <w:t>明细</w:t>
      </w:r>
      <w:r>
        <w:rPr>
          <w:rFonts w:hint="eastAsia" w:ascii="宋体" w:hAnsi="宋体" w:eastAsia="宋体" w:cs="宋体"/>
          <w:color w:val="auto"/>
          <w:highlight w:val="none"/>
        </w:rPr>
        <w:t>表</w:t>
      </w:r>
      <w:bookmarkEnd w:id="306"/>
      <w:bookmarkEnd w:id="307"/>
    </w:p>
    <w:p w14:paraId="5D2C77D5">
      <w:pPr>
        <w:spacing w:line="360" w:lineRule="exact"/>
        <w:rPr>
          <w:rFonts w:hint="eastAsia" w:ascii="宋体" w:hAnsi="宋体" w:eastAsia="宋体" w:cs="宋体"/>
          <w:color w:val="auto"/>
          <w:highlight w:val="none"/>
        </w:rPr>
      </w:pPr>
      <w:bookmarkStart w:id="315" w:name="_Toc11254"/>
      <w:bookmarkStart w:id="316" w:name="_Toc9200"/>
      <w:bookmarkStart w:id="317" w:name="_Toc6812"/>
      <w:r>
        <w:rPr>
          <w:rFonts w:hint="eastAsia" w:ascii="宋体" w:hAnsi="宋体" w:eastAsia="宋体" w:cs="宋体"/>
          <w:color w:val="auto"/>
          <w:highlight w:val="none"/>
        </w:rPr>
        <w:t xml:space="preserve">项目名称：瓯窑产业化项目研发生产提效设备-陶艺工作室仪器设备           </w:t>
      </w:r>
    </w:p>
    <w:p w14:paraId="3D07A847">
      <w:pPr>
        <w:spacing w:line="360" w:lineRule="exact"/>
        <w:rPr>
          <w:rFonts w:hint="eastAsia" w:ascii="宋体" w:hAnsi="宋体" w:eastAsia="宋体" w:cs="宋体"/>
          <w:color w:val="auto"/>
          <w:highlight w:val="none"/>
        </w:rPr>
      </w:pPr>
      <w:r>
        <w:rPr>
          <w:rFonts w:hint="eastAsia" w:ascii="宋体" w:hAnsi="宋体" w:eastAsia="宋体" w:cs="宋体"/>
          <w:color w:val="auto"/>
          <w:highlight w:val="none"/>
          <w:lang w:eastAsia="zh-CN"/>
        </w:rPr>
        <w:t>项目编号：</w:t>
      </w:r>
      <w:r>
        <w:rPr>
          <w:rFonts w:hint="eastAsia" w:ascii="宋体" w:hAnsi="宋体" w:cs="宋体"/>
          <w:color w:val="auto"/>
          <w:highlight w:val="none"/>
          <w:lang w:val="en-US" w:eastAsia="zh-CN"/>
        </w:rPr>
        <w:t>WGSS-GYNY-Z-2025022</w:t>
      </w:r>
      <w:r>
        <w:rPr>
          <w:rFonts w:hint="eastAsia" w:ascii="宋体" w:hAnsi="宋体" w:eastAsia="宋体" w:cs="宋体"/>
          <w:color w:val="auto"/>
          <w:highlight w:val="none"/>
        </w:rPr>
        <w:t xml:space="preserve">       </w:t>
      </w:r>
      <w:r>
        <w:rPr>
          <w:rFonts w:hint="eastAsia" w:ascii="宋体" w:hAnsi="宋体" w:cs="宋体"/>
          <w:color w:val="auto"/>
          <w:highlight w:val="none"/>
          <w:lang w:val="en-US" w:eastAsia="zh-CN"/>
        </w:rPr>
        <w:t xml:space="preserve">                          </w:t>
      </w:r>
      <w:r>
        <w:rPr>
          <w:rFonts w:hint="eastAsia" w:ascii="宋体" w:hAnsi="宋体" w:eastAsia="宋体" w:cs="宋体"/>
          <w:color w:val="auto"/>
          <w:highlight w:val="none"/>
        </w:rPr>
        <w:t>（价格单位：人民币元）</w:t>
      </w:r>
    </w:p>
    <w:tbl>
      <w:tblPr>
        <w:tblStyle w:val="4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2169"/>
        <w:gridCol w:w="1500"/>
        <w:gridCol w:w="887"/>
        <w:gridCol w:w="1041"/>
        <w:gridCol w:w="1074"/>
        <w:gridCol w:w="1129"/>
        <w:gridCol w:w="847"/>
      </w:tblGrid>
      <w:tr w14:paraId="1B032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Borders>
              <w:top w:val="single" w:color="auto" w:sz="12" w:space="0"/>
              <w:left w:val="single" w:color="auto" w:sz="12" w:space="0"/>
              <w:bottom w:val="single" w:color="auto" w:sz="4" w:space="0"/>
              <w:right w:val="single" w:color="auto" w:sz="4" w:space="0"/>
            </w:tcBorders>
            <w:noWrap w:val="0"/>
            <w:vAlign w:val="center"/>
          </w:tcPr>
          <w:p w14:paraId="1518E86F">
            <w:pPr>
              <w:ind w:right="-11"/>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项目</w:t>
            </w:r>
          </w:p>
        </w:tc>
        <w:tc>
          <w:tcPr>
            <w:tcW w:w="2169" w:type="dxa"/>
            <w:tcBorders>
              <w:top w:val="single" w:color="auto" w:sz="12" w:space="0"/>
              <w:left w:val="single" w:color="auto" w:sz="4" w:space="0"/>
              <w:bottom w:val="single" w:color="auto" w:sz="4" w:space="0"/>
              <w:right w:val="single" w:color="auto" w:sz="4" w:space="0"/>
            </w:tcBorders>
            <w:noWrap w:val="0"/>
            <w:vAlign w:val="center"/>
          </w:tcPr>
          <w:p w14:paraId="4C6CF568">
            <w:pPr>
              <w:ind w:right="-11"/>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货物名称</w:t>
            </w:r>
          </w:p>
        </w:tc>
        <w:tc>
          <w:tcPr>
            <w:tcW w:w="1500" w:type="dxa"/>
            <w:tcBorders>
              <w:top w:val="single" w:color="auto" w:sz="12" w:space="0"/>
              <w:left w:val="single" w:color="auto" w:sz="4" w:space="0"/>
              <w:bottom w:val="single" w:color="auto" w:sz="4" w:space="0"/>
              <w:right w:val="single" w:color="auto" w:sz="4" w:space="0"/>
            </w:tcBorders>
            <w:noWrap w:val="0"/>
            <w:vAlign w:val="center"/>
          </w:tcPr>
          <w:p w14:paraId="2A1C5A6C">
            <w:pPr>
              <w:ind w:right="-11"/>
              <w:jc w:val="center"/>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规格型号</w:t>
            </w:r>
          </w:p>
        </w:tc>
        <w:tc>
          <w:tcPr>
            <w:tcW w:w="887" w:type="dxa"/>
            <w:tcBorders>
              <w:top w:val="single" w:color="auto" w:sz="12" w:space="0"/>
              <w:left w:val="single" w:color="auto" w:sz="4" w:space="0"/>
              <w:bottom w:val="single" w:color="auto" w:sz="4" w:space="0"/>
              <w:right w:val="single" w:color="auto" w:sz="4" w:space="0"/>
            </w:tcBorders>
            <w:noWrap w:val="0"/>
            <w:vAlign w:val="center"/>
          </w:tcPr>
          <w:p w14:paraId="25C97CC0">
            <w:pPr>
              <w:ind w:right="-11"/>
              <w:jc w:val="center"/>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品牌/产地</w:t>
            </w:r>
          </w:p>
        </w:tc>
        <w:tc>
          <w:tcPr>
            <w:tcW w:w="1041" w:type="dxa"/>
            <w:tcBorders>
              <w:top w:val="single" w:color="auto" w:sz="12" w:space="0"/>
              <w:left w:val="single" w:color="auto" w:sz="4" w:space="0"/>
              <w:bottom w:val="single" w:color="auto" w:sz="4" w:space="0"/>
              <w:right w:val="single" w:color="auto" w:sz="4" w:space="0"/>
            </w:tcBorders>
            <w:noWrap w:val="0"/>
            <w:vAlign w:val="center"/>
          </w:tcPr>
          <w:p w14:paraId="3203C46C">
            <w:pPr>
              <w:ind w:right="-11"/>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数量</w:t>
            </w:r>
          </w:p>
        </w:tc>
        <w:tc>
          <w:tcPr>
            <w:tcW w:w="1074" w:type="dxa"/>
            <w:tcBorders>
              <w:top w:val="single" w:color="auto" w:sz="12" w:space="0"/>
              <w:left w:val="single" w:color="auto" w:sz="4" w:space="0"/>
              <w:bottom w:val="single" w:color="auto" w:sz="4" w:space="0"/>
              <w:right w:val="single" w:color="auto" w:sz="4" w:space="0"/>
            </w:tcBorders>
            <w:noWrap w:val="0"/>
            <w:vAlign w:val="center"/>
          </w:tcPr>
          <w:p w14:paraId="48F40B7D">
            <w:pPr>
              <w:ind w:right="-11"/>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综合单价</w:t>
            </w:r>
          </w:p>
          <w:p w14:paraId="1F64961F">
            <w:pPr>
              <w:ind w:right="-11"/>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（含税）</w:t>
            </w:r>
          </w:p>
        </w:tc>
        <w:tc>
          <w:tcPr>
            <w:tcW w:w="1129" w:type="dxa"/>
            <w:tcBorders>
              <w:top w:val="single" w:color="auto" w:sz="12" w:space="0"/>
              <w:left w:val="single" w:color="auto" w:sz="4" w:space="0"/>
              <w:bottom w:val="single" w:color="auto" w:sz="4" w:space="0"/>
              <w:right w:val="single" w:color="auto" w:sz="4" w:space="0"/>
            </w:tcBorders>
            <w:noWrap w:val="0"/>
            <w:vAlign w:val="center"/>
          </w:tcPr>
          <w:p w14:paraId="6B66ABA0">
            <w:pPr>
              <w:ind w:right="-11"/>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总价</w:t>
            </w:r>
          </w:p>
          <w:p w14:paraId="28DD8D54">
            <w:pPr>
              <w:ind w:right="-11"/>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（含税）</w:t>
            </w:r>
          </w:p>
        </w:tc>
        <w:tc>
          <w:tcPr>
            <w:tcW w:w="847" w:type="dxa"/>
            <w:tcBorders>
              <w:top w:val="single" w:color="auto" w:sz="12" w:space="0"/>
              <w:left w:val="single" w:color="auto" w:sz="4" w:space="0"/>
              <w:bottom w:val="single" w:color="auto" w:sz="4" w:space="0"/>
              <w:right w:val="single" w:color="auto" w:sz="12" w:space="0"/>
            </w:tcBorders>
            <w:noWrap w:val="0"/>
            <w:vAlign w:val="center"/>
          </w:tcPr>
          <w:p w14:paraId="09EC2FFE">
            <w:pPr>
              <w:ind w:right="-11"/>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免费</w:t>
            </w:r>
          </w:p>
          <w:p w14:paraId="1FE1DDF6">
            <w:pPr>
              <w:ind w:right="-11"/>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保修期</w:t>
            </w:r>
          </w:p>
        </w:tc>
      </w:tr>
      <w:tr w14:paraId="622B6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9" w:type="dxa"/>
            <w:tcBorders>
              <w:top w:val="single" w:color="auto" w:sz="4" w:space="0"/>
              <w:left w:val="single" w:color="auto" w:sz="12" w:space="0"/>
              <w:bottom w:val="single" w:color="auto" w:sz="4" w:space="0"/>
              <w:right w:val="single" w:color="auto" w:sz="4" w:space="0"/>
            </w:tcBorders>
            <w:noWrap w:val="0"/>
            <w:vAlign w:val="center"/>
          </w:tcPr>
          <w:p w14:paraId="5C6A83A8">
            <w:pPr>
              <w:ind w:right="-11"/>
              <w:jc w:val="center"/>
              <w:rPr>
                <w:rFonts w:hint="eastAsia" w:ascii="宋体" w:hAnsi="宋体" w:eastAsia="宋体" w:cs="宋体"/>
                <w:color w:val="auto"/>
                <w:highlight w:val="none"/>
              </w:rPr>
            </w:pPr>
          </w:p>
        </w:tc>
        <w:tc>
          <w:tcPr>
            <w:tcW w:w="2169" w:type="dxa"/>
            <w:tcBorders>
              <w:top w:val="single" w:color="auto" w:sz="4" w:space="0"/>
              <w:left w:val="single" w:color="auto" w:sz="4" w:space="0"/>
              <w:bottom w:val="single" w:color="auto" w:sz="4" w:space="0"/>
              <w:right w:val="single" w:color="auto" w:sz="4" w:space="0"/>
            </w:tcBorders>
            <w:noWrap w:val="0"/>
            <w:vAlign w:val="center"/>
          </w:tcPr>
          <w:p w14:paraId="2DA330C7">
            <w:pPr>
              <w:widowControl/>
              <w:jc w:val="center"/>
              <w:textAlignment w:val="center"/>
              <w:rPr>
                <w:rFonts w:hint="eastAsia" w:ascii="宋体" w:hAnsi="宋体" w:eastAsia="宋体" w:cs="宋体"/>
                <w:color w:val="auto"/>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14:paraId="5FA587B8">
            <w:pPr>
              <w:jc w:val="center"/>
              <w:rPr>
                <w:rFonts w:hint="eastAsia" w:ascii="宋体" w:hAnsi="宋体" w:eastAsia="宋体" w:cs="宋体"/>
                <w:color w:val="auto"/>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14:paraId="58A2F763">
            <w:pPr>
              <w:ind w:right="-11"/>
              <w:jc w:val="center"/>
              <w:rPr>
                <w:rFonts w:hint="eastAsia" w:ascii="宋体" w:hAnsi="宋体" w:eastAsia="宋体" w:cs="宋体"/>
                <w:color w:val="auto"/>
                <w:highlight w:val="none"/>
              </w:rPr>
            </w:pPr>
          </w:p>
        </w:tc>
        <w:tc>
          <w:tcPr>
            <w:tcW w:w="1041" w:type="dxa"/>
            <w:tcBorders>
              <w:top w:val="single" w:color="auto" w:sz="4" w:space="0"/>
              <w:left w:val="single" w:color="auto" w:sz="4" w:space="0"/>
              <w:bottom w:val="single" w:color="auto" w:sz="4" w:space="0"/>
              <w:right w:val="single" w:color="auto" w:sz="4" w:space="0"/>
            </w:tcBorders>
            <w:noWrap w:val="0"/>
            <w:vAlign w:val="center"/>
          </w:tcPr>
          <w:p w14:paraId="0BA3125B">
            <w:pPr>
              <w:jc w:val="center"/>
              <w:rPr>
                <w:rFonts w:hint="eastAsia" w:ascii="宋体" w:hAnsi="宋体" w:eastAsia="宋体" w:cs="宋体"/>
                <w:color w:val="auto"/>
                <w:highlight w:val="none"/>
              </w:rPr>
            </w:pPr>
          </w:p>
        </w:tc>
        <w:tc>
          <w:tcPr>
            <w:tcW w:w="1074" w:type="dxa"/>
            <w:tcBorders>
              <w:top w:val="single" w:color="auto" w:sz="4" w:space="0"/>
              <w:left w:val="single" w:color="auto" w:sz="4" w:space="0"/>
              <w:bottom w:val="single" w:color="auto" w:sz="4" w:space="0"/>
              <w:right w:val="single" w:color="auto" w:sz="4" w:space="0"/>
            </w:tcBorders>
            <w:noWrap w:val="0"/>
            <w:vAlign w:val="center"/>
          </w:tcPr>
          <w:p w14:paraId="114C75C2">
            <w:pPr>
              <w:ind w:right="-11"/>
              <w:jc w:val="center"/>
              <w:rPr>
                <w:rFonts w:hint="eastAsia" w:ascii="宋体" w:hAnsi="宋体" w:eastAsia="宋体" w:cs="宋体"/>
                <w:color w:val="auto"/>
                <w:highlight w:val="none"/>
              </w:rPr>
            </w:pPr>
          </w:p>
        </w:tc>
        <w:tc>
          <w:tcPr>
            <w:tcW w:w="1129" w:type="dxa"/>
            <w:tcBorders>
              <w:top w:val="single" w:color="auto" w:sz="4" w:space="0"/>
              <w:left w:val="single" w:color="auto" w:sz="4" w:space="0"/>
              <w:bottom w:val="single" w:color="auto" w:sz="4" w:space="0"/>
              <w:right w:val="single" w:color="auto" w:sz="4" w:space="0"/>
            </w:tcBorders>
            <w:noWrap w:val="0"/>
            <w:vAlign w:val="center"/>
          </w:tcPr>
          <w:p w14:paraId="26FE0F89">
            <w:pPr>
              <w:ind w:right="-11"/>
              <w:jc w:val="center"/>
              <w:rPr>
                <w:rFonts w:hint="eastAsia" w:ascii="宋体" w:hAnsi="宋体" w:eastAsia="宋体" w:cs="宋体"/>
                <w:color w:val="auto"/>
                <w:highlight w:val="none"/>
              </w:rPr>
            </w:pPr>
          </w:p>
        </w:tc>
        <w:tc>
          <w:tcPr>
            <w:tcW w:w="847" w:type="dxa"/>
            <w:tcBorders>
              <w:top w:val="single" w:color="auto" w:sz="4" w:space="0"/>
              <w:left w:val="single" w:color="auto" w:sz="4" w:space="0"/>
              <w:bottom w:val="single" w:color="auto" w:sz="4" w:space="0"/>
              <w:right w:val="single" w:color="auto" w:sz="12" w:space="0"/>
            </w:tcBorders>
            <w:noWrap w:val="0"/>
            <w:vAlign w:val="center"/>
          </w:tcPr>
          <w:p w14:paraId="2E61C844">
            <w:pPr>
              <w:ind w:right="-11"/>
              <w:jc w:val="center"/>
              <w:rPr>
                <w:rFonts w:hint="eastAsia" w:ascii="宋体" w:hAnsi="宋体" w:eastAsia="宋体" w:cs="宋体"/>
                <w:color w:val="auto"/>
                <w:highlight w:val="none"/>
              </w:rPr>
            </w:pPr>
          </w:p>
        </w:tc>
      </w:tr>
      <w:tr w14:paraId="3146A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9" w:type="dxa"/>
            <w:tcBorders>
              <w:top w:val="single" w:color="auto" w:sz="4" w:space="0"/>
              <w:left w:val="single" w:color="auto" w:sz="12" w:space="0"/>
              <w:bottom w:val="single" w:color="auto" w:sz="4" w:space="0"/>
              <w:right w:val="single" w:color="auto" w:sz="4" w:space="0"/>
            </w:tcBorders>
            <w:noWrap w:val="0"/>
            <w:vAlign w:val="center"/>
          </w:tcPr>
          <w:p w14:paraId="7BD28155">
            <w:pPr>
              <w:ind w:right="-11"/>
              <w:jc w:val="center"/>
              <w:rPr>
                <w:rFonts w:hint="eastAsia" w:ascii="宋体" w:hAnsi="宋体" w:eastAsia="宋体" w:cs="宋体"/>
                <w:color w:val="auto"/>
                <w:highlight w:val="none"/>
              </w:rPr>
            </w:pPr>
          </w:p>
        </w:tc>
        <w:tc>
          <w:tcPr>
            <w:tcW w:w="2169" w:type="dxa"/>
            <w:tcBorders>
              <w:top w:val="single" w:color="auto" w:sz="4" w:space="0"/>
              <w:left w:val="single" w:color="auto" w:sz="4" w:space="0"/>
              <w:bottom w:val="single" w:color="auto" w:sz="4" w:space="0"/>
              <w:right w:val="single" w:color="auto" w:sz="4" w:space="0"/>
            </w:tcBorders>
            <w:noWrap w:val="0"/>
            <w:vAlign w:val="center"/>
          </w:tcPr>
          <w:p w14:paraId="0066DC42">
            <w:pPr>
              <w:widowControl/>
              <w:jc w:val="center"/>
              <w:textAlignment w:val="center"/>
              <w:rPr>
                <w:rFonts w:hint="eastAsia" w:ascii="宋体" w:hAnsi="宋体" w:eastAsia="宋体" w:cs="宋体"/>
                <w:color w:val="auto"/>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14:paraId="5D99730E">
            <w:pPr>
              <w:jc w:val="center"/>
              <w:rPr>
                <w:rFonts w:hint="eastAsia" w:ascii="宋体" w:hAnsi="宋体" w:eastAsia="宋体" w:cs="宋体"/>
                <w:color w:val="auto"/>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14:paraId="3E2C034F">
            <w:pPr>
              <w:ind w:right="-11"/>
              <w:jc w:val="center"/>
              <w:rPr>
                <w:rFonts w:hint="eastAsia" w:ascii="宋体" w:hAnsi="宋体" w:eastAsia="宋体" w:cs="宋体"/>
                <w:color w:val="auto"/>
                <w:highlight w:val="none"/>
              </w:rPr>
            </w:pPr>
          </w:p>
        </w:tc>
        <w:tc>
          <w:tcPr>
            <w:tcW w:w="1041" w:type="dxa"/>
            <w:tcBorders>
              <w:top w:val="single" w:color="auto" w:sz="4" w:space="0"/>
              <w:left w:val="single" w:color="auto" w:sz="4" w:space="0"/>
              <w:bottom w:val="single" w:color="auto" w:sz="4" w:space="0"/>
              <w:right w:val="single" w:color="auto" w:sz="4" w:space="0"/>
            </w:tcBorders>
            <w:noWrap w:val="0"/>
            <w:vAlign w:val="center"/>
          </w:tcPr>
          <w:p w14:paraId="01719F67">
            <w:pPr>
              <w:jc w:val="center"/>
              <w:rPr>
                <w:rFonts w:hint="eastAsia" w:ascii="宋体" w:hAnsi="宋体" w:eastAsia="宋体" w:cs="宋体"/>
                <w:color w:val="auto"/>
                <w:highlight w:val="none"/>
              </w:rPr>
            </w:pPr>
          </w:p>
        </w:tc>
        <w:tc>
          <w:tcPr>
            <w:tcW w:w="1074" w:type="dxa"/>
            <w:tcBorders>
              <w:top w:val="single" w:color="auto" w:sz="4" w:space="0"/>
              <w:left w:val="single" w:color="auto" w:sz="4" w:space="0"/>
              <w:bottom w:val="single" w:color="auto" w:sz="4" w:space="0"/>
              <w:right w:val="single" w:color="auto" w:sz="4" w:space="0"/>
            </w:tcBorders>
            <w:noWrap w:val="0"/>
            <w:vAlign w:val="center"/>
          </w:tcPr>
          <w:p w14:paraId="798C8F2C">
            <w:pPr>
              <w:ind w:right="-11"/>
              <w:jc w:val="center"/>
              <w:rPr>
                <w:rFonts w:hint="eastAsia" w:ascii="宋体" w:hAnsi="宋体" w:eastAsia="宋体" w:cs="宋体"/>
                <w:color w:val="auto"/>
                <w:highlight w:val="none"/>
              </w:rPr>
            </w:pPr>
          </w:p>
        </w:tc>
        <w:tc>
          <w:tcPr>
            <w:tcW w:w="1129" w:type="dxa"/>
            <w:tcBorders>
              <w:top w:val="single" w:color="auto" w:sz="4" w:space="0"/>
              <w:left w:val="single" w:color="auto" w:sz="4" w:space="0"/>
              <w:bottom w:val="single" w:color="auto" w:sz="4" w:space="0"/>
              <w:right w:val="single" w:color="auto" w:sz="4" w:space="0"/>
            </w:tcBorders>
            <w:noWrap w:val="0"/>
            <w:vAlign w:val="center"/>
          </w:tcPr>
          <w:p w14:paraId="3F6AB4EE">
            <w:pPr>
              <w:ind w:right="-11"/>
              <w:jc w:val="center"/>
              <w:rPr>
                <w:rFonts w:hint="eastAsia" w:ascii="宋体" w:hAnsi="宋体" w:eastAsia="宋体" w:cs="宋体"/>
                <w:color w:val="auto"/>
                <w:highlight w:val="none"/>
              </w:rPr>
            </w:pPr>
          </w:p>
        </w:tc>
        <w:tc>
          <w:tcPr>
            <w:tcW w:w="847" w:type="dxa"/>
            <w:tcBorders>
              <w:top w:val="single" w:color="auto" w:sz="4" w:space="0"/>
              <w:left w:val="single" w:color="auto" w:sz="4" w:space="0"/>
              <w:bottom w:val="single" w:color="auto" w:sz="4" w:space="0"/>
              <w:right w:val="single" w:color="auto" w:sz="12" w:space="0"/>
            </w:tcBorders>
            <w:noWrap w:val="0"/>
            <w:vAlign w:val="center"/>
          </w:tcPr>
          <w:p w14:paraId="2807B957">
            <w:pPr>
              <w:ind w:right="-11"/>
              <w:jc w:val="center"/>
              <w:rPr>
                <w:rFonts w:hint="eastAsia" w:ascii="宋体" w:hAnsi="宋体" w:eastAsia="宋体" w:cs="宋体"/>
                <w:color w:val="auto"/>
                <w:highlight w:val="none"/>
              </w:rPr>
            </w:pPr>
          </w:p>
        </w:tc>
      </w:tr>
      <w:tr w14:paraId="58F32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9" w:type="dxa"/>
            <w:tcBorders>
              <w:top w:val="single" w:color="auto" w:sz="4" w:space="0"/>
              <w:left w:val="single" w:color="auto" w:sz="12" w:space="0"/>
              <w:bottom w:val="single" w:color="auto" w:sz="4" w:space="0"/>
              <w:right w:val="single" w:color="auto" w:sz="4" w:space="0"/>
            </w:tcBorders>
            <w:noWrap w:val="0"/>
            <w:vAlign w:val="center"/>
          </w:tcPr>
          <w:p w14:paraId="65401583">
            <w:pPr>
              <w:ind w:right="-11"/>
              <w:jc w:val="center"/>
              <w:rPr>
                <w:rFonts w:hint="eastAsia" w:ascii="宋体" w:hAnsi="宋体" w:eastAsia="宋体" w:cs="宋体"/>
                <w:color w:val="auto"/>
                <w:highlight w:val="none"/>
              </w:rPr>
            </w:pPr>
          </w:p>
        </w:tc>
        <w:tc>
          <w:tcPr>
            <w:tcW w:w="2169" w:type="dxa"/>
            <w:tcBorders>
              <w:top w:val="single" w:color="auto" w:sz="4" w:space="0"/>
              <w:left w:val="single" w:color="auto" w:sz="4" w:space="0"/>
              <w:bottom w:val="single" w:color="auto" w:sz="4" w:space="0"/>
              <w:right w:val="single" w:color="auto" w:sz="4" w:space="0"/>
            </w:tcBorders>
            <w:noWrap w:val="0"/>
            <w:vAlign w:val="center"/>
          </w:tcPr>
          <w:p w14:paraId="22D20F7A">
            <w:pPr>
              <w:widowControl/>
              <w:jc w:val="center"/>
              <w:textAlignment w:val="center"/>
              <w:rPr>
                <w:rFonts w:hint="eastAsia" w:ascii="宋体" w:hAnsi="宋体" w:eastAsia="宋体" w:cs="宋体"/>
                <w:color w:val="auto"/>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14:paraId="533D55D8">
            <w:pPr>
              <w:jc w:val="center"/>
              <w:rPr>
                <w:rFonts w:hint="eastAsia" w:ascii="宋体" w:hAnsi="宋体" w:eastAsia="宋体" w:cs="宋体"/>
                <w:color w:val="auto"/>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14:paraId="78CDAB3C">
            <w:pPr>
              <w:ind w:right="-11"/>
              <w:jc w:val="center"/>
              <w:rPr>
                <w:rFonts w:hint="eastAsia" w:ascii="宋体" w:hAnsi="宋体" w:eastAsia="宋体" w:cs="宋体"/>
                <w:color w:val="auto"/>
                <w:highlight w:val="none"/>
              </w:rPr>
            </w:pPr>
          </w:p>
        </w:tc>
        <w:tc>
          <w:tcPr>
            <w:tcW w:w="1041" w:type="dxa"/>
            <w:tcBorders>
              <w:top w:val="single" w:color="auto" w:sz="4" w:space="0"/>
              <w:left w:val="single" w:color="auto" w:sz="4" w:space="0"/>
              <w:bottom w:val="single" w:color="auto" w:sz="4" w:space="0"/>
              <w:right w:val="single" w:color="auto" w:sz="4" w:space="0"/>
            </w:tcBorders>
            <w:noWrap w:val="0"/>
            <w:vAlign w:val="center"/>
          </w:tcPr>
          <w:p w14:paraId="083EB435">
            <w:pPr>
              <w:jc w:val="center"/>
              <w:rPr>
                <w:rFonts w:hint="eastAsia" w:ascii="宋体" w:hAnsi="宋体" w:eastAsia="宋体" w:cs="宋体"/>
                <w:color w:val="auto"/>
                <w:highlight w:val="none"/>
              </w:rPr>
            </w:pPr>
          </w:p>
        </w:tc>
        <w:tc>
          <w:tcPr>
            <w:tcW w:w="1074" w:type="dxa"/>
            <w:tcBorders>
              <w:top w:val="single" w:color="auto" w:sz="4" w:space="0"/>
              <w:left w:val="single" w:color="auto" w:sz="4" w:space="0"/>
              <w:bottom w:val="single" w:color="auto" w:sz="4" w:space="0"/>
              <w:right w:val="single" w:color="auto" w:sz="4" w:space="0"/>
            </w:tcBorders>
            <w:noWrap w:val="0"/>
            <w:vAlign w:val="center"/>
          </w:tcPr>
          <w:p w14:paraId="29EB6A5D">
            <w:pPr>
              <w:ind w:right="-11"/>
              <w:jc w:val="center"/>
              <w:rPr>
                <w:rFonts w:hint="eastAsia" w:ascii="宋体" w:hAnsi="宋体" w:eastAsia="宋体" w:cs="宋体"/>
                <w:color w:val="auto"/>
                <w:highlight w:val="none"/>
              </w:rPr>
            </w:pPr>
          </w:p>
        </w:tc>
        <w:tc>
          <w:tcPr>
            <w:tcW w:w="1129" w:type="dxa"/>
            <w:tcBorders>
              <w:top w:val="single" w:color="auto" w:sz="4" w:space="0"/>
              <w:left w:val="single" w:color="auto" w:sz="4" w:space="0"/>
              <w:bottom w:val="single" w:color="auto" w:sz="4" w:space="0"/>
              <w:right w:val="single" w:color="auto" w:sz="4" w:space="0"/>
            </w:tcBorders>
            <w:noWrap w:val="0"/>
            <w:vAlign w:val="center"/>
          </w:tcPr>
          <w:p w14:paraId="48563002">
            <w:pPr>
              <w:ind w:right="-11"/>
              <w:jc w:val="center"/>
              <w:rPr>
                <w:rFonts w:hint="eastAsia" w:ascii="宋体" w:hAnsi="宋体" w:eastAsia="宋体" w:cs="宋体"/>
                <w:color w:val="auto"/>
                <w:highlight w:val="none"/>
              </w:rPr>
            </w:pPr>
          </w:p>
        </w:tc>
        <w:tc>
          <w:tcPr>
            <w:tcW w:w="847" w:type="dxa"/>
            <w:tcBorders>
              <w:top w:val="single" w:color="auto" w:sz="4" w:space="0"/>
              <w:left w:val="single" w:color="auto" w:sz="4" w:space="0"/>
              <w:bottom w:val="single" w:color="auto" w:sz="4" w:space="0"/>
              <w:right w:val="single" w:color="auto" w:sz="12" w:space="0"/>
            </w:tcBorders>
            <w:noWrap w:val="0"/>
            <w:vAlign w:val="center"/>
          </w:tcPr>
          <w:p w14:paraId="593A0D07">
            <w:pPr>
              <w:ind w:right="-11"/>
              <w:jc w:val="center"/>
              <w:rPr>
                <w:rFonts w:hint="eastAsia" w:ascii="宋体" w:hAnsi="宋体" w:eastAsia="宋体" w:cs="宋体"/>
                <w:color w:val="auto"/>
                <w:highlight w:val="none"/>
              </w:rPr>
            </w:pPr>
          </w:p>
        </w:tc>
      </w:tr>
      <w:tr w14:paraId="272DF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9" w:type="dxa"/>
            <w:tcBorders>
              <w:top w:val="single" w:color="auto" w:sz="4" w:space="0"/>
              <w:left w:val="single" w:color="auto" w:sz="12" w:space="0"/>
              <w:bottom w:val="single" w:color="auto" w:sz="4" w:space="0"/>
              <w:right w:val="single" w:color="auto" w:sz="4" w:space="0"/>
            </w:tcBorders>
            <w:noWrap w:val="0"/>
            <w:vAlign w:val="center"/>
          </w:tcPr>
          <w:p w14:paraId="0F89A9DE">
            <w:pPr>
              <w:ind w:right="-11"/>
              <w:jc w:val="center"/>
              <w:rPr>
                <w:rFonts w:hint="eastAsia" w:ascii="宋体" w:hAnsi="宋体" w:eastAsia="宋体" w:cs="宋体"/>
                <w:color w:val="auto"/>
                <w:highlight w:val="none"/>
              </w:rPr>
            </w:pPr>
          </w:p>
        </w:tc>
        <w:tc>
          <w:tcPr>
            <w:tcW w:w="2169" w:type="dxa"/>
            <w:tcBorders>
              <w:top w:val="single" w:color="auto" w:sz="4" w:space="0"/>
              <w:left w:val="single" w:color="auto" w:sz="4" w:space="0"/>
              <w:bottom w:val="single" w:color="auto" w:sz="4" w:space="0"/>
              <w:right w:val="single" w:color="auto" w:sz="4" w:space="0"/>
            </w:tcBorders>
            <w:noWrap w:val="0"/>
            <w:vAlign w:val="center"/>
          </w:tcPr>
          <w:p w14:paraId="7E306BEB">
            <w:pPr>
              <w:widowControl/>
              <w:jc w:val="center"/>
              <w:textAlignment w:val="center"/>
              <w:rPr>
                <w:rFonts w:hint="eastAsia" w:ascii="宋体" w:hAnsi="宋体" w:eastAsia="宋体" w:cs="宋体"/>
                <w:color w:val="auto"/>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14:paraId="03F3DD10">
            <w:pPr>
              <w:jc w:val="center"/>
              <w:rPr>
                <w:rFonts w:hint="eastAsia" w:ascii="宋体" w:hAnsi="宋体" w:eastAsia="宋体" w:cs="宋体"/>
                <w:color w:val="auto"/>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14:paraId="09B7A524">
            <w:pPr>
              <w:ind w:right="-11"/>
              <w:jc w:val="center"/>
              <w:rPr>
                <w:rFonts w:hint="eastAsia" w:ascii="宋体" w:hAnsi="宋体" w:eastAsia="宋体" w:cs="宋体"/>
                <w:color w:val="auto"/>
                <w:highlight w:val="none"/>
              </w:rPr>
            </w:pPr>
          </w:p>
        </w:tc>
        <w:tc>
          <w:tcPr>
            <w:tcW w:w="1041" w:type="dxa"/>
            <w:tcBorders>
              <w:top w:val="single" w:color="auto" w:sz="4" w:space="0"/>
              <w:left w:val="single" w:color="auto" w:sz="4" w:space="0"/>
              <w:bottom w:val="single" w:color="auto" w:sz="4" w:space="0"/>
              <w:right w:val="single" w:color="auto" w:sz="4" w:space="0"/>
            </w:tcBorders>
            <w:noWrap w:val="0"/>
            <w:vAlign w:val="center"/>
          </w:tcPr>
          <w:p w14:paraId="5D9602B4">
            <w:pPr>
              <w:jc w:val="center"/>
              <w:rPr>
                <w:rFonts w:hint="eastAsia" w:ascii="宋体" w:hAnsi="宋体" w:eastAsia="宋体" w:cs="宋体"/>
                <w:color w:val="auto"/>
                <w:highlight w:val="none"/>
              </w:rPr>
            </w:pPr>
          </w:p>
        </w:tc>
        <w:tc>
          <w:tcPr>
            <w:tcW w:w="1074" w:type="dxa"/>
            <w:tcBorders>
              <w:top w:val="single" w:color="auto" w:sz="4" w:space="0"/>
              <w:left w:val="single" w:color="auto" w:sz="4" w:space="0"/>
              <w:bottom w:val="single" w:color="auto" w:sz="4" w:space="0"/>
              <w:right w:val="single" w:color="auto" w:sz="4" w:space="0"/>
            </w:tcBorders>
            <w:noWrap w:val="0"/>
            <w:vAlign w:val="center"/>
          </w:tcPr>
          <w:p w14:paraId="307E39F9">
            <w:pPr>
              <w:ind w:right="-11"/>
              <w:jc w:val="center"/>
              <w:rPr>
                <w:rFonts w:hint="eastAsia" w:ascii="宋体" w:hAnsi="宋体" w:eastAsia="宋体" w:cs="宋体"/>
                <w:color w:val="auto"/>
                <w:highlight w:val="none"/>
              </w:rPr>
            </w:pPr>
          </w:p>
        </w:tc>
        <w:tc>
          <w:tcPr>
            <w:tcW w:w="1129" w:type="dxa"/>
            <w:tcBorders>
              <w:top w:val="single" w:color="auto" w:sz="4" w:space="0"/>
              <w:left w:val="single" w:color="auto" w:sz="4" w:space="0"/>
              <w:bottom w:val="single" w:color="auto" w:sz="4" w:space="0"/>
              <w:right w:val="single" w:color="auto" w:sz="4" w:space="0"/>
            </w:tcBorders>
            <w:noWrap w:val="0"/>
            <w:vAlign w:val="center"/>
          </w:tcPr>
          <w:p w14:paraId="67F0BEF7">
            <w:pPr>
              <w:ind w:right="-11"/>
              <w:jc w:val="center"/>
              <w:rPr>
                <w:rFonts w:hint="eastAsia" w:ascii="宋体" w:hAnsi="宋体" w:eastAsia="宋体" w:cs="宋体"/>
                <w:color w:val="auto"/>
                <w:highlight w:val="none"/>
              </w:rPr>
            </w:pPr>
          </w:p>
        </w:tc>
        <w:tc>
          <w:tcPr>
            <w:tcW w:w="847" w:type="dxa"/>
            <w:tcBorders>
              <w:top w:val="single" w:color="auto" w:sz="4" w:space="0"/>
              <w:left w:val="single" w:color="auto" w:sz="4" w:space="0"/>
              <w:bottom w:val="single" w:color="auto" w:sz="4" w:space="0"/>
              <w:right w:val="single" w:color="auto" w:sz="12" w:space="0"/>
            </w:tcBorders>
            <w:noWrap w:val="0"/>
            <w:vAlign w:val="center"/>
          </w:tcPr>
          <w:p w14:paraId="6558A70F">
            <w:pPr>
              <w:ind w:right="-11"/>
              <w:jc w:val="center"/>
              <w:rPr>
                <w:rFonts w:hint="eastAsia" w:ascii="宋体" w:hAnsi="宋体" w:eastAsia="宋体" w:cs="宋体"/>
                <w:color w:val="auto"/>
                <w:highlight w:val="none"/>
              </w:rPr>
            </w:pPr>
          </w:p>
        </w:tc>
      </w:tr>
      <w:tr w14:paraId="560E9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639" w:type="dxa"/>
            <w:tcBorders>
              <w:top w:val="single" w:color="auto" w:sz="4" w:space="0"/>
              <w:left w:val="single" w:color="auto" w:sz="12" w:space="0"/>
              <w:bottom w:val="single" w:color="auto" w:sz="4" w:space="0"/>
              <w:right w:val="single" w:color="auto" w:sz="4" w:space="0"/>
            </w:tcBorders>
            <w:noWrap w:val="0"/>
            <w:vAlign w:val="center"/>
          </w:tcPr>
          <w:p w14:paraId="244C3B49">
            <w:pPr>
              <w:ind w:right="-11"/>
              <w:jc w:val="center"/>
              <w:rPr>
                <w:rFonts w:hint="eastAsia" w:ascii="宋体" w:hAnsi="宋体" w:eastAsia="宋体" w:cs="宋体"/>
                <w:color w:val="auto"/>
                <w:highlight w:val="none"/>
              </w:rPr>
            </w:pPr>
          </w:p>
        </w:tc>
        <w:tc>
          <w:tcPr>
            <w:tcW w:w="2169" w:type="dxa"/>
            <w:tcBorders>
              <w:top w:val="single" w:color="auto" w:sz="4" w:space="0"/>
              <w:left w:val="single" w:color="auto" w:sz="4" w:space="0"/>
              <w:bottom w:val="single" w:color="auto" w:sz="4" w:space="0"/>
              <w:right w:val="single" w:color="auto" w:sz="4" w:space="0"/>
            </w:tcBorders>
            <w:noWrap w:val="0"/>
            <w:vAlign w:val="center"/>
          </w:tcPr>
          <w:p w14:paraId="6B9D1266">
            <w:pPr>
              <w:widowControl/>
              <w:jc w:val="center"/>
              <w:textAlignment w:val="center"/>
              <w:rPr>
                <w:rFonts w:hint="eastAsia" w:ascii="宋体" w:hAnsi="宋体" w:eastAsia="宋体" w:cs="宋体"/>
                <w:color w:val="auto"/>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14:paraId="53E85054">
            <w:pPr>
              <w:ind w:right="-11"/>
              <w:jc w:val="center"/>
              <w:rPr>
                <w:rFonts w:hint="eastAsia" w:ascii="宋体" w:hAnsi="宋体" w:eastAsia="宋体" w:cs="宋体"/>
                <w:color w:val="auto"/>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14:paraId="3E19BB50">
            <w:pPr>
              <w:ind w:right="-11"/>
              <w:jc w:val="center"/>
              <w:rPr>
                <w:rFonts w:hint="eastAsia" w:ascii="宋体" w:hAnsi="宋体" w:eastAsia="宋体" w:cs="宋体"/>
                <w:color w:val="auto"/>
                <w:highlight w:val="none"/>
              </w:rPr>
            </w:pPr>
          </w:p>
        </w:tc>
        <w:tc>
          <w:tcPr>
            <w:tcW w:w="1041" w:type="dxa"/>
            <w:tcBorders>
              <w:top w:val="single" w:color="auto" w:sz="4" w:space="0"/>
              <w:left w:val="single" w:color="auto" w:sz="4" w:space="0"/>
              <w:bottom w:val="single" w:color="auto" w:sz="4" w:space="0"/>
              <w:right w:val="single" w:color="auto" w:sz="4" w:space="0"/>
            </w:tcBorders>
            <w:noWrap w:val="0"/>
            <w:vAlign w:val="center"/>
          </w:tcPr>
          <w:p w14:paraId="3D6C9C8C">
            <w:pPr>
              <w:ind w:right="-11"/>
              <w:jc w:val="center"/>
              <w:rPr>
                <w:rFonts w:hint="eastAsia" w:ascii="宋体" w:hAnsi="宋体" w:eastAsia="宋体" w:cs="宋体"/>
                <w:color w:val="auto"/>
                <w:highlight w:val="none"/>
              </w:rPr>
            </w:pPr>
          </w:p>
        </w:tc>
        <w:tc>
          <w:tcPr>
            <w:tcW w:w="1074" w:type="dxa"/>
            <w:tcBorders>
              <w:top w:val="single" w:color="auto" w:sz="4" w:space="0"/>
              <w:left w:val="single" w:color="auto" w:sz="4" w:space="0"/>
              <w:bottom w:val="single" w:color="auto" w:sz="4" w:space="0"/>
              <w:right w:val="single" w:color="auto" w:sz="4" w:space="0"/>
            </w:tcBorders>
            <w:noWrap w:val="0"/>
            <w:vAlign w:val="center"/>
          </w:tcPr>
          <w:p w14:paraId="6FF0411D">
            <w:pPr>
              <w:ind w:right="-11"/>
              <w:jc w:val="center"/>
              <w:rPr>
                <w:rFonts w:hint="eastAsia" w:ascii="宋体" w:hAnsi="宋体" w:eastAsia="宋体" w:cs="宋体"/>
                <w:color w:val="auto"/>
                <w:highlight w:val="none"/>
              </w:rPr>
            </w:pPr>
          </w:p>
        </w:tc>
        <w:tc>
          <w:tcPr>
            <w:tcW w:w="1129" w:type="dxa"/>
            <w:tcBorders>
              <w:top w:val="single" w:color="auto" w:sz="4" w:space="0"/>
              <w:left w:val="single" w:color="auto" w:sz="4" w:space="0"/>
              <w:bottom w:val="single" w:color="auto" w:sz="4" w:space="0"/>
              <w:right w:val="single" w:color="auto" w:sz="4" w:space="0"/>
            </w:tcBorders>
            <w:noWrap w:val="0"/>
            <w:vAlign w:val="center"/>
          </w:tcPr>
          <w:p w14:paraId="7C9963F0">
            <w:pPr>
              <w:ind w:right="-11"/>
              <w:jc w:val="center"/>
              <w:rPr>
                <w:rFonts w:hint="eastAsia" w:ascii="宋体" w:hAnsi="宋体" w:eastAsia="宋体" w:cs="宋体"/>
                <w:color w:val="auto"/>
                <w:highlight w:val="none"/>
              </w:rPr>
            </w:pPr>
          </w:p>
        </w:tc>
        <w:tc>
          <w:tcPr>
            <w:tcW w:w="847" w:type="dxa"/>
            <w:tcBorders>
              <w:top w:val="single" w:color="auto" w:sz="4" w:space="0"/>
              <w:left w:val="single" w:color="auto" w:sz="4" w:space="0"/>
              <w:bottom w:val="single" w:color="auto" w:sz="4" w:space="0"/>
              <w:right w:val="single" w:color="auto" w:sz="12" w:space="0"/>
            </w:tcBorders>
            <w:noWrap w:val="0"/>
            <w:vAlign w:val="center"/>
          </w:tcPr>
          <w:p w14:paraId="392143B9">
            <w:pPr>
              <w:ind w:right="-11"/>
              <w:jc w:val="center"/>
              <w:rPr>
                <w:rFonts w:hint="eastAsia" w:ascii="宋体" w:hAnsi="宋体" w:eastAsia="宋体" w:cs="宋体"/>
                <w:color w:val="auto"/>
                <w:highlight w:val="none"/>
              </w:rPr>
            </w:pPr>
          </w:p>
        </w:tc>
      </w:tr>
      <w:tr w14:paraId="3927B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639" w:type="dxa"/>
            <w:tcBorders>
              <w:top w:val="single" w:color="auto" w:sz="4" w:space="0"/>
              <w:left w:val="single" w:color="auto" w:sz="12" w:space="0"/>
              <w:bottom w:val="single" w:color="auto" w:sz="4" w:space="0"/>
              <w:right w:val="single" w:color="auto" w:sz="4" w:space="0"/>
            </w:tcBorders>
            <w:noWrap w:val="0"/>
            <w:vAlign w:val="center"/>
          </w:tcPr>
          <w:p w14:paraId="019195B2">
            <w:pPr>
              <w:ind w:right="-11"/>
              <w:jc w:val="center"/>
              <w:rPr>
                <w:rFonts w:hint="eastAsia" w:ascii="宋体" w:hAnsi="宋体" w:eastAsia="宋体" w:cs="宋体"/>
                <w:color w:val="auto"/>
                <w:highlight w:val="none"/>
              </w:rPr>
            </w:pPr>
          </w:p>
        </w:tc>
        <w:tc>
          <w:tcPr>
            <w:tcW w:w="2169" w:type="dxa"/>
            <w:tcBorders>
              <w:top w:val="single" w:color="auto" w:sz="4" w:space="0"/>
              <w:left w:val="single" w:color="auto" w:sz="4" w:space="0"/>
              <w:bottom w:val="single" w:color="auto" w:sz="4" w:space="0"/>
              <w:right w:val="single" w:color="auto" w:sz="4" w:space="0"/>
            </w:tcBorders>
            <w:noWrap w:val="0"/>
            <w:vAlign w:val="center"/>
          </w:tcPr>
          <w:p w14:paraId="0633D011">
            <w:pPr>
              <w:widowControl/>
              <w:jc w:val="center"/>
              <w:textAlignment w:val="center"/>
              <w:rPr>
                <w:rFonts w:hint="eastAsia" w:ascii="宋体" w:hAnsi="宋体" w:eastAsia="宋体" w:cs="宋体"/>
                <w:color w:val="auto"/>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14:paraId="1E8EB34C">
            <w:pPr>
              <w:ind w:right="-11"/>
              <w:jc w:val="center"/>
              <w:rPr>
                <w:rFonts w:hint="eastAsia" w:ascii="宋体" w:hAnsi="宋体" w:eastAsia="宋体" w:cs="宋体"/>
                <w:color w:val="auto"/>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14:paraId="628EB245">
            <w:pPr>
              <w:ind w:right="-11"/>
              <w:jc w:val="center"/>
              <w:rPr>
                <w:rFonts w:hint="eastAsia" w:ascii="宋体" w:hAnsi="宋体" w:eastAsia="宋体" w:cs="宋体"/>
                <w:color w:val="auto"/>
                <w:highlight w:val="none"/>
              </w:rPr>
            </w:pPr>
          </w:p>
        </w:tc>
        <w:tc>
          <w:tcPr>
            <w:tcW w:w="1041" w:type="dxa"/>
            <w:tcBorders>
              <w:top w:val="single" w:color="auto" w:sz="4" w:space="0"/>
              <w:left w:val="single" w:color="auto" w:sz="4" w:space="0"/>
              <w:bottom w:val="single" w:color="auto" w:sz="4" w:space="0"/>
              <w:right w:val="single" w:color="auto" w:sz="4" w:space="0"/>
            </w:tcBorders>
            <w:noWrap w:val="0"/>
            <w:vAlign w:val="center"/>
          </w:tcPr>
          <w:p w14:paraId="2784B124">
            <w:pPr>
              <w:ind w:right="-11"/>
              <w:jc w:val="center"/>
              <w:rPr>
                <w:rFonts w:hint="eastAsia" w:ascii="宋体" w:hAnsi="宋体" w:eastAsia="宋体" w:cs="宋体"/>
                <w:color w:val="auto"/>
                <w:highlight w:val="none"/>
              </w:rPr>
            </w:pPr>
          </w:p>
        </w:tc>
        <w:tc>
          <w:tcPr>
            <w:tcW w:w="1074" w:type="dxa"/>
            <w:tcBorders>
              <w:top w:val="single" w:color="auto" w:sz="4" w:space="0"/>
              <w:left w:val="single" w:color="auto" w:sz="4" w:space="0"/>
              <w:bottom w:val="single" w:color="auto" w:sz="4" w:space="0"/>
              <w:right w:val="single" w:color="auto" w:sz="4" w:space="0"/>
            </w:tcBorders>
            <w:noWrap w:val="0"/>
            <w:vAlign w:val="center"/>
          </w:tcPr>
          <w:p w14:paraId="2572B930">
            <w:pPr>
              <w:ind w:right="-11"/>
              <w:jc w:val="center"/>
              <w:rPr>
                <w:rFonts w:hint="eastAsia" w:ascii="宋体" w:hAnsi="宋体" w:eastAsia="宋体" w:cs="宋体"/>
                <w:color w:val="auto"/>
                <w:highlight w:val="none"/>
              </w:rPr>
            </w:pPr>
          </w:p>
        </w:tc>
        <w:tc>
          <w:tcPr>
            <w:tcW w:w="1129" w:type="dxa"/>
            <w:tcBorders>
              <w:top w:val="single" w:color="auto" w:sz="4" w:space="0"/>
              <w:left w:val="single" w:color="auto" w:sz="4" w:space="0"/>
              <w:bottom w:val="single" w:color="auto" w:sz="4" w:space="0"/>
              <w:right w:val="single" w:color="auto" w:sz="4" w:space="0"/>
            </w:tcBorders>
            <w:noWrap w:val="0"/>
            <w:vAlign w:val="center"/>
          </w:tcPr>
          <w:p w14:paraId="7C542D75">
            <w:pPr>
              <w:ind w:right="-11"/>
              <w:jc w:val="center"/>
              <w:rPr>
                <w:rFonts w:hint="eastAsia" w:ascii="宋体" w:hAnsi="宋体" w:eastAsia="宋体" w:cs="宋体"/>
                <w:color w:val="auto"/>
                <w:highlight w:val="none"/>
              </w:rPr>
            </w:pPr>
          </w:p>
        </w:tc>
        <w:tc>
          <w:tcPr>
            <w:tcW w:w="847" w:type="dxa"/>
            <w:tcBorders>
              <w:top w:val="single" w:color="auto" w:sz="4" w:space="0"/>
              <w:left w:val="single" w:color="auto" w:sz="4" w:space="0"/>
              <w:bottom w:val="single" w:color="auto" w:sz="4" w:space="0"/>
              <w:right w:val="single" w:color="auto" w:sz="12" w:space="0"/>
            </w:tcBorders>
            <w:noWrap w:val="0"/>
            <w:vAlign w:val="center"/>
          </w:tcPr>
          <w:p w14:paraId="3C64451B">
            <w:pPr>
              <w:ind w:right="-11"/>
              <w:jc w:val="center"/>
              <w:rPr>
                <w:rFonts w:hint="eastAsia" w:ascii="宋体" w:hAnsi="宋体" w:eastAsia="宋体" w:cs="宋体"/>
                <w:color w:val="auto"/>
                <w:highlight w:val="none"/>
              </w:rPr>
            </w:pPr>
          </w:p>
        </w:tc>
      </w:tr>
      <w:tr w14:paraId="05430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308" w:type="dxa"/>
            <w:gridSpan w:val="3"/>
            <w:tcBorders>
              <w:top w:val="single" w:color="auto" w:sz="4" w:space="0"/>
              <w:left w:val="single" w:color="auto" w:sz="12" w:space="0"/>
              <w:bottom w:val="single" w:color="auto" w:sz="12" w:space="0"/>
              <w:right w:val="single" w:color="auto" w:sz="4" w:space="0"/>
            </w:tcBorders>
            <w:noWrap w:val="0"/>
            <w:vAlign w:val="center"/>
          </w:tcPr>
          <w:p w14:paraId="1D0ABE24">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合计总价</w:t>
            </w:r>
          </w:p>
          <w:p w14:paraId="08ACD09B">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（应与开标一览表中投标总价相一致）</w:t>
            </w:r>
          </w:p>
        </w:tc>
        <w:tc>
          <w:tcPr>
            <w:tcW w:w="4978" w:type="dxa"/>
            <w:gridSpan w:val="5"/>
            <w:tcBorders>
              <w:top w:val="single" w:color="auto" w:sz="4" w:space="0"/>
              <w:left w:val="single" w:color="auto" w:sz="4" w:space="0"/>
              <w:bottom w:val="single" w:color="auto" w:sz="12" w:space="0"/>
              <w:right w:val="single" w:color="auto" w:sz="12" w:space="0"/>
            </w:tcBorders>
            <w:noWrap w:val="0"/>
            <w:vAlign w:val="center"/>
          </w:tcPr>
          <w:p w14:paraId="30D3306D">
            <w:pPr>
              <w:ind w:right="-10"/>
              <w:jc w:val="center"/>
              <w:rPr>
                <w:rFonts w:hint="eastAsia" w:ascii="宋体" w:hAnsi="宋体" w:eastAsia="宋体" w:cs="宋体"/>
                <w:color w:val="auto"/>
                <w:highlight w:val="none"/>
              </w:rPr>
            </w:pPr>
          </w:p>
        </w:tc>
      </w:tr>
    </w:tbl>
    <w:p w14:paraId="75E7B195">
      <w:pPr>
        <w:keepNext w:val="0"/>
        <w:keepLines w:val="0"/>
        <w:pageBreakBefore w:val="0"/>
        <w:widowControl w:val="0"/>
        <w:kinsoku/>
        <w:wordWrap/>
        <w:overflowPunct/>
        <w:topLinePunct w:val="0"/>
        <w:autoSpaceDE/>
        <w:autoSpaceDN/>
        <w:bidi w:val="0"/>
        <w:adjustRightInd/>
        <w:snapToGrid w:val="0"/>
        <w:spacing w:before="120" w:beforeLines="50" w:line="400" w:lineRule="exact"/>
        <w:ind w:left="898" w:hanging="898" w:hangingChars="426"/>
        <w:textAlignment w:val="auto"/>
        <w:rPr>
          <w:rFonts w:hint="eastAsia" w:ascii="宋体" w:hAnsi="宋体" w:eastAsia="宋体" w:cs="宋体"/>
          <w:color w:val="auto"/>
          <w:szCs w:val="21"/>
          <w:highlight w:val="none"/>
        </w:rPr>
      </w:pPr>
      <w:r>
        <w:rPr>
          <w:rFonts w:hint="eastAsia" w:ascii="宋体" w:hAnsi="宋体" w:eastAsia="宋体" w:cs="宋体"/>
          <w:b/>
          <w:bCs/>
          <w:color w:val="auto"/>
          <w:szCs w:val="21"/>
          <w:highlight w:val="none"/>
        </w:rPr>
        <w:t>说明:：</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u w:val="wave"/>
        </w:rPr>
        <w:t>此表的合计总价应与附件</w:t>
      </w:r>
      <w:r>
        <w:rPr>
          <w:rFonts w:hint="eastAsia" w:ascii="宋体" w:hAnsi="宋体" w:eastAsia="宋体" w:cs="宋体"/>
          <w:color w:val="auto"/>
          <w:szCs w:val="21"/>
          <w:highlight w:val="none"/>
          <w:u w:val="wave"/>
          <w:lang w:val="en-US" w:eastAsia="zh-CN"/>
        </w:rPr>
        <w:t xml:space="preserve">3-1  </w:t>
      </w:r>
      <w:r>
        <w:rPr>
          <w:rFonts w:hint="eastAsia" w:ascii="宋体" w:hAnsi="宋体" w:eastAsia="宋体" w:cs="宋体"/>
          <w:color w:val="auto"/>
          <w:szCs w:val="21"/>
          <w:highlight w:val="none"/>
          <w:u w:val="wave"/>
        </w:rPr>
        <w:t>《开标一览表》的投标总价相一致</w:t>
      </w:r>
      <w:r>
        <w:rPr>
          <w:rFonts w:hint="eastAsia" w:ascii="宋体" w:hAnsi="宋体" w:eastAsia="宋体" w:cs="宋体"/>
          <w:color w:val="auto"/>
          <w:szCs w:val="21"/>
          <w:highlight w:val="none"/>
        </w:rPr>
        <w:t>。</w:t>
      </w:r>
    </w:p>
    <w:p w14:paraId="55689EE7">
      <w:pPr>
        <w:keepNext w:val="0"/>
        <w:keepLines w:val="0"/>
        <w:pageBreakBefore w:val="0"/>
        <w:widowControl w:val="0"/>
        <w:kinsoku/>
        <w:wordWrap/>
        <w:overflowPunct/>
        <w:topLinePunct w:val="0"/>
        <w:autoSpaceDE/>
        <w:autoSpaceDN/>
        <w:bidi w:val="0"/>
        <w:adjustRightInd/>
        <w:snapToGrid w:val="0"/>
        <w:spacing w:line="400" w:lineRule="exact"/>
        <w:ind w:left="1079" w:leftChars="343" w:hanging="359" w:hangingChars="171"/>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kern w:val="0"/>
          <w:szCs w:val="21"/>
          <w:highlight w:val="none"/>
        </w:rPr>
        <w:t>表中的货物名称按招标文件第三部分中“主要设备及内容清单”分项填写</w:t>
      </w:r>
      <w:r>
        <w:rPr>
          <w:rFonts w:hint="eastAsia" w:ascii="宋体" w:hAnsi="宋体" w:eastAsia="宋体" w:cs="宋体"/>
          <w:color w:val="auto"/>
          <w:szCs w:val="21"/>
          <w:highlight w:val="none"/>
        </w:rPr>
        <w:t>。</w:t>
      </w:r>
    </w:p>
    <w:p w14:paraId="7ABA8034">
      <w:pPr>
        <w:keepNext w:val="0"/>
        <w:keepLines w:val="0"/>
        <w:pageBreakBefore w:val="0"/>
        <w:widowControl w:val="0"/>
        <w:kinsoku/>
        <w:wordWrap/>
        <w:overflowPunct/>
        <w:topLinePunct w:val="0"/>
        <w:autoSpaceDE/>
        <w:autoSpaceDN/>
        <w:bidi w:val="0"/>
        <w:adjustRightInd/>
        <w:spacing w:after="120" w:afterLines="50" w:line="400" w:lineRule="exact"/>
        <w:ind w:right="-21" w:rightChars="-10" w:firstLine="663" w:firstLineChars="300"/>
        <w:textAlignment w:val="auto"/>
        <w:rPr>
          <w:rFonts w:hint="eastAsia" w:ascii="宋体" w:hAnsi="宋体" w:eastAsia="宋体" w:cs="宋体"/>
          <w:color w:val="auto"/>
          <w:szCs w:val="21"/>
          <w:highlight w:val="none"/>
        </w:rPr>
      </w:pPr>
      <w:r>
        <w:rPr>
          <w:rFonts w:hint="eastAsia" w:ascii="宋体" w:hAnsi="宋体" w:eastAsia="宋体" w:cs="宋体"/>
          <w:b/>
          <w:color w:val="auto"/>
          <w:sz w:val="22"/>
          <w:szCs w:val="22"/>
          <w:highlight w:val="none"/>
          <w:u w:val="single"/>
        </w:rPr>
        <w:t>▲</w:t>
      </w:r>
      <w:r>
        <w:rPr>
          <w:rFonts w:hint="eastAsia" w:ascii="宋体" w:hAnsi="宋体" w:eastAsia="宋体" w:cs="宋体"/>
          <w:b/>
          <w:color w:val="auto"/>
          <w:sz w:val="22"/>
          <w:szCs w:val="22"/>
          <w:highlight w:val="none"/>
          <w:u w:val="single"/>
          <w:lang w:val="en-US" w:eastAsia="zh-CN"/>
        </w:rPr>
        <w:t>3、</w:t>
      </w:r>
      <w:r>
        <w:rPr>
          <w:rFonts w:hint="eastAsia" w:ascii="宋体" w:hAnsi="宋体" w:eastAsia="宋体" w:cs="宋体"/>
          <w:b/>
          <w:color w:val="auto"/>
          <w:sz w:val="22"/>
          <w:szCs w:val="22"/>
          <w:highlight w:val="none"/>
          <w:u w:val="single"/>
        </w:rPr>
        <w:t>不提供此表的投标文件将被视为未实质性响应招标文件。</w:t>
      </w:r>
    </w:p>
    <w:p w14:paraId="335B2D94">
      <w:pPr>
        <w:spacing w:after="120" w:afterLines="50"/>
        <w:ind w:right="-21" w:rightChars="-10" w:firstLine="5145" w:firstLineChars="2450"/>
        <w:jc w:val="left"/>
        <w:rPr>
          <w:rFonts w:hint="eastAsia" w:ascii="宋体" w:hAnsi="宋体" w:eastAsia="宋体" w:cs="宋体"/>
          <w:color w:val="auto"/>
          <w:szCs w:val="21"/>
          <w:highlight w:val="none"/>
        </w:rPr>
      </w:pPr>
    </w:p>
    <w:p w14:paraId="4AD5EAFE">
      <w:pPr>
        <w:spacing w:after="120" w:afterLines="50"/>
        <w:ind w:right="-21" w:rightChars="-10" w:firstLine="5145" w:firstLineChars="2450"/>
        <w:jc w:val="left"/>
        <w:rPr>
          <w:rFonts w:hint="eastAsia" w:ascii="宋体" w:hAnsi="宋体" w:eastAsia="宋体" w:cs="宋体"/>
          <w:color w:val="auto"/>
          <w:szCs w:val="21"/>
          <w:highlight w:val="none"/>
        </w:rPr>
      </w:pPr>
    </w:p>
    <w:p w14:paraId="0D170C33">
      <w:pPr>
        <w:spacing w:after="120" w:afterLines="50"/>
        <w:ind w:right="-21" w:rightChars="-10" w:firstLine="5145" w:firstLineChars="245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投标供应商（公章）：</w:t>
      </w:r>
    </w:p>
    <w:p w14:paraId="03839F85">
      <w:pPr>
        <w:spacing w:after="120" w:afterLines="50"/>
        <w:ind w:right="-10" w:firstLine="5145" w:firstLineChars="245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法定代表人或授权代表人（签字或盖章）：</w:t>
      </w:r>
    </w:p>
    <w:p w14:paraId="4BFD8E87">
      <w:pPr>
        <w:spacing w:after="120" w:afterLines="50"/>
        <w:ind w:right="-10" w:firstLine="5145" w:firstLineChars="2450"/>
        <w:jc w:val="left"/>
        <w:rPr>
          <w:rFonts w:hint="eastAsia" w:ascii="宋体" w:hAnsi="宋体" w:eastAsia="宋体" w:cs="宋体"/>
          <w:color w:val="auto"/>
          <w:kern w:val="0"/>
          <w:highlight w:val="none"/>
        </w:rPr>
      </w:pPr>
      <w:r>
        <w:rPr>
          <w:rFonts w:hint="eastAsia" w:ascii="宋体" w:hAnsi="宋体" w:eastAsia="宋体" w:cs="宋体"/>
          <w:color w:val="auto"/>
          <w:highlight w:val="none"/>
        </w:rPr>
        <w:t>日期：</w:t>
      </w:r>
    </w:p>
    <w:bookmarkEnd w:id="315"/>
    <w:bookmarkEnd w:id="316"/>
    <w:bookmarkEnd w:id="317"/>
    <w:p w14:paraId="2339716A">
      <w:pPr>
        <w:keepNext w:val="0"/>
        <w:keepLines w:val="0"/>
        <w:pageBreakBefore w:val="0"/>
        <w:widowControl w:val="0"/>
        <w:kinsoku/>
        <w:wordWrap/>
        <w:overflowPunct/>
        <w:topLinePunct w:val="0"/>
        <w:autoSpaceDE/>
        <w:autoSpaceDN/>
        <w:bidi w:val="0"/>
        <w:adjustRightInd/>
        <w:snapToGrid/>
        <w:spacing w:line="440" w:lineRule="exact"/>
        <w:ind w:firstLine="5527" w:firstLineChars="2632"/>
        <w:textAlignment w:val="auto"/>
        <w:rPr>
          <w:rFonts w:hint="eastAsia" w:ascii="宋体" w:hAnsi="宋体" w:eastAsia="宋体" w:cs="宋体"/>
          <w:color w:val="auto"/>
          <w:kern w:val="0"/>
          <w:sz w:val="21"/>
          <w:szCs w:val="21"/>
          <w:highlight w:val="none"/>
        </w:rPr>
      </w:pPr>
    </w:p>
    <w:p w14:paraId="2E2956F6">
      <w:pPr>
        <w:spacing w:before="101" w:line="227" w:lineRule="auto"/>
        <w:ind w:left="87"/>
        <w:rPr>
          <w:rFonts w:hint="eastAsia" w:ascii="宋体" w:hAnsi="宋体" w:eastAsia="宋体" w:cs="宋体"/>
          <w:color w:val="auto"/>
          <w:spacing w:val="2"/>
          <w:sz w:val="20"/>
          <w:szCs w:val="20"/>
          <w:highlight w:val="none"/>
        </w:rPr>
      </w:pPr>
      <w:r>
        <w:rPr>
          <w:rFonts w:hint="eastAsia" w:ascii="宋体" w:hAnsi="宋体" w:eastAsia="宋体" w:cs="宋体"/>
          <w:color w:val="auto"/>
          <w:spacing w:val="2"/>
          <w:sz w:val="20"/>
          <w:szCs w:val="20"/>
          <w:highlight w:val="none"/>
        </w:rPr>
        <w:t xml:space="preserve">  </w:t>
      </w:r>
    </w:p>
    <w:p w14:paraId="6DFFDDF1">
      <w:pPr>
        <w:spacing w:before="101" w:line="227" w:lineRule="auto"/>
        <w:rPr>
          <w:rFonts w:hint="eastAsia" w:ascii="宋体" w:hAnsi="宋体" w:eastAsia="宋体" w:cs="宋体"/>
          <w:color w:val="auto"/>
          <w:spacing w:val="2"/>
          <w:sz w:val="20"/>
          <w:szCs w:val="20"/>
          <w:highlight w:val="none"/>
        </w:rPr>
      </w:pPr>
    </w:p>
    <w:p w14:paraId="6CFCEC61">
      <w:pPr>
        <w:rPr>
          <w:rFonts w:hint="eastAsia" w:ascii="宋体" w:hAnsi="宋体" w:eastAsia="宋体" w:cs="宋体"/>
          <w:color w:val="auto"/>
          <w:highlight w:val="none"/>
        </w:rPr>
      </w:pPr>
    </w:p>
    <w:bookmarkEnd w:id="308"/>
    <w:bookmarkEnd w:id="309"/>
    <w:bookmarkEnd w:id="310"/>
    <w:bookmarkEnd w:id="311"/>
    <w:bookmarkEnd w:id="312"/>
    <w:bookmarkEnd w:id="313"/>
    <w:bookmarkEnd w:id="314"/>
    <w:p w14:paraId="19D00264">
      <w:pPr>
        <w:spacing w:line="440" w:lineRule="exact"/>
        <w:rPr>
          <w:rFonts w:hint="eastAsia" w:ascii="宋体" w:hAnsi="宋体" w:eastAsia="宋体" w:cs="宋体"/>
          <w:b/>
          <w:color w:val="auto"/>
          <w:sz w:val="28"/>
          <w:highlight w:val="none"/>
        </w:rPr>
      </w:pPr>
      <w:bookmarkStart w:id="318" w:name="_Toc388974303"/>
      <w:bookmarkStart w:id="319" w:name="_Toc412788172"/>
    </w:p>
    <w:bookmarkEnd w:id="318"/>
    <w:bookmarkEnd w:id="319"/>
    <w:p w14:paraId="633DBB7E">
      <w:pPr>
        <w:rPr>
          <w:rFonts w:hint="eastAsia" w:ascii="宋体" w:hAnsi="宋体" w:eastAsia="宋体" w:cs="宋体"/>
          <w:color w:val="auto"/>
          <w:highlight w:val="none"/>
        </w:rPr>
      </w:pPr>
      <w:bookmarkStart w:id="320" w:name="_Toc388459811"/>
      <w:bookmarkStart w:id="321" w:name="_Toc388974305"/>
      <w:bookmarkStart w:id="322" w:name="_Toc388974307"/>
    </w:p>
    <w:bookmarkEnd w:id="320"/>
    <w:p w14:paraId="1A2433AA">
      <w:pPr>
        <w:spacing w:before="156" w:beforeLines="50" w:after="156" w:afterLines="50" w:line="320" w:lineRule="exact"/>
        <w:jc w:val="center"/>
        <w:outlineLvl w:val="1"/>
        <w:rPr>
          <w:rFonts w:hint="eastAsia" w:ascii="宋体" w:hAnsi="宋体" w:eastAsia="宋体" w:cs="宋体"/>
          <w:b/>
          <w:bCs/>
          <w:color w:val="auto"/>
          <w:kern w:val="0"/>
          <w:sz w:val="28"/>
          <w:highlight w:val="none"/>
        </w:rPr>
      </w:pPr>
      <w:bookmarkStart w:id="323" w:name="_Toc412788174"/>
      <w:r>
        <w:rPr>
          <w:rFonts w:hint="eastAsia" w:ascii="宋体" w:hAnsi="宋体" w:eastAsia="宋体" w:cs="宋体"/>
          <w:color w:val="auto"/>
          <w:sz w:val="24"/>
          <w:szCs w:val="24"/>
          <w:highlight w:val="none"/>
        </w:rPr>
        <w:br w:type="page"/>
      </w:r>
      <w:bookmarkStart w:id="324" w:name="_Toc3613"/>
      <w:bookmarkStart w:id="325" w:name="_Toc14630"/>
      <w:bookmarkStart w:id="326" w:name="_Toc21275"/>
      <w:bookmarkStart w:id="327" w:name="_Toc3811"/>
      <w:bookmarkStart w:id="328" w:name="_Toc12213"/>
      <w:r>
        <w:rPr>
          <w:rFonts w:hint="eastAsia" w:ascii="宋体" w:hAnsi="宋体" w:eastAsia="宋体" w:cs="宋体"/>
          <w:b/>
          <w:bCs/>
          <w:color w:val="auto"/>
          <w:kern w:val="2"/>
          <w:sz w:val="24"/>
          <w:szCs w:val="24"/>
          <w:highlight w:val="none"/>
          <w:lang w:val="en-US" w:eastAsia="zh-CN" w:bidi="ar-SA"/>
        </w:rPr>
        <w:t>附件4   投标函</w:t>
      </w:r>
      <w:bookmarkEnd w:id="324"/>
      <w:bookmarkEnd w:id="325"/>
      <w:bookmarkEnd w:id="326"/>
    </w:p>
    <w:p w14:paraId="46748A39">
      <w:pPr>
        <w:spacing w:after="156" w:afterLines="50" w:line="320" w:lineRule="exact"/>
        <w:rPr>
          <w:rFonts w:hint="eastAsia" w:ascii="宋体" w:hAnsi="宋体" w:eastAsia="宋体" w:cs="宋体"/>
          <w:color w:val="auto"/>
          <w:kern w:val="0"/>
          <w:highlight w:val="none"/>
        </w:rPr>
      </w:pPr>
      <w:r>
        <w:rPr>
          <w:rFonts w:hint="eastAsia" w:ascii="宋体" w:hAnsi="宋体" w:eastAsia="宋体" w:cs="宋体"/>
          <w:color w:val="auto"/>
          <w:kern w:val="0"/>
          <w:highlight w:val="none"/>
          <w:u w:val="single"/>
        </w:rPr>
        <w:t>温州瓯瓷产业发展有限公司</w:t>
      </w:r>
      <w:r>
        <w:rPr>
          <w:rFonts w:hint="eastAsia" w:ascii="宋体" w:hAnsi="宋体" w:eastAsia="宋体" w:cs="宋体"/>
          <w:color w:val="auto"/>
          <w:kern w:val="0"/>
          <w:highlight w:val="none"/>
        </w:rPr>
        <w:t>：</w:t>
      </w:r>
    </w:p>
    <w:p w14:paraId="47D9ED89">
      <w:pPr>
        <w:spacing w:line="400" w:lineRule="exact"/>
        <w:ind w:firstLine="420" w:firstLineChars="200"/>
        <w:rPr>
          <w:rFonts w:hint="eastAsia" w:ascii="宋体" w:hAnsi="宋体" w:eastAsia="宋体" w:cs="宋体"/>
          <w:color w:val="auto"/>
          <w:kern w:val="0"/>
          <w:highlight w:val="none"/>
        </w:rPr>
      </w:pPr>
      <w:r>
        <w:rPr>
          <w:rFonts w:hint="eastAsia" w:ascii="宋体" w:hAnsi="宋体" w:eastAsia="宋体" w:cs="宋体"/>
          <w:color w:val="auto"/>
          <w:kern w:val="0"/>
          <w:highlight w:val="none"/>
        </w:rPr>
        <w:t>根据贵方招标文件的要求，正式授权下述签字人</w:t>
      </w:r>
      <w:r>
        <w:rPr>
          <w:rFonts w:hint="eastAsia" w:ascii="宋体" w:hAnsi="宋体" w:eastAsia="宋体" w:cs="宋体"/>
          <w:color w:val="auto"/>
          <w:kern w:val="0"/>
          <w:highlight w:val="none"/>
          <w:u w:val="single"/>
        </w:rPr>
        <w:t xml:space="preserve">    （姓名，单位，职务）</w:t>
      </w:r>
      <w:r>
        <w:rPr>
          <w:rFonts w:hint="eastAsia" w:ascii="宋体" w:hAnsi="宋体" w:eastAsia="宋体" w:cs="宋体"/>
          <w:color w:val="auto"/>
          <w:kern w:val="0"/>
          <w:highlight w:val="none"/>
          <w:u w:val="single"/>
          <w:lang w:val="en-US" w:eastAsia="zh-CN"/>
        </w:rPr>
        <w:t xml:space="preserve">  </w:t>
      </w:r>
      <w:r>
        <w:rPr>
          <w:rFonts w:hint="eastAsia" w:ascii="宋体" w:hAnsi="宋体" w:eastAsia="宋体" w:cs="宋体"/>
          <w:color w:val="auto"/>
          <w:kern w:val="0"/>
          <w:highlight w:val="none"/>
        </w:rPr>
        <w:t>代表投标人</w:t>
      </w:r>
      <w:r>
        <w:rPr>
          <w:rFonts w:hint="eastAsia" w:ascii="宋体" w:hAnsi="宋体" w:eastAsia="宋体" w:cs="宋体"/>
          <w:color w:val="auto"/>
          <w:kern w:val="0"/>
          <w:highlight w:val="none"/>
          <w:u w:val="single"/>
        </w:rPr>
        <w:t xml:space="preserve"> </w:t>
      </w:r>
      <w:r>
        <w:rPr>
          <w:rFonts w:hint="eastAsia" w:ascii="宋体" w:hAnsi="宋体" w:eastAsia="宋体" w:cs="宋体"/>
          <w:color w:val="auto"/>
          <w:kern w:val="0"/>
          <w:highlight w:val="none"/>
          <w:u w:val="single"/>
          <w:lang w:val="en-US" w:eastAsia="zh-CN"/>
        </w:rPr>
        <w:t xml:space="preserve">  </w:t>
      </w:r>
      <w:r>
        <w:rPr>
          <w:rFonts w:hint="eastAsia" w:ascii="宋体" w:hAnsi="宋体" w:eastAsia="宋体" w:cs="宋体"/>
          <w:color w:val="auto"/>
          <w:kern w:val="0"/>
          <w:highlight w:val="none"/>
          <w:u w:val="single"/>
        </w:rPr>
        <w:t>(单位，地址)</w:t>
      </w:r>
      <w:r>
        <w:rPr>
          <w:rFonts w:hint="eastAsia" w:ascii="宋体" w:hAnsi="宋体" w:eastAsia="宋体" w:cs="宋体"/>
          <w:color w:val="auto"/>
          <w:kern w:val="0"/>
          <w:highlight w:val="none"/>
          <w:u w:val="single"/>
          <w:lang w:val="en-US" w:eastAsia="zh-CN"/>
        </w:rPr>
        <w:t xml:space="preserve">   </w:t>
      </w:r>
      <w:r>
        <w:rPr>
          <w:rFonts w:hint="eastAsia" w:ascii="宋体" w:hAnsi="宋体" w:eastAsia="宋体" w:cs="宋体"/>
          <w:color w:val="auto"/>
          <w:kern w:val="0"/>
          <w:highlight w:val="none"/>
        </w:rPr>
        <w:t>提交下述文件。</w:t>
      </w:r>
    </w:p>
    <w:p w14:paraId="3ECEC2CD">
      <w:pPr>
        <w:numPr>
          <w:ilvl w:val="0"/>
          <w:numId w:val="18"/>
        </w:numPr>
        <w:spacing w:line="400" w:lineRule="exact"/>
        <w:ind w:left="844" w:leftChars="0" w:firstLineChars="0"/>
        <w:jc w:val="left"/>
        <w:rPr>
          <w:rFonts w:hint="eastAsia" w:ascii="宋体" w:hAnsi="宋体" w:eastAsia="宋体" w:cs="宋体"/>
          <w:color w:val="auto"/>
          <w:kern w:val="0"/>
          <w:highlight w:val="none"/>
        </w:rPr>
      </w:pPr>
      <w:r>
        <w:rPr>
          <w:rFonts w:hint="eastAsia" w:ascii="宋体" w:hAnsi="宋体" w:eastAsia="宋体" w:cs="宋体"/>
          <w:color w:val="auto"/>
          <w:kern w:val="0"/>
          <w:highlight w:val="none"/>
        </w:rPr>
        <w:t>投标书</w:t>
      </w:r>
    </w:p>
    <w:p w14:paraId="13C406E1">
      <w:pPr>
        <w:numPr>
          <w:ilvl w:val="0"/>
          <w:numId w:val="18"/>
        </w:numPr>
        <w:spacing w:line="400" w:lineRule="exact"/>
        <w:ind w:left="844" w:leftChars="0" w:firstLineChars="0"/>
        <w:jc w:val="left"/>
        <w:rPr>
          <w:rFonts w:hint="eastAsia" w:ascii="宋体" w:hAnsi="宋体" w:eastAsia="宋体" w:cs="宋体"/>
          <w:color w:val="auto"/>
          <w:kern w:val="0"/>
          <w:highlight w:val="none"/>
        </w:rPr>
      </w:pPr>
      <w:r>
        <w:rPr>
          <w:rFonts w:hint="eastAsia" w:ascii="宋体" w:hAnsi="宋体" w:eastAsia="宋体" w:cs="宋体"/>
          <w:color w:val="auto"/>
          <w:highlight w:val="none"/>
        </w:rPr>
        <w:t>由投标人出具的金额为_______元的投标保证金</w:t>
      </w:r>
    </w:p>
    <w:p w14:paraId="18CC4378">
      <w:pPr>
        <w:numPr>
          <w:ilvl w:val="0"/>
          <w:numId w:val="18"/>
        </w:numPr>
        <w:spacing w:line="400" w:lineRule="exact"/>
        <w:ind w:left="844" w:leftChars="0" w:firstLineChars="0"/>
        <w:jc w:val="left"/>
        <w:rPr>
          <w:rFonts w:hint="eastAsia" w:ascii="宋体" w:hAnsi="宋体" w:eastAsia="宋体" w:cs="宋体"/>
          <w:color w:val="auto"/>
          <w:kern w:val="0"/>
          <w:highlight w:val="none"/>
        </w:rPr>
      </w:pPr>
      <w:r>
        <w:rPr>
          <w:rFonts w:hint="eastAsia" w:ascii="宋体" w:hAnsi="宋体" w:eastAsia="宋体" w:cs="宋体"/>
          <w:color w:val="auto"/>
          <w:spacing w:val="0"/>
          <w:kern w:val="0"/>
          <w:sz w:val="21"/>
          <w:szCs w:val="21"/>
          <w:highlight w:val="none"/>
        </w:rPr>
        <w:t>开标一览表</w:t>
      </w:r>
    </w:p>
    <w:p w14:paraId="1D6A3B09">
      <w:pPr>
        <w:numPr>
          <w:ilvl w:val="0"/>
          <w:numId w:val="18"/>
        </w:numPr>
        <w:spacing w:line="400" w:lineRule="exact"/>
        <w:ind w:left="844" w:leftChars="0" w:firstLineChars="0"/>
        <w:jc w:val="left"/>
        <w:rPr>
          <w:rFonts w:hint="eastAsia" w:ascii="宋体" w:hAnsi="宋体" w:eastAsia="宋体" w:cs="宋体"/>
          <w:color w:val="auto"/>
          <w:kern w:val="0"/>
          <w:highlight w:val="none"/>
        </w:rPr>
      </w:pPr>
      <w:r>
        <w:rPr>
          <w:rFonts w:hint="eastAsia" w:ascii="宋体" w:hAnsi="宋体" w:eastAsia="宋体" w:cs="宋体"/>
          <w:color w:val="auto"/>
          <w:kern w:val="0"/>
          <w:highlight w:val="none"/>
        </w:rPr>
        <w:t>招标文件要求投标人提交的其它文件及资料</w:t>
      </w:r>
    </w:p>
    <w:p w14:paraId="25FCDE56">
      <w:pPr>
        <w:spacing w:line="400" w:lineRule="exact"/>
        <w:ind w:firstLine="420" w:firstLineChars="200"/>
        <w:jc w:val="left"/>
        <w:rPr>
          <w:rFonts w:hint="eastAsia" w:ascii="宋体" w:hAnsi="宋体" w:eastAsia="宋体" w:cs="宋体"/>
          <w:color w:val="auto"/>
          <w:kern w:val="0"/>
          <w:highlight w:val="none"/>
        </w:rPr>
      </w:pPr>
      <w:r>
        <w:rPr>
          <w:rFonts w:hint="eastAsia" w:ascii="宋体" w:hAnsi="宋体" w:eastAsia="宋体" w:cs="宋体"/>
          <w:color w:val="auto"/>
          <w:kern w:val="0"/>
          <w:highlight w:val="none"/>
        </w:rPr>
        <w:t>据此函，签字人兹宣布同意如下：</w:t>
      </w:r>
    </w:p>
    <w:p w14:paraId="60CE2D5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kern w:val="0"/>
          <w:highlight w:val="none"/>
          <w:lang w:val="en-US"/>
        </w:rPr>
      </w:pPr>
      <w:r>
        <w:rPr>
          <w:rFonts w:hint="eastAsia" w:ascii="宋体" w:hAnsi="宋体" w:eastAsia="宋体" w:cs="宋体"/>
          <w:color w:val="auto"/>
          <w:kern w:val="0"/>
          <w:highlight w:val="none"/>
        </w:rPr>
        <w:t xml:space="preserve">①  </w:t>
      </w:r>
      <w:r>
        <w:rPr>
          <w:rFonts w:hint="eastAsia" w:ascii="宋体" w:hAnsi="宋体" w:eastAsia="宋体" w:cs="宋体"/>
          <w:bCs/>
          <w:color w:val="auto"/>
          <w:highlight w:val="none"/>
          <w:lang w:val="en-US" w:eastAsia="zh-CN"/>
        </w:rPr>
        <w:t>承包服务期</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sz w:val="21"/>
          <w:szCs w:val="21"/>
          <w:highlight w:val="none"/>
          <w:u w:val="single"/>
          <w:lang w:eastAsia="zh-CN"/>
        </w:rPr>
        <w:t xml:space="preserve">合同签订后 </w:t>
      </w:r>
      <w:r>
        <w:rPr>
          <w:rFonts w:hint="eastAsia" w:ascii="宋体" w:hAnsi="宋体" w:eastAsia="宋体" w:cs="宋体"/>
          <w:color w:val="auto"/>
          <w:sz w:val="21"/>
          <w:szCs w:val="21"/>
          <w:highlight w:val="none"/>
          <w:u w:val="single"/>
          <w:lang w:val="en-US" w:eastAsia="zh-CN"/>
        </w:rPr>
        <w:t>30</w:t>
      </w:r>
      <w:r>
        <w:rPr>
          <w:rFonts w:hint="eastAsia" w:ascii="宋体" w:hAnsi="宋体" w:eastAsia="宋体" w:cs="宋体"/>
          <w:color w:val="auto"/>
          <w:sz w:val="21"/>
          <w:szCs w:val="21"/>
          <w:highlight w:val="none"/>
          <w:u w:val="single"/>
          <w:lang w:eastAsia="zh-CN"/>
        </w:rPr>
        <w:t xml:space="preserve"> 日历天内完成交货及安装，交付采购人使用并验收合格</w:t>
      </w:r>
      <w:r>
        <w:rPr>
          <w:rFonts w:hint="eastAsia" w:ascii="宋体" w:hAnsi="宋体" w:eastAsia="宋体" w:cs="宋体"/>
          <w:color w:val="auto"/>
          <w:kern w:val="0"/>
          <w:szCs w:val="21"/>
          <w:highlight w:val="none"/>
          <w:u w:val="single"/>
        </w:rPr>
        <w:t>。</w:t>
      </w:r>
      <w:r>
        <w:rPr>
          <w:rFonts w:hint="eastAsia" w:ascii="宋体" w:hAnsi="宋体" w:eastAsia="宋体" w:cs="宋体"/>
          <w:color w:val="auto"/>
          <w:kern w:val="0"/>
          <w:szCs w:val="21"/>
          <w:highlight w:val="none"/>
        </w:rPr>
        <w:t>质量要求：</w:t>
      </w:r>
      <w:r>
        <w:rPr>
          <w:rFonts w:hint="eastAsia" w:ascii="宋体" w:hAnsi="宋体" w:eastAsia="宋体" w:cs="宋体"/>
          <w:color w:val="auto"/>
          <w:kern w:val="0"/>
          <w:szCs w:val="21"/>
          <w:highlight w:val="none"/>
          <w:u w:val="single"/>
          <w:lang w:eastAsia="zh-CN"/>
        </w:rPr>
        <w:t>合格</w:t>
      </w:r>
      <w:r>
        <w:rPr>
          <w:rFonts w:hint="eastAsia" w:ascii="宋体" w:hAnsi="宋体" w:eastAsia="宋体" w:cs="宋体"/>
          <w:color w:val="auto"/>
          <w:kern w:val="0"/>
          <w:szCs w:val="21"/>
          <w:highlight w:val="none"/>
          <w:lang w:eastAsia="zh-CN"/>
        </w:rPr>
        <w:t>；</w:t>
      </w:r>
    </w:p>
    <w:p w14:paraId="3E3F93DD">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②  根据招标文件的规定，投标人承诺标书规定的责任和义务。</w:t>
      </w:r>
    </w:p>
    <w:p w14:paraId="46B2108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③  投标人已详细审核全部招标文件，包括修改文件、参考资料及有关附件，放弃提出含糊不清或误解的权利。</w:t>
      </w:r>
    </w:p>
    <w:p w14:paraId="05FA272F">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④  本投标自投标截止之日起</w:t>
      </w:r>
      <w:r>
        <w:rPr>
          <w:rFonts w:hint="eastAsia" w:ascii="宋体" w:hAnsi="宋体" w:eastAsia="宋体" w:cs="宋体"/>
          <w:color w:val="auto"/>
          <w:kern w:val="0"/>
          <w:highlight w:val="none"/>
          <w:u w:val="single"/>
        </w:rPr>
        <w:t xml:space="preserve"> 90 </w:t>
      </w:r>
      <w:r>
        <w:rPr>
          <w:rFonts w:hint="eastAsia" w:ascii="宋体" w:hAnsi="宋体" w:eastAsia="宋体" w:cs="宋体"/>
          <w:color w:val="auto"/>
          <w:kern w:val="0"/>
          <w:highlight w:val="none"/>
        </w:rPr>
        <w:t>天内有效。</w:t>
      </w:r>
    </w:p>
    <w:p w14:paraId="5E488A11">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⑤  如果在投标有效期内撤回投标、修改或拒绝接受已经确认的条款，同意</w:t>
      </w:r>
      <w:r>
        <w:rPr>
          <w:rFonts w:hint="eastAsia" w:ascii="宋体" w:hAnsi="宋体" w:eastAsia="宋体" w:cs="宋体"/>
          <w:color w:val="auto"/>
          <w:kern w:val="0"/>
          <w:highlight w:val="none"/>
          <w:lang w:eastAsia="zh-CN"/>
        </w:rPr>
        <w:t>采购人</w:t>
      </w:r>
      <w:r>
        <w:rPr>
          <w:rFonts w:hint="eastAsia" w:ascii="宋体" w:hAnsi="宋体" w:eastAsia="宋体" w:cs="宋体"/>
          <w:color w:val="auto"/>
          <w:highlight w:val="none"/>
        </w:rPr>
        <w:t>不予退还投标保证金</w:t>
      </w:r>
      <w:r>
        <w:rPr>
          <w:rFonts w:hint="eastAsia" w:ascii="宋体" w:hAnsi="宋体" w:eastAsia="宋体" w:cs="宋体"/>
          <w:color w:val="auto"/>
          <w:kern w:val="0"/>
          <w:highlight w:val="none"/>
        </w:rPr>
        <w:t>。</w:t>
      </w:r>
    </w:p>
    <w:p w14:paraId="55A99669">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⑥  同意提供按照</w:t>
      </w:r>
      <w:r>
        <w:rPr>
          <w:rFonts w:hint="eastAsia" w:ascii="宋体" w:hAnsi="宋体" w:eastAsia="宋体" w:cs="宋体"/>
          <w:color w:val="auto"/>
          <w:kern w:val="0"/>
          <w:highlight w:val="none"/>
          <w:lang w:eastAsia="zh-CN"/>
        </w:rPr>
        <w:t>采购人</w:t>
      </w:r>
      <w:r>
        <w:rPr>
          <w:rFonts w:hint="eastAsia" w:ascii="宋体" w:hAnsi="宋体" w:eastAsia="宋体" w:cs="宋体"/>
          <w:color w:val="auto"/>
          <w:kern w:val="0"/>
          <w:highlight w:val="none"/>
        </w:rPr>
        <w:t>可能要求的与其投标有关的任何数据或资料。完全理解</w:t>
      </w:r>
      <w:r>
        <w:rPr>
          <w:rFonts w:hint="eastAsia" w:ascii="宋体" w:hAnsi="宋体" w:eastAsia="宋体" w:cs="宋体"/>
          <w:color w:val="auto"/>
          <w:kern w:val="0"/>
          <w:highlight w:val="none"/>
          <w:lang w:eastAsia="zh-CN"/>
        </w:rPr>
        <w:t>采购人</w:t>
      </w:r>
      <w:r>
        <w:rPr>
          <w:rFonts w:hint="eastAsia" w:ascii="宋体" w:hAnsi="宋体" w:eastAsia="宋体" w:cs="宋体"/>
          <w:color w:val="auto"/>
          <w:kern w:val="0"/>
          <w:highlight w:val="none"/>
        </w:rPr>
        <w:t>不一定授标给最低报价的投标人以及接受或拒绝某一投标。</w:t>
      </w:r>
    </w:p>
    <w:p w14:paraId="0027FED9">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kern w:val="0"/>
          <w:highlight w:val="none"/>
          <w:u w:val="single"/>
        </w:rPr>
      </w:pPr>
      <w:r>
        <w:rPr>
          <w:rFonts w:hint="eastAsia" w:ascii="宋体" w:hAnsi="宋体" w:eastAsia="宋体" w:cs="宋体"/>
          <w:color w:val="auto"/>
          <w:kern w:val="0"/>
          <w:highlight w:val="none"/>
        </w:rPr>
        <w:t>⑦  与投标有关的正式通讯地址为：</w:t>
      </w:r>
      <w:r>
        <w:rPr>
          <w:rFonts w:hint="eastAsia" w:ascii="宋体" w:hAnsi="宋体" w:eastAsia="宋体" w:cs="宋体"/>
          <w:color w:val="auto"/>
          <w:kern w:val="0"/>
          <w:highlight w:val="none"/>
          <w:u w:val="single"/>
        </w:rPr>
        <w:t xml:space="preserve">                                </w:t>
      </w:r>
    </w:p>
    <w:p w14:paraId="663A043E">
      <w:pPr>
        <w:spacing w:line="400" w:lineRule="exact"/>
        <w:ind w:firstLine="840" w:firstLineChars="400"/>
        <w:rPr>
          <w:rFonts w:hint="eastAsia" w:ascii="宋体" w:hAnsi="宋体" w:eastAsia="宋体" w:cs="宋体"/>
          <w:color w:val="auto"/>
          <w:kern w:val="0"/>
          <w:highlight w:val="none"/>
          <w:u w:val="single"/>
        </w:rPr>
      </w:pPr>
      <w:r>
        <w:rPr>
          <w:rFonts w:hint="eastAsia" w:ascii="宋体" w:hAnsi="宋体" w:eastAsia="宋体" w:cs="宋体"/>
          <w:color w:val="auto"/>
          <w:kern w:val="0"/>
          <w:highlight w:val="none"/>
        </w:rPr>
        <w:t>地址：</w:t>
      </w:r>
      <w:r>
        <w:rPr>
          <w:rFonts w:hint="eastAsia" w:ascii="宋体" w:hAnsi="宋体" w:eastAsia="宋体" w:cs="宋体"/>
          <w:color w:val="auto"/>
          <w:kern w:val="0"/>
          <w:highlight w:val="none"/>
          <w:u w:val="single"/>
        </w:rPr>
        <w:t xml:space="preserve">                               </w:t>
      </w:r>
    </w:p>
    <w:p w14:paraId="57B750C4">
      <w:pPr>
        <w:spacing w:line="400" w:lineRule="exact"/>
        <w:ind w:firstLine="840" w:firstLineChars="400"/>
        <w:rPr>
          <w:rFonts w:hint="eastAsia" w:ascii="宋体" w:hAnsi="宋体" w:eastAsia="宋体" w:cs="宋体"/>
          <w:color w:val="auto"/>
          <w:kern w:val="0"/>
          <w:highlight w:val="none"/>
          <w:u w:val="single"/>
        </w:rPr>
      </w:pPr>
      <w:r>
        <w:rPr>
          <w:rFonts w:hint="eastAsia" w:ascii="宋体" w:hAnsi="宋体" w:eastAsia="宋体" w:cs="宋体"/>
          <w:color w:val="auto"/>
          <w:kern w:val="0"/>
          <w:highlight w:val="none"/>
        </w:rPr>
        <w:t>邮编：</w:t>
      </w:r>
      <w:r>
        <w:rPr>
          <w:rFonts w:hint="eastAsia" w:ascii="宋体" w:hAnsi="宋体" w:eastAsia="宋体" w:cs="宋体"/>
          <w:color w:val="auto"/>
          <w:kern w:val="0"/>
          <w:highlight w:val="none"/>
          <w:u w:val="single"/>
        </w:rPr>
        <w:t xml:space="preserve">              </w:t>
      </w:r>
      <w:r>
        <w:rPr>
          <w:rFonts w:hint="eastAsia" w:ascii="宋体" w:hAnsi="宋体" w:eastAsia="宋体" w:cs="宋体"/>
          <w:color w:val="auto"/>
          <w:kern w:val="0"/>
          <w:highlight w:val="none"/>
        </w:rPr>
        <w:t>电话：</w:t>
      </w:r>
      <w:r>
        <w:rPr>
          <w:rFonts w:hint="eastAsia" w:ascii="宋体" w:hAnsi="宋体" w:eastAsia="宋体" w:cs="宋体"/>
          <w:color w:val="auto"/>
          <w:kern w:val="0"/>
          <w:highlight w:val="none"/>
          <w:u w:val="single"/>
        </w:rPr>
        <w:t xml:space="preserve">              </w:t>
      </w:r>
      <w:r>
        <w:rPr>
          <w:rFonts w:hint="eastAsia" w:ascii="宋体" w:hAnsi="宋体" w:eastAsia="宋体" w:cs="宋体"/>
          <w:color w:val="auto"/>
          <w:kern w:val="0"/>
          <w:highlight w:val="none"/>
        </w:rPr>
        <w:t>传真：</w:t>
      </w:r>
      <w:r>
        <w:rPr>
          <w:rFonts w:hint="eastAsia" w:ascii="宋体" w:hAnsi="宋体" w:eastAsia="宋体" w:cs="宋体"/>
          <w:color w:val="auto"/>
          <w:kern w:val="0"/>
          <w:highlight w:val="none"/>
          <w:u w:val="single"/>
        </w:rPr>
        <w:t xml:space="preserve">              </w:t>
      </w:r>
    </w:p>
    <w:p w14:paraId="6487B845">
      <w:pPr>
        <w:spacing w:line="400" w:lineRule="exact"/>
        <w:ind w:firstLine="840" w:firstLineChars="400"/>
        <w:rPr>
          <w:rFonts w:hint="eastAsia" w:ascii="宋体" w:hAnsi="宋体" w:eastAsia="宋体" w:cs="宋体"/>
          <w:color w:val="auto"/>
          <w:kern w:val="0"/>
          <w:highlight w:val="none"/>
          <w:u w:val="single"/>
        </w:rPr>
      </w:pPr>
      <w:r>
        <w:rPr>
          <w:rFonts w:hint="eastAsia" w:ascii="宋体" w:hAnsi="宋体" w:eastAsia="宋体" w:cs="宋体"/>
          <w:color w:val="auto"/>
          <w:kern w:val="0"/>
          <w:highlight w:val="none"/>
        </w:rPr>
        <w:t>开户银行：</w:t>
      </w:r>
      <w:r>
        <w:rPr>
          <w:rFonts w:hint="eastAsia" w:ascii="宋体" w:hAnsi="宋体" w:eastAsia="宋体" w:cs="宋体"/>
          <w:color w:val="auto"/>
          <w:kern w:val="0"/>
          <w:highlight w:val="none"/>
          <w:u w:val="single"/>
        </w:rPr>
        <w:t xml:space="preserve">                               </w:t>
      </w:r>
    </w:p>
    <w:p w14:paraId="71B558B1">
      <w:pPr>
        <w:spacing w:line="320" w:lineRule="exact"/>
        <w:ind w:firstLine="840" w:firstLineChars="400"/>
        <w:rPr>
          <w:rFonts w:hint="eastAsia" w:ascii="宋体" w:hAnsi="宋体" w:eastAsia="宋体" w:cs="宋体"/>
          <w:color w:val="auto"/>
          <w:kern w:val="0"/>
          <w:highlight w:val="none"/>
        </w:rPr>
      </w:pPr>
      <w:r>
        <w:rPr>
          <w:rFonts w:hint="eastAsia" w:ascii="宋体" w:hAnsi="宋体" w:eastAsia="宋体" w:cs="宋体"/>
          <w:color w:val="auto"/>
          <w:kern w:val="0"/>
          <w:highlight w:val="none"/>
        </w:rPr>
        <w:t>帐    号：</w:t>
      </w:r>
      <w:r>
        <w:rPr>
          <w:rFonts w:hint="eastAsia" w:ascii="宋体" w:hAnsi="宋体" w:eastAsia="宋体" w:cs="宋体"/>
          <w:color w:val="auto"/>
          <w:kern w:val="0"/>
          <w:highlight w:val="none"/>
          <w:u w:val="single"/>
        </w:rPr>
        <w:t xml:space="preserve">                               </w:t>
      </w:r>
    </w:p>
    <w:p w14:paraId="3E2D6F6C">
      <w:pPr>
        <w:spacing w:before="312" w:beforeLines="100" w:after="50" w:line="360" w:lineRule="auto"/>
        <w:ind w:firstLine="4059" w:firstLineChars="1933"/>
        <w:rPr>
          <w:rFonts w:hint="eastAsia" w:ascii="宋体" w:hAnsi="宋体" w:eastAsia="宋体" w:cs="宋体"/>
          <w:color w:val="auto"/>
          <w:kern w:val="0"/>
          <w:highlight w:val="none"/>
        </w:rPr>
      </w:pPr>
      <w:r>
        <w:rPr>
          <w:rFonts w:hint="eastAsia" w:ascii="宋体" w:hAnsi="宋体" w:eastAsia="宋体" w:cs="宋体"/>
          <w:color w:val="auto"/>
          <w:kern w:val="0"/>
          <w:highlight w:val="none"/>
        </w:rPr>
        <w:t>投标</w:t>
      </w:r>
      <w:r>
        <w:rPr>
          <w:rFonts w:hint="eastAsia" w:ascii="宋体" w:hAnsi="宋体" w:eastAsia="宋体" w:cs="宋体"/>
          <w:color w:val="auto"/>
          <w:kern w:val="0"/>
          <w:highlight w:val="none"/>
          <w:lang w:val="en-US" w:eastAsia="zh-CN"/>
        </w:rPr>
        <w:t>供应商</w:t>
      </w:r>
      <w:r>
        <w:rPr>
          <w:rFonts w:hint="eastAsia" w:ascii="宋体" w:hAnsi="宋体" w:eastAsia="宋体" w:cs="宋体"/>
          <w:color w:val="auto"/>
          <w:kern w:val="0"/>
          <w:highlight w:val="none"/>
        </w:rPr>
        <w:t>（盖章）：</w:t>
      </w:r>
    </w:p>
    <w:p w14:paraId="620BCE45">
      <w:pPr>
        <w:spacing w:after="50" w:line="360" w:lineRule="auto"/>
        <w:ind w:firstLine="4059" w:firstLineChars="1933"/>
        <w:rPr>
          <w:rFonts w:hint="eastAsia" w:ascii="宋体" w:hAnsi="宋体" w:eastAsia="宋体" w:cs="宋体"/>
          <w:color w:val="auto"/>
          <w:kern w:val="0"/>
          <w:highlight w:val="none"/>
        </w:rPr>
      </w:pPr>
      <w:r>
        <w:rPr>
          <w:rFonts w:hint="eastAsia" w:ascii="宋体" w:hAnsi="宋体" w:eastAsia="宋体" w:cs="宋体"/>
          <w:color w:val="auto"/>
          <w:kern w:val="0"/>
          <w:highlight w:val="none"/>
        </w:rPr>
        <w:t>法定代表人或授权代表（签字或盖章）：</w:t>
      </w:r>
    </w:p>
    <w:p w14:paraId="22F5E1EC">
      <w:pPr>
        <w:spacing w:after="50" w:line="360" w:lineRule="auto"/>
        <w:ind w:firstLine="4059" w:firstLineChars="1933"/>
        <w:rPr>
          <w:rFonts w:hint="eastAsia" w:ascii="宋体" w:hAnsi="宋体" w:eastAsia="宋体" w:cs="宋体"/>
          <w:color w:val="auto"/>
          <w:kern w:val="0"/>
          <w:highlight w:val="none"/>
        </w:rPr>
      </w:pPr>
      <w:r>
        <w:rPr>
          <w:rFonts w:hint="eastAsia" w:ascii="宋体" w:hAnsi="宋体" w:eastAsia="宋体" w:cs="宋体"/>
          <w:color w:val="auto"/>
          <w:kern w:val="0"/>
          <w:highlight w:val="none"/>
        </w:rPr>
        <w:t>日期：</w:t>
      </w:r>
    </w:p>
    <w:p w14:paraId="7A49662A">
      <w:pPr>
        <w:pStyle w:val="3"/>
        <w:jc w:val="center"/>
        <w:outlineLvl w:val="1"/>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bookmarkStart w:id="329" w:name="_Toc14282"/>
      <w:bookmarkStart w:id="330" w:name="_Toc24860"/>
      <w:r>
        <w:rPr>
          <w:rFonts w:hint="eastAsia" w:ascii="宋体" w:hAnsi="宋体" w:eastAsia="宋体" w:cs="宋体"/>
          <w:color w:val="auto"/>
          <w:sz w:val="24"/>
          <w:szCs w:val="24"/>
          <w:highlight w:val="none"/>
        </w:rPr>
        <w:t>附件</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 xml:space="preserve">  </w:t>
      </w:r>
      <w:bookmarkEnd w:id="323"/>
      <w:r>
        <w:rPr>
          <w:rFonts w:hint="eastAsia" w:ascii="宋体" w:hAnsi="宋体" w:eastAsia="宋体" w:cs="宋体"/>
          <w:color w:val="auto"/>
          <w:sz w:val="24"/>
          <w:szCs w:val="24"/>
          <w:highlight w:val="none"/>
          <w:lang w:eastAsia="zh-CN"/>
        </w:rPr>
        <w:t>投标供应商</w:t>
      </w:r>
      <w:r>
        <w:rPr>
          <w:rFonts w:hint="eastAsia" w:ascii="宋体" w:hAnsi="宋体" w:eastAsia="宋体" w:cs="宋体"/>
          <w:color w:val="auto"/>
          <w:sz w:val="24"/>
          <w:szCs w:val="24"/>
          <w:highlight w:val="none"/>
        </w:rPr>
        <w:t>情况说明</w:t>
      </w:r>
      <w:bookmarkEnd w:id="327"/>
      <w:bookmarkEnd w:id="328"/>
      <w:bookmarkEnd w:id="329"/>
      <w:bookmarkEnd w:id="330"/>
    </w:p>
    <w:p w14:paraId="6DF145E1">
      <w:pPr>
        <w:spacing w:line="380" w:lineRule="exact"/>
        <w:ind w:left="418" w:leftChars="199"/>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1、名称及概况：</w:t>
      </w:r>
    </w:p>
    <w:p w14:paraId="30691144">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（1）</w:t>
      </w:r>
      <w:r>
        <w:rPr>
          <w:rFonts w:hint="eastAsia" w:ascii="宋体" w:hAnsi="宋体" w:eastAsia="宋体" w:cs="宋体"/>
          <w:b/>
          <w:color w:val="auto"/>
          <w:sz w:val="22"/>
          <w:szCs w:val="22"/>
          <w:highlight w:val="none"/>
          <w:lang w:eastAsia="zh-CN"/>
        </w:rPr>
        <w:t>投标供应商</w:t>
      </w:r>
      <w:r>
        <w:rPr>
          <w:rFonts w:hint="eastAsia" w:ascii="宋体" w:hAnsi="宋体" w:eastAsia="宋体" w:cs="宋体"/>
          <w:b/>
          <w:color w:val="auto"/>
          <w:sz w:val="22"/>
          <w:szCs w:val="22"/>
          <w:highlight w:val="none"/>
        </w:rPr>
        <w:t>名称：</w:t>
      </w:r>
      <w:r>
        <w:rPr>
          <w:rFonts w:hint="eastAsia" w:ascii="宋体" w:hAnsi="宋体" w:eastAsia="宋体" w:cs="宋体"/>
          <w:b/>
          <w:color w:val="auto"/>
          <w:sz w:val="22"/>
          <w:szCs w:val="22"/>
          <w:highlight w:val="none"/>
          <w:u w:val="single"/>
        </w:rPr>
        <w:t xml:space="preserve">                             </w:t>
      </w:r>
    </w:p>
    <w:p w14:paraId="0AF54582">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（2）总部地址：</w:t>
      </w:r>
      <w:r>
        <w:rPr>
          <w:rFonts w:hint="eastAsia" w:ascii="宋体" w:hAnsi="宋体" w:eastAsia="宋体" w:cs="宋体"/>
          <w:b/>
          <w:color w:val="auto"/>
          <w:sz w:val="22"/>
          <w:szCs w:val="22"/>
          <w:highlight w:val="none"/>
          <w:u w:val="single"/>
        </w:rPr>
        <w:t xml:space="preserve">                               </w:t>
      </w:r>
    </w:p>
    <w:p w14:paraId="3C9417C5">
      <w:pPr>
        <w:spacing w:line="380" w:lineRule="exact"/>
        <w:ind w:firstLine="989" w:firstLineChars="448"/>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传真/电话号码：</w:t>
      </w:r>
      <w:r>
        <w:rPr>
          <w:rFonts w:hint="eastAsia" w:ascii="宋体" w:hAnsi="宋体" w:eastAsia="宋体" w:cs="宋体"/>
          <w:b/>
          <w:color w:val="auto"/>
          <w:sz w:val="22"/>
          <w:szCs w:val="22"/>
          <w:highlight w:val="none"/>
          <w:u w:val="single"/>
        </w:rPr>
        <w:t xml:space="preserve">                          </w:t>
      </w:r>
    </w:p>
    <w:p w14:paraId="175CE6A4">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（3）成立或注册日期：</w:t>
      </w:r>
      <w:r>
        <w:rPr>
          <w:rFonts w:hint="eastAsia" w:ascii="宋体" w:hAnsi="宋体" w:eastAsia="宋体" w:cs="宋体"/>
          <w:b/>
          <w:color w:val="auto"/>
          <w:sz w:val="22"/>
          <w:szCs w:val="22"/>
          <w:highlight w:val="none"/>
          <w:u w:val="single"/>
        </w:rPr>
        <w:t xml:space="preserve">                         </w:t>
      </w:r>
    </w:p>
    <w:p w14:paraId="31353FAB">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（4）实收资本：</w:t>
      </w:r>
      <w:r>
        <w:rPr>
          <w:rFonts w:hint="eastAsia" w:ascii="宋体" w:hAnsi="宋体" w:eastAsia="宋体" w:cs="宋体"/>
          <w:b/>
          <w:color w:val="auto"/>
          <w:sz w:val="22"/>
          <w:szCs w:val="22"/>
          <w:highlight w:val="none"/>
          <w:u w:val="single"/>
        </w:rPr>
        <w:t xml:space="preserve">                               </w:t>
      </w:r>
    </w:p>
    <w:p w14:paraId="00C26FF8">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（5）近期资产负债表（到</w:t>
      </w:r>
      <w:r>
        <w:rPr>
          <w:rFonts w:hint="eastAsia" w:ascii="宋体" w:hAnsi="宋体" w:eastAsia="宋体" w:cs="宋体"/>
          <w:b/>
          <w:color w:val="auto"/>
          <w:sz w:val="22"/>
          <w:szCs w:val="22"/>
          <w:highlight w:val="none"/>
          <w:u w:val="single"/>
        </w:rPr>
        <w:t xml:space="preserve">        </w:t>
      </w:r>
      <w:r>
        <w:rPr>
          <w:rFonts w:hint="eastAsia" w:ascii="宋体" w:hAnsi="宋体" w:eastAsia="宋体" w:cs="宋体"/>
          <w:b/>
          <w:color w:val="auto"/>
          <w:sz w:val="22"/>
          <w:szCs w:val="22"/>
          <w:highlight w:val="none"/>
        </w:rPr>
        <w:t>年</w:t>
      </w:r>
      <w:r>
        <w:rPr>
          <w:rFonts w:hint="eastAsia" w:ascii="宋体" w:hAnsi="宋体" w:eastAsia="宋体" w:cs="宋体"/>
          <w:b/>
          <w:color w:val="auto"/>
          <w:sz w:val="22"/>
          <w:szCs w:val="22"/>
          <w:highlight w:val="none"/>
          <w:u w:val="single"/>
        </w:rPr>
        <w:t xml:space="preserve">    </w:t>
      </w:r>
      <w:r>
        <w:rPr>
          <w:rFonts w:hint="eastAsia" w:ascii="宋体" w:hAnsi="宋体" w:eastAsia="宋体" w:cs="宋体"/>
          <w:b/>
          <w:color w:val="auto"/>
          <w:sz w:val="22"/>
          <w:szCs w:val="22"/>
          <w:highlight w:val="none"/>
        </w:rPr>
        <w:t>月</w:t>
      </w:r>
      <w:r>
        <w:rPr>
          <w:rFonts w:hint="eastAsia" w:ascii="宋体" w:hAnsi="宋体" w:eastAsia="宋体" w:cs="宋体"/>
          <w:b/>
          <w:color w:val="auto"/>
          <w:sz w:val="22"/>
          <w:szCs w:val="22"/>
          <w:highlight w:val="none"/>
          <w:u w:val="single"/>
        </w:rPr>
        <w:t xml:space="preserve">    </w:t>
      </w:r>
      <w:r>
        <w:rPr>
          <w:rFonts w:hint="eastAsia" w:ascii="宋体" w:hAnsi="宋体" w:eastAsia="宋体" w:cs="宋体"/>
          <w:b/>
          <w:color w:val="auto"/>
          <w:sz w:val="22"/>
          <w:szCs w:val="22"/>
          <w:highlight w:val="none"/>
        </w:rPr>
        <w:t>日止）</w:t>
      </w:r>
    </w:p>
    <w:p w14:paraId="7264E01F">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 xml:space="preserve">  1）固定资产：</w:t>
      </w:r>
      <w:r>
        <w:rPr>
          <w:rFonts w:hint="eastAsia" w:ascii="宋体" w:hAnsi="宋体" w:eastAsia="宋体" w:cs="宋体"/>
          <w:b/>
          <w:color w:val="auto"/>
          <w:sz w:val="22"/>
          <w:szCs w:val="22"/>
          <w:highlight w:val="none"/>
          <w:u w:val="single"/>
        </w:rPr>
        <w:t xml:space="preserve">                               </w:t>
      </w:r>
    </w:p>
    <w:p w14:paraId="4AEA2D42">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 xml:space="preserve">  2）流动资产：</w:t>
      </w:r>
      <w:r>
        <w:rPr>
          <w:rFonts w:hint="eastAsia" w:ascii="宋体" w:hAnsi="宋体" w:eastAsia="宋体" w:cs="宋体"/>
          <w:b/>
          <w:color w:val="auto"/>
          <w:sz w:val="22"/>
          <w:szCs w:val="22"/>
          <w:highlight w:val="none"/>
          <w:u w:val="single"/>
        </w:rPr>
        <w:t xml:space="preserve">                               </w:t>
      </w:r>
    </w:p>
    <w:p w14:paraId="1084FB8A">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 xml:space="preserve">  3）长期负债：</w:t>
      </w:r>
      <w:r>
        <w:rPr>
          <w:rFonts w:hint="eastAsia" w:ascii="宋体" w:hAnsi="宋体" w:eastAsia="宋体" w:cs="宋体"/>
          <w:b/>
          <w:color w:val="auto"/>
          <w:sz w:val="22"/>
          <w:szCs w:val="22"/>
          <w:highlight w:val="none"/>
          <w:u w:val="single"/>
        </w:rPr>
        <w:t xml:space="preserve">                               </w:t>
      </w:r>
    </w:p>
    <w:p w14:paraId="1590F33C">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 xml:space="preserve">  4）流动负债：</w:t>
      </w:r>
      <w:r>
        <w:rPr>
          <w:rFonts w:hint="eastAsia" w:ascii="宋体" w:hAnsi="宋体" w:eastAsia="宋体" w:cs="宋体"/>
          <w:b/>
          <w:color w:val="auto"/>
          <w:sz w:val="22"/>
          <w:szCs w:val="22"/>
          <w:highlight w:val="none"/>
          <w:u w:val="single"/>
        </w:rPr>
        <w:t xml:space="preserve">                               </w:t>
      </w:r>
    </w:p>
    <w:p w14:paraId="1F7E3248">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 xml:space="preserve">  5）净值：</w:t>
      </w:r>
      <w:r>
        <w:rPr>
          <w:rFonts w:hint="eastAsia" w:ascii="宋体" w:hAnsi="宋体" w:eastAsia="宋体" w:cs="宋体"/>
          <w:b/>
          <w:color w:val="auto"/>
          <w:sz w:val="22"/>
          <w:szCs w:val="22"/>
          <w:highlight w:val="none"/>
          <w:u w:val="single"/>
        </w:rPr>
        <w:t xml:space="preserve">                                   </w:t>
      </w:r>
    </w:p>
    <w:p w14:paraId="7453CD69">
      <w:pPr>
        <w:tabs>
          <w:tab w:val="left" w:pos="5486"/>
        </w:tabs>
        <w:spacing w:line="380" w:lineRule="exact"/>
        <w:ind w:firstLine="422" w:firstLineChars="191"/>
        <w:rPr>
          <w:rFonts w:hint="eastAsia" w:ascii="宋体" w:hAnsi="宋体" w:eastAsia="宋体" w:cs="宋体"/>
          <w:b/>
          <w:color w:val="auto"/>
          <w:sz w:val="22"/>
          <w:szCs w:val="22"/>
          <w:highlight w:val="none"/>
          <w:u w:val="single"/>
        </w:rPr>
      </w:pPr>
      <w:r>
        <w:rPr>
          <w:rFonts w:hint="eastAsia" w:ascii="宋体" w:hAnsi="宋体" w:eastAsia="宋体" w:cs="宋体"/>
          <w:b/>
          <w:color w:val="auto"/>
          <w:sz w:val="22"/>
          <w:szCs w:val="22"/>
          <w:highlight w:val="none"/>
        </w:rPr>
        <w:t>（6）主要负责人姓名：</w:t>
      </w:r>
      <w:r>
        <w:rPr>
          <w:rFonts w:hint="eastAsia" w:ascii="宋体" w:hAnsi="宋体" w:eastAsia="宋体" w:cs="宋体"/>
          <w:b/>
          <w:color w:val="auto"/>
          <w:sz w:val="22"/>
          <w:szCs w:val="22"/>
          <w:highlight w:val="none"/>
          <w:u w:val="single"/>
        </w:rPr>
        <w:t xml:space="preserve">                         </w:t>
      </w:r>
    </w:p>
    <w:p w14:paraId="6F5D4A4F">
      <w:pPr>
        <w:spacing w:line="380" w:lineRule="exact"/>
        <w:rPr>
          <w:rFonts w:hint="eastAsia" w:ascii="宋体" w:hAnsi="宋体" w:eastAsia="宋体" w:cs="宋体"/>
          <w:b/>
          <w:color w:val="auto"/>
          <w:sz w:val="22"/>
          <w:szCs w:val="22"/>
          <w:highlight w:val="none"/>
        </w:rPr>
      </w:pPr>
    </w:p>
    <w:p w14:paraId="4A150274">
      <w:pPr>
        <w:spacing w:line="380" w:lineRule="exact"/>
        <w:ind w:left="418" w:leftChars="199"/>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2、企业生产设备及规模简介：</w:t>
      </w:r>
    </w:p>
    <w:p w14:paraId="2F86A00C">
      <w:pPr>
        <w:spacing w:line="380" w:lineRule="exact"/>
        <w:ind w:left="663" w:hanging="663" w:hangingChars="300"/>
        <w:rPr>
          <w:rFonts w:hint="eastAsia" w:ascii="宋体" w:hAnsi="宋体" w:eastAsia="宋体" w:cs="宋体"/>
          <w:b/>
          <w:color w:val="auto"/>
          <w:sz w:val="22"/>
          <w:szCs w:val="22"/>
          <w:highlight w:val="none"/>
        </w:rPr>
      </w:pPr>
    </w:p>
    <w:p w14:paraId="00166149">
      <w:pPr>
        <w:spacing w:line="380" w:lineRule="exact"/>
        <w:ind w:left="658" w:leftChars="201" w:hanging="236" w:hangingChars="107"/>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3、企业人员情况：</w:t>
      </w:r>
    </w:p>
    <w:p w14:paraId="35EB3C1B">
      <w:pPr>
        <w:spacing w:line="380" w:lineRule="exact"/>
        <w:ind w:left="655" w:leftChars="312"/>
        <w:rPr>
          <w:rFonts w:hint="eastAsia" w:ascii="宋体" w:hAnsi="宋体" w:eastAsia="宋体" w:cs="宋体"/>
          <w:b/>
          <w:color w:val="auto"/>
          <w:sz w:val="22"/>
          <w:szCs w:val="22"/>
          <w:highlight w:val="none"/>
          <w:u w:val="single"/>
        </w:rPr>
      </w:pPr>
      <w:r>
        <w:rPr>
          <w:rFonts w:hint="eastAsia" w:ascii="宋体" w:hAnsi="宋体" w:eastAsia="宋体" w:cs="宋体"/>
          <w:b/>
          <w:color w:val="auto"/>
          <w:sz w:val="22"/>
          <w:szCs w:val="22"/>
          <w:highlight w:val="none"/>
        </w:rPr>
        <w:t>职工（在职）人数</w:t>
      </w:r>
      <w:r>
        <w:rPr>
          <w:rFonts w:hint="eastAsia" w:ascii="宋体" w:hAnsi="宋体" w:eastAsia="宋体" w:cs="宋体"/>
          <w:b/>
          <w:color w:val="auto"/>
          <w:sz w:val="22"/>
          <w:szCs w:val="22"/>
          <w:highlight w:val="none"/>
          <w:u w:val="single"/>
        </w:rPr>
        <w:t xml:space="preserve">       </w:t>
      </w:r>
      <w:r>
        <w:rPr>
          <w:rFonts w:hint="eastAsia" w:ascii="宋体" w:hAnsi="宋体" w:eastAsia="宋体" w:cs="宋体"/>
          <w:b/>
          <w:color w:val="auto"/>
          <w:sz w:val="22"/>
          <w:szCs w:val="22"/>
          <w:highlight w:val="none"/>
        </w:rPr>
        <w:t>人，其中技术人员</w:t>
      </w:r>
      <w:r>
        <w:rPr>
          <w:rFonts w:hint="eastAsia" w:ascii="宋体" w:hAnsi="宋体" w:eastAsia="宋体" w:cs="宋体"/>
          <w:b/>
          <w:color w:val="auto"/>
          <w:sz w:val="22"/>
          <w:szCs w:val="22"/>
          <w:highlight w:val="none"/>
          <w:u w:val="single"/>
        </w:rPr>
        <w:t xml:space="preserve">       </w:t>
      </w:r>
      <w:r>
        <w:rPr>
          <w:rFonts w:hint="eastAsia" w:ascii="宋体" w:hAnsi="宋体" w:eastAsia="宋体" w:cs="宋体"/>
          <w:b/>
          <w:color w:val="auto"/>
          <w:sz w:val="22"/>
          <w:szCs w:val="22"/>
          <w:highlight w:val="none"/>
        </w:rPr>
        <w:t>人</w:t>
      </w:r>
    </w:p>
    <w:p w14:paraId="02836336">
      <w:pPr>
        <w:spacing w:line="380" w:lineRule="exact"/>
        <w:ind w:left="658" w:leftChars="201" w:hanging="236" w:hangingChars="107"/>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4、近三年的年营业总额</w:t>
      </w:r>
      <w:r>
        <w:rPr>
          <w:rFonts w:hint="eastAsia" w:ascii="宋体" w:hAnsi="宋体" w:eastAsia="宋体" w:cs="宋体"/>
          <w:b/>
          <w:color w:val="auto"/>
          <w:sz w:val="22"/>
          <w:szCs w:val="22"/>
          <w:highlight w:val="none"/>
          <w:u w:val="single"/>
        </w:rPr>
        <w:t xml:space="preserve">                             </w:t>
      </w:r>
    </w:p>
    <w:p w14:paraId="6EAA4968">
      <w:pPr>
        <w:spacing w:line="380" w:lineRule="exact"/>
        <w:rPr>
          <w:rFonts w:hint="eastAsia" w:ascii="宋体" w:hAnsi="宋体" w:eastAsia="宋体" w:cs="宋体"/>
          <w:color w:val="auto"/>
          <w:sz w:val="22"/>
          <w:szCs w:val="22"/>
          <w:highlight w:val="none"/>
        </w:rPr>
      </w:pPr>
    </w:p>
    <w:p w14:paraId="1D88036A">
      <w:pPr>
        <w:spacing w:line="380" w:lineRule="exact"/>
        <w:ind w:firstLine="418" w:firstLineChars="19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兹证明上述声明是真实、正确的、并提供了全部能提供的资料和数据，我们同意遵照</w:t>
      </w: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要求出示有关证明文件。</w:t>
      </w:r>
    </w:p>
    <w:p w14:paraId="2A323CB7">
      <w:pPr>
        <w:spacing w:after="120" w:afterLines="50" w:line="400" w:lineRule="exact"/>
        <w:ind w:firstLine="4412" w:firstLineChars="2101"/>
        <w:rPr>
          <w:rFonts w:hint="eastAsia" w:ascii="宋体" w:hAnsi="宋体" w:eastAsia="宋体" w:cs="宋体"/>
          <w:color w:val="auto"/>
          <w:szCs w:val="21"/>
          <w:highlight w:val="none"/>
          <w:lang w:eastAsia="zh-CN"/>
        </w:rPr>
      </w:pPr>
    </w:p>
    <w:p w14:paraId="6B6656F0">
      <w:pPr>
        <w:spacing w:after="120" w:afterLines="50" w:line="400" w:lineRule="exact"/>
        <w:ind w:firstLine="4412" w:firstLineChars="2101"/>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投标供应商</w:t>
      </w:r>
      <w:r>
        <w:rPr>
          <w:rFonts w:hint="eastAsia" w:ascii="宋体" w:hAnsi="宋体" w:eastAsia="宋体" w:cs="宋体"/>
          <w:color w:val="auto"/>
          <w:szCs w:val="21"/>
          <w:highlight w:val="none"/>
        </w:rPr>
        <w:t>（盖章）：</w:t>
      </w:r>
    </w:p>
    <w:p w14:paraId="7B54575D">
      <w:pPr>
        <w:spacing w:after="120" w:afterLines="50" w:line="400" w:lineRule="exact"/>
        <w:ind w:firstLine="3889" w:firstLineChars="1852"/>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法定代表人或授权代表（签字或盖章）：</w:t>
      </w:r>
    </w:p>
    <w:p w14:paraId="1DA6FAC9">
      <w:pPr>
        <w:spacing w:after="120" w:afterLines="50" w:line="400" w:lineRule="exact"/>
        <w:ind w:firstLine="3992" w:firstLineChars="1901"/>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color w:val="auto"/>
          <w:szCs w:val="21"/>
          <w:highlight w:val="none"/>
        </w:rPr>
        <w:t xml:space="preserve">    日期：</w:t>
      </w:r>
      <w:bookmarkStart w:id="331" w:name="_Toc10406"/>
      <w:bookmarkStart w:id="332" w:name="_Toc17268"/>
      <w:bookmarkStart w:id="333" w:name="_Toc420077690"/>
    </w:p>
    <w:p w14:paraId="36BF91AC">
      <w:pPr>
        <w:jc w:val="center"/>
        <w:outlineLvl w:val="1"/>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br w:type="page"/>
      </w:r>
      <w:bookmarkEnd w:id="331"/>
      <w:bookmarkEnd w:id="332"/>
      <w:bookmarkEnd w:id="333"/>
      <w:bookmarkStart w:id="334" w:name="_Toc1087"/>
      <w:r>
        <w:rPr>
          <w:rFonts w:hint="eastAsia" w:ascii="宋体" w:hAnsi="宋体" w:eastAsia="宋体" w:cs="宋体"/>
          <w:b/>
          <w:bCs/>
          <w:color w:val="auto"/>
          <w:kern w:val="2"/>
          <w:sz w:val="24"/>
          <w:szCs w:val="24"/>
          <w:highlight w:val="none"/>
          <w:lang w:val="en-US" w:eastAsia="zh-CN" w:bidi="ar-SA"/>
        </w:rPr>
        <w:t>附件6  投标供应商202</w:t>
      </w:r>
      <w:r>
        <w:rPr>
          <w:rFonts w:hint="eastAsia" w:ascii="宋体" w:hAnsi="宋体" w:cs="宋体"/>
          <w:b/>
          <w:bCs/>
          <w:color w:val="auto"/>
          <w:kern w:val="2"/>
          <w:sz w:val="24"/>
          <w:szCs w:val="24"/>
          <w:highlight w:val="none"/>
          <w:lang w:val="en-US" w:eastAsia="zh-CN" w:bidi="ar-SA"/>
        </w:rPr>
        <w:t>2</w:t>
      </w:r>
      <w:r>
        <w:rPr>
          <w:rFonts w:hint="eastAsia" w:ascii="宋体" w:hAnsi="宋体" w:eastAsia="宋体" w:cs="宋体"/>
          <w:b/>
          <w:bCs/>
          <w:color w:val="auto"/>
          <w:kern w:val="2"/>
          <w:sz w:val="24"/>
          <w:szCs w:val="24"/>
          <w:highlight w:val="none"/>
          <w:lang w:val="en-US" w:eastAsia="zh-CN" w:bidi="ar-SA"/>
        </w:rPr>
        <w:t>年1月1日以来同类项目供货业绩一览表</w:t>
      </w:r>
      <w:bookmarkEnd w:id="334"/>
    </w:p>
    <w:tbl>
      <w:tblPr>
        <w:tblStyle w:val="49"/>
        <w:tblpPr w:leftFromText="180" w:rightFromText="180" w:vertAnchor="text" w:horzAnchor="page" w:tblpX="1459" w:tblpY="94"/>
        <w:tblOverlap w:val="never"/>
        <w:tblW w:w="932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1706"/>
        <w:gridCol w:w="2434"/>
        <w:gridCol w:w="1800"/>
        <w:gridCol w:w="1294"/>
      </w:tblGrid>
      <w:tr w14:paraId="466828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2088" w:type="dxa"/>
            <w:vAlign w:val="center"/>
          </w:tcPr>
          <w:p w14:paraId="316BE6AB">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项目名称</w:t>
            </w:r>
          </w:p>
        </w:tc>
        <w:tc>
          <w:tcPr>
            <w:tcW w:w="1706" w:type="dxa"/>
            <w:vAlign w:val="center"/>
          </w:tcPr>
          <w:p w14:paraId="191BEF87">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简要描述</w:t>
            </w:r>
          </w:p>
        </w:tc>
        <w:tc>
          <w:tcPr>
            <w:tcW w:w="2434" w:type="dxa"/>
            <w:vAlign w:val="center"/>
          </w:tcPr>
          <w:p w14:paraId="43331AF9">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地址、联系电话</w:t>
            </w:r>
          </w:p>
        </w:tc>
        <w:tc>
          <w:tcPr>
            <w:tcW w:w="1800" w:type="dxa"/>
            <w:vAlign w:val="center"/>
          </w:tcPr>
          <w:p w14:paraId="3605A3F5">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合同金额</w:t>
            </w:r>
          </w:p>
        </w:tc>
        <w:tc>
          <w:tcPr>
            <w:tcW w:w="1294" w:type="dxa"/>
            <w:vAlign w:val="center"/>
          </w:tcPr>
          <w:p w14:paraId="67DF0FEF">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合同时间</w:t>
            </w:r>
          </w:p>
        </w:tc>
      </w:tr>
      <w:tr w14:paraId="7E4CF7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14:paraId="21C7ECBF">
            <w:pPr>
              <w:jc w:val="left"/>
              <w:rPr>
                <w:rFonts w:hint="eastAsia" w:ascii="宋体" w:hAnsi="宋体" w:eastAsia="宋体" w:cs="宋体"/>
                <w:color w:val="auto"/>
                <w:highlight w:val="none"/>
              </w:rPr>
            </w:pPr>
          </w:p>
        </w:tc>
        <w:tc>
          <w:tcPr>
            <w:tcW w:w="1706" w:type="dxa"/>
            <w:vAlign w:val="top"/>
          </w:tcPr>
          <w:p w14:paraId="04859E9B">
            <w:pPr>
              <w:jc w:val="left"/>
              <w:rPr>
                <w:rFonts w:hint="eastAsia" w:ascii="宋体" w:hAnsi="宋体" w:eastAsia="宋体" w:cs="宋体"/>
                <w:color w:val="auto"/>
                <w:highlight w:val="none"/>
              </w:rPr>
            </w:pPr>
          </w:p>
        </w:tc>
        <w:tc>
          <w:tcPr>
            <w:tcW w:w="2434" w:type="dxa"/>
            <w:vAlign w:val="top"/>
          </w:tcPr>
          <w:p w14:paraId="3BEB4191">
            <w:pPr>
              <w:jc w:val="left"/>
              <w:rPr>
                <w:rFonts w:hint="eastAsia" w:ascii="宋体" w:hAnsi="宋体" w:eastAsia="宋体" w:cs="宋体"/>
                <w:color w:val="auto"/>
                <w:highlight w:val="none"/>
              </w:rPr>
            </w:pPr>
          </w:p>
        </w:tc>
        <w:tc>
          <w:tcPr>
            <w:tcW w:w="1800" w:type="dxa"/>
            <w:vAlign w:val="top"/>
          </w:tcPr>
          <w:p w14:paraId="7B2FC39B">
            <w:pPr>
              <w:jc w:val="left"/>
              <w:rPr>
                <w:rFonts w:hint="eastAsia" w:ascii="宋体" w:hAnsi="宋体" w:eastAsia="宋体" w:cs="宋体"/>
                <w:color w:val="auto"/>
                <w:highlight w:val="none"/>
              </w:rPr>
            </w:pPr>
          </w:p>
        </w:tc>
        <w:tc>
          <w:tcPr>
            <w:tcW w:w="1294" w:type="dxa"/>
            <w:vAlign w:val="top"/>
          </w:tcPr>
          <w:p w14:paraId="69668973">
            <w:pPr>
              <w:jc w:val="left"/>
              <w:rPr>
                <w:rFonts w:hint="eastAsia" w:ascii="宋体" w:hAnsi="宋体" w:eastAsia="宋体" w:cs="宋体"/>
                <w:color w:val="auto"/>
                <w:highlight w:val="none"/>
              </w:rPr>
            </w:pPr>
          </w:p>
        </w:tc>
      </w:tr>
      <w:tr w14:paraId="69E00C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14:paraId="22697225">
            <w:pPr>
              <w:jc w:val="left"/>
              <w:rPr>
                <w:rFonts w:hint="eastAsia" w:ascii="宋体" w:hAnsi="宋体" w:eastAsia="宋体" w:cs="宋体"/>
                <w:color w:val="auto"/>
                <w:highlight w:val="none"/>
              </w:rPr>
            </w:pPr>
          </w:p>
        </w:tc>
        <w:tc>
          <w:tcPr>
            <w:tcW w:w="1706" w:type="dxa"/>
            <w:vAlign w:val="top"/>
          </w:tcPr>
          <w:p w14:paraId="4AEBEC36">
            <w:pPr>
              <w:jc w:val="left"/>
              <w:rPr>
                <w:rFonts w:hint="eastAsia" w:ascii="宋体" w:hAnsi="宋体" w:eastAsia="宋体" w:cs="宋体"/>
                <w:color w:val="auto"/>
                <w:highlight w:val="none"/>
              </w:rPr>
            </w:pPr>
          </w:p>
        </w:tc>
        <w:tc>
          <w:tcPr>
            <w:tcW w:w="2434" w:type="dxa"/>
            <w:vAlign w:val="top"/>
          </w:tcPr>
          <w:p w14:paraId="282BE7C2">
            <w:pPr>
              <w:jc w:val="left"/>
              <w:rPr>
                <w:rFonts w:hint="eastAsia" w:ascii="宋体" w:hAnsi="宋体" w:eastAsia="宋体" w:cs="宋体"/>
                <w:color w:val="auto"/>
                <w:highlight w:val="none"/>
              </w:rPr>
            </w:pPr>
          </w:p>
        </w:tc>
        <w:tc>
          <w:tcPr>
            <w:tcW w:w="1800" w:type="dxa"/>
            <w:vAlign w:val="top"/>
          </w:tcPr>
          <w:p w14:paraId="4FB57932">
            <w:pPr>
              <w:jc w:val="left"/>
              <w:rPr>
                <w:rFonts w:hint="eastAsia" w:ascii="宋体" w:hAnsi="宋体" w:eastAsia="宋体" w:cs="宋体"/>
                <w:color w:val="auto"/>
                <w:highlight w:val="none"/>
              </w:rPr>
            </w:pPr>
          </w:p>
        </w:tc>
        <w:tc>
          <w:tcPr>
            <w:tcW w:w="1294" w:type="dxa"/>
            <w:vAlign w:val="top"/>
          </w:tcPr>
          <w:p w14:paraId="162E23C0">
            <w:pPr>
              <w:jc w:val="left"/>
              <w:rPr>
                <w:rFonts w:hint="eastAsia" w:ascii="宋体" w:hAnsi="宋体" w:eastAsia="宋体" w:cs="宋体"/>
                <w:color w:val="auto"/>
                <w:highlight w:val="none"/>
              </w:rPr>
            </w:pPr>
          </w:p>
        </w:tc>
      </w:tr>
      <w:tr w14:paraId="19C072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14:paraId="0EA0FE8A">
            <w:pPr>
              <w:jc w:val="left"/>
              <w:rPr>
                <w:rFonts w:hint="eastAsia" w:ascii="宋体" w:hAnsi="宋体" w:eastAsia="宋体" w:cs="宋体"/>
                <w:color w:val="auto"/>
                <w:highlight w:val="none"/>
              </w:rPr>
            </w:pPr>
          </w:p>
        </w:tc>
        <w:tc>
          <w:tcPr>
            <w:tcW w:w="1706" w:type="dxa"/>
            <w:vAlign w:val="top"/>
          </w:tcPr>
          <w:p w14:paraId="64075CD6">
            <w:pPr>
              <w:jc w:val="left"/>
              <w:rPr>
                <w:rFonts w:hint="eastAsia" w:ascii="宋体" w:hAnsi="宋体" w:eastAsia="宋体" w:cs="宋体"/>
                <w:color w:val="auto"/>
                <w:highlight w:val="none"/>
              </w:rPr>
            </w:pPr>
          </w:p>
        </w:tc>
        <w:tc>
          <w:tcPr>
            <w:tcW w:w="2434" w:type="dxa"/>
            <w:vAlign w:val="top"/>
          </w:tcPr>
          <w:p w14:paraId="0D2B83EB">
            <w:pPr>
              <w:jc w:val="left"/>
              <w:rPr>
                <w:rFonts w:hint="eastAsia" w:ascii="宋体" w:hAnsi="宋体" w:eastAsia="宋体" w:cs="宋体"/>
                <w:color w:val="auto"/>
                <w:highlight w:val="none"/>
              </w:rPr>
            </w:pPr>
          </w:p>
        </w:tc>
        <w:tc>
          <w:tcPr>
            <w:tcW w:w="1800" w:type="dxa"/>
            <w:vAlign w:val="top"/>
          </w:tcPr>
          <w:p w14:paraId="63CBFDBD">
            <w:pPr>
              <w:jc w:val="left"/>
              <w:rPr>
                <w:rFonts w:hint="eastAsia" w:ascii="宋体" w:hAnsi="宋体" w:eastAsia="宋体" w:cs="宋体"/>
                <w:color w:val="auto"/>
                <w:highlight w:val="none"/>
              </w:rPr>
            </w:pPr>
          </w:p>
        </w:tc>
        <w:tc>
          <w:tcPr>
            <w:tcW w:w="1294" w:type="dxa"/>
            <w:vAlign w:val="top"/>
          </w:tcPr>
          <w:p w14:paraId="367442E5">
            <w:pPr>
              <w:jc w:val="left"/>
              <w:rPr>
                <w:rFonts w:hint="eastAsia" w:ascii="宋体" w:hAnsi="宋体" w:eastAsia="宋体" w:cs="宋体"/>
                <w:color w:val="auto"/>
                <w:highlight w:val="none"/>
              </w:rPr>
            </w:pPr>
          </w:p>
        </w:tc>
      </w:tr>
      <w:tr w14:paraId="40A83C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14:paraId="3923ACCC">
            <w:pPr>
              <w:jc w:val="left"/>
              <w:rPr>
                <w:rFonts w:hint="eastAsia" w:ascii="宋体" w:hAnsi="宋体" w:eastAsia="宋体" w:cs="宋体"/>
                <w:color w:val="auto"/>
                <w:highlight w:val="none"/>
              </w:rPr>
            </w:pPr>
          </w:p>
        </w:tc>
        <w:tc>
          <w:tcPr>
            <w:tcW w:w="1706" w:type="dxa"/>
            <w:vAlign w:val="top"/>
          </w:tcPr>
          <w:p w14:paraId="27C63D0C">
            <w:pPr>
              <w:jc w:val="left"/>
              <w:rPr>
                <w:rFonts w:hint="eastAsia" w:ascii="宋体" w:hAnsi="宋体" w:eastAsia="宋体" w:cs="宋体"/>
                <w:color w:val="auto"/>
                <w:highlight w:val="none"/>
              </w:rPr>
            </w:pPr>
          </w:p>
        </w:tc>
        <w:tc>
          <w:tcPr>
            <w:tcW w:w="2434" w:type="dxa"/>
            <w:vAlign w:val="top"/>
          </w:tcPr>
          <w:p w14:paraId="1F90594D">
            <w:pPr>
              <w:jc w:val="left"/>
              <w:rPr>
                <w:rFonts w:hint="eastAsia" w:ascii="宋体" w:hAnsi="宋体" w:eastAsia="宋体" w:cs="宋体"/>
                <w:color w:val="auto"/>
                <w:highlight w:val="none"/>
              </w:rPr>
            </w:pPr>
          </w:p>
        </w:tc>
        <w:tc>
          <w:tcPr>
            <w:tcW w:w="1800" w:type="dxa"/>
            <w:vAlign w:val="top"/>
          </w:tcPr>
          <w:p w14:paraId="33612DD2">
            <w:pPr>
              <w:jc w:val="left"/>
              <w:rPr>
                <w:rFonts w:hint="eastAsia" w:ascii="宋体" w:hAnsi="宋体" w:eastAsia="宋体" w:cs="宋体"/>
                <w:color w:val="auto"/>
                <w:highlight w:val="none"/>
              </w:rPr>
            </w:pPr>
          </w:p>
        </w:tc>
        <w:tc>
          <w:tcPr>
            <w:tcW w:w="1294" w:type="dxa"/>
            <w:vAlign w:val="top"/>
          </w:tcPr>
          <w:p w14:paraId="38D19BBC">
            <w:pPr>
              <w:jc w:val="left"/>
              <w:rPr>
                <w:rFonts w:hint="eastAsia" w:ascii="宋体" w:hAnsi="宋体" w:eastAsia="宋体" w:cs="宋体"/>
                <w:color w:val="auto"/>
                <w:highlight w:val="none"/>
              </w:rPr>
            </w:pPr>
          </w:p>
        </w:tc>
      </w:tr>
      <w:tr w14:paraId="04951D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14:paraId="66C8106C">
            <w:pPr>
              <w:jc w:val="left"/>
              <w:rPr>
                <w:rFonts w:hint="eastAsia" w:ascii="宋体" w:hAnsi="宋体" w:eastAsia="宋体" w:cs="宋体"/>
                <w:color w:val="auto"/>
                <w:highlight w:val="none"/>
              </w:rPr>
            </w:pPr>
          </w:p>
        </w:tc>
        <w:tc>
          <w:tcPr>
            <w:tcW w:w="1706" w:type="dxa"/>
            <w:vAlign w:val="top"/>
          </w:tcPr>
          <w:p w14:paraId="63EC60B4">
            <w:pPr>
              <w:jc w:val="left"/>
              <w:rPr>
                <w:rFonts w:hint="eastAsia" w:ascii="宋体" w:hAnsi="宋体" w:eastAsia="宋体" w:cs="宋体"/>
                <w:color w:val="auto"/>
                <w:highlight w:val="none"/>
              </w:rPr>
            </w:pPr>
          </w:p>
        </w:tc>
        <w:tc>
          <w:tcPr>
            <w:tcW w:w="2434" w:type="dxa"/>
            <w:vAlign w:val="top"/>
          </w:tcPr>
          <w:p w14:paraId="06DA91EC">
            <w:pPr>
              <w:jc w:val="left"/>
              <w:rPr>
                <w:rFonts w:hint="eastAsia" w:ascii="宋体" w:hAnsi="宋体" w:eastAsia="宋体" w:cs="宋体"/>
                <w:color w:val="auto"/>
                <w:highlight w:val="none"/>
              </w:rPr>
            </w:pPr>
          </w:p>
        </w:tc>
        <w:tc>
          <w:tcPr>
            <w:tcW w:w="1800" w:type="dxa"/>
            <w:vAlign w:val="top"/>
          </w:tcPr>
          <w:p w14:paraId="08827901">
            <w:pPr>
              <w:jc w:val="left"/>
              <w:rPr>
                <w:rFonts w:hint="eastAsia" w:ascii="宋体" w:hAnsi="宋体" w:eastAsia="宋体" w:cs="宋体"/>
                <w:color w:val="auto"/>
                <w:highlight w:val="none"/>
              </w:rPr>
            </w:pPr>
          </w:p>
        </w:tc>
        <w:tc>
          <w:tcPr>
            <w:tcW w:w="1294" w:type="dxa"/>
            <w:vAlign w:val="top"/>
          </w:tcPr>
          <w:p w14:paraId="49B4C04B">
            <w:pPr>
              <w:jc w:val="left"/>
              <w:rPr>
                <w:rFonts w:hint="eastAsia" w:ascii="宋体" w:hAnsi="宋体" w:eastAsia="宋体" w:cs="宋体"/>
                <w:color w:val="auto"/>
                <w:highlight w:val="none"/>
              </w:rPr>
            </w:pPr>
          </w:p>
        </w:tc>
      </w:tr>
      <w:tr w14:paraId="07DA8B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14:paraId="36FD20DC">
            <w:pPr>
              <w:jc w:val="left"/>
              <w:rPr>
                <w:rFonts w:hint="eastAsia" w:ascii="宋体" w:hAnsi="宋体" w:eastAsia="宋体" w:cs="宋体"/>
                <w:color w:val="auto"/>
                <w:highlight w:val="none"/>
              </w:rPr>
            </w:pPr>
          </w:p>
        </w:tc>
        <w:tc>
          <w:tcPr>
            <w:tcW w:w="1706" w:type="dxa"/>
            <w:vAlign w:val="top"/>
          </w:tcPr>
          <w:p w14:paraId="0F75E4C6">
            <w:pPr>
              <w:jc w:val="left"/>
              <w:rPr>
                <w:rFonts w:hint="eastAsia" w:ascii="宋体" w:hAnsi="宋体" w:eastAsia="宋体" w:cs="宋体"/>
                <w:color w:val="auto"/>
                <w:highlight w:val="none"/>
              </w:rPr>
            </w:pPr>
          </w:p>
        </w:tc>
        <w:tc>
          <w:tcPr>
            <w:tcW w:w="2434" w:type="dxa"/>
            <w:vAlign w:val="top"/>
          </w:tcPr>
          <w:p w14:paraId="1DCB4647">
            <w:pPr>
              <w:jc w:val="left"/>
              <w:rPr>
                <w:rFonts w:hint="eastAsia" w:ascii="宋体" w:hAnsi="宋体" w:eastAsia="宋体" w:cs="宋体"/>
                <w:color w:val="auto"/>
                <w:highlight w:val="none"/>
              </w:rPr>
            </w:pPr>
          </w:p>
        </w:tc>
        <w:tc>
          <w:tcPr>
            <w:tcW w:w="1800" w:type="dxa"/>
            <w:vAlign w:val="top"/>
          </w:tcPr>
          <w:p w14:paraId="2A662201">
            <w:pPr>
              <w:jc w:val="left"/>
              <w:rPr>
                <w:rFonts w:hint="eastAsia" w:ascii="宋体" w:hAnsi="宋体" w:eastAsia="宋体" w:cs="宋体"/>
                <w:color w:val="auto"/>
                <w:highlight w:val="none"/>
              </w:rPr>
            </w:pPr>
          </w:p>
        </w:tc>
        <w:tc>
          <w:tcPr>
            <w:tcW w:w="1294" w:type="dxa"/>
            <w:vAlign w:val="top"/>
          </w:tcPr>
          <w:p w14:paraId="5041DB31">
            <w:pPr>
              <w:jc w:val="left"/>
              <w:rPr>
                <w:rFonts w:hint="eastAsia" w:ascii="宋体" w:hAnsi="宋体" w:eastAsia="宋体" w:cs="宋体"/>
                <w:color w:val="auto"/>
                <w:highlight w:val="none"/>
              </w:rPr>
            </w:pPr>
          </w:p>
        </w:tc>
      </w:tr>
      <w:tr w14:paraId="7F33DC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14:paraId="5A961D62">
            <w:pPr>
              <w:jc w:val="left"/>
              <w:rPr>
                <w:rFonts w:hint="eastAsia" w:ascii="宋体" w:hAnsi="宋体" w:eastAsia="宋体" w:cs="宋体"/>
                <w:color w:val="auto"/>
                <w:highlight w:val="none"/>
              </w:rPr>
            </w:pPr>
          </w:p>
        </w:tc>
        <w:tc>
          <w:tcPr>
            <w:tcW w:w="1706" w:type="dxa"/>
            <w:vAlign w:val="top"/>
          </w:tcPr>
          <w:p w14:paraId="41829040">
            <w:pPr>
              <w:jc w:val="left"/>
              <w:rPr>
                <w:rFonts w:hint="eastAsia" w:ascii="宋体" w:hAnsi="宋体" w:eastAsia="宋体" w:cs="宋体"/>
                <w:color w:val="auto"/>
                <w:highlight w:val="none"/>
              </w:rPr>
            </w:pPr>
          </w:p>
        </w:tc>
        <w:tc>
          <w:tcPr>
            <w:tcW w:w="2434" w:type="dxa"/>
            <w:vAlign w:val="top"/>
          </w:tcPr>
          <w:p w14:paraId="15BD5953">
            <w:pPr>
              <w:jc w:val="left"/>
              <w:rPr>
                <w:rFonts w:hint="eastAsia" w:ascii="宋体" w:hAnsi="宋体" w:eastAsia="宋体" w:cs="宋体"/>
                <w:color w:val="auto"/>
                <w:highlight w:val="none"/>
              </w:rPr>
            </w:pPr>
          </w:p>
        </w:tc>
        <w:tc>
          <w:tcPr>
            <w:tcW w:w="1800" w:type="dxa"/>
            <w:vAlign w:val="top"/>
          </w:tcPr>
          <w:p w14:paraId="77DF966B">
            <w:pPr>
              <w:jc w:val="left"/>
              <w:rPr>
                <w:rFonts w:hint="eastAsia" w:ascii="宋体" w:hAnsi="宋体" w:eastAsia="宋体" w:cs="宋体"/>
                <w:color w:val="auto"/>
                <w:highlight w:val="none"/>
              </w:rPr>
            </w:pPr>
          </w:p>
        </w:tc>
        <w:tc>
          <w:tcPr>
            <w:tcW w:w="1294" w:type="dxa"/>
            <w:vAlign w:val="top"/>
          </w:tcPr>
          <w:p w14:paraId="52B30BDB">
            <w:pPr>
              <w:jc w:val="left"/>
              <w:rPr>
                <w:rFonts w:hint="eastAsia" w:ascii="宋体" w:hAnsi="宋体" w:eastAsia="宋体" w:cs="宋体"/>
                <w:color w:val="auto"/>
                <w:highlight w:val="none"/>
              </w:rPr>
            </w:pPr>
          </w:p>
        </w:tc>
      </w:tr>
      <w:tr w14:paraId="5360D0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14:paraId="1741E041">
            <w:pPr>
              <w:jc w:val="left"/>
              <w:rPr>
                <w:rFonts w:hint="eastAsia" w:ascii="宋体" w:hAnsi="宋体" w:eastAsia="宋体" w:cs="宋体"/>
                <w:color w:val="auto"/>
                <w:highlight w:val="none"/>
              </w:rPr>
            </w:pPr>
          </w:p>
        </w:tc>
        <w:tc>
          <w:tcPr>
            <w:tcW w:w="1706" w:type="dxa"/>
            <w:vAlign w:val="top"/>
          </w:tcPr>
          <w:p w14:paraId="5A05204A">
            <w:pPr>
              <w:jc w:val="left"/>
              <w:rPr>
                <w:rFonts w:hint="eastAsia" w:ascii="宋体" w:hAnsi="宋体" w:eastAsia="宋体" w:cs="宋体"/>
                <w:color w:val="auto"/>
                <w:highlight w:val="none"/>
              </w:rPr>
            </w:pPr>
          </w:p>
        </w:tc>
        <w:tc>
          <w:tcPr>
            <w:tcW w:w="2434" w:type="dxa"/>
            <w:vAlign w:val="top"/>
          </w:tcPr>
          <w:p w14:paraId="2BDA294C">
            <w:pPr>
              <w:jc w:val="left"/>
              <w:rPr>
                <w:rFonts w:hint="eastAsia" w:ascii="宋体" w:hAnsi="宋体" w:eastAsia="宋体" w:cs="宋体"/>
                <w:color w:val="auto"/>
                <w:highlight w:val="none"/>
              </w:rPr>
            </w:pPr>
          </w:p>
        </w:tc>
        <w:tc>
          <w:tcPr>
            <w:tcW w:w="1800" w:type="dxa"/>
            <w:vAlign w:val="top"/>
          </w:tcPr>
          <w:p w14:paraId="3FD0EDD2">
            <w:pPr>
              <w:jc w:val="left"/>
              <w:rPr>
                <w:rFonts w:hint="eastAsia" w:ascii="宋体" w:hAnsi="宋体" w:eastAsia="宋体" w:cs="宋体"/>
                <w:color w:val="auto"/>
                <w:highlight w:val="none"/>
              </w:rPr>
            </w:pPr>
          </w:p>
        </w:tc>
        <w:tc>
          <w:tcPr>
            <w:tcW w:w="1294" w:type="dxa"/>
            <w:vAlign w:val="top"/>
          </w:tcPr>
          <w:p w14:paraId="3B69C236">
            <w:pPr>
              <w:jc w:val="left"/>
              <w:rPr>
                <w:rFonts w:hint="eastAsia" w:ascii="宋体" w:hAnsi="宋体" w:eastAsia="宋体" w:cs="宋体"/>
                <w:color w:val="auto"/>
                <w:highlight w:val="none"/>
              </w:rPr>
            </w:pPr>
          </w:p>
        </w:tc>
      </w:tr>
      <w:tr w14:paraId="598B75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14:paraId="2D14CC1E">
            <w:pPr>
              <w:jc w:val="left"/>
              <w:rPr>
                <w:rFonts w:hint="eastAsia" w:ascii="宋体" w:hAnsi="宋体" w:eastAsia="宋体" w:cs="宋体"/>
                <w:color w:val="auto"/>
                <w:highlight w:val="none"/>
              </w:rPr>
            </w:pPr>
          </w:p>
        </w:tc>
        <w:tc>
          <w:tcPr>
            <w:tcW w:w="1706" w:type="dxa"/>
            <w:vAlign w:val="top"/>
          </w:tcPr>
          <w:p w14:paraId="0FB183BD">
            <w:pPr>
              <w:jc w:val="left"/>
              <w:rPr>
                <w:rFonts w:hint="eastAsia" w:ascii="宋体" w:hAnsi="宋体" w:eastAsia="宋体" w:cs="宋体"/>
                <w:color w:val="auto"/>
                <w:highlight w:val="none"/>
              </w:rPr>
            </w:pPr>
          </w:p>
        </w:tc>
        <w:tc>
          <w:tcPr>
            <w:tcW w:w="2434" w:type="dxa"/>
            <w:vAlign w:val="top"/>
          </w:tcPr>
          <w:p w14:paraId="5ECE32BF">
            <w:pPr>
              <w:jc w:val="left"/>
              <w:rPr>
                <w:rFonts w:hint="eastAsia" w:ascii="宋体" w:hAnsi="宋体" w:eastAsia="宋体" w:cs="宋体"/>
                <w:color w:val="auto"/>
                <w:highlight w:val="none"/>
              </w:rPr>
            </w:pPr>
          </w:p>
        </w:tc>
        <w:tc>
          <w:tcPr>
            <w:tcW w:w="1800" w:type="dxa"/>
            <w:vAlign w:val="top"/>
          </w:tcPr>
          <w:p w14:paraId="12FC1C59">
            <w:pPr>
              <w:jc w:val="left"/>
              <w:rPr>
                <w:rFonts w:hint="eastAsia" w:ascii="宋体" w:hAnsi="宋体" w:eastAsia="宋体" w:cs="宋体"/>
                <w:color w:val="auto"/>
                <w:highlight w:val="none"/>
              </w:rPr>
            </w:pPr>
          </w:p>
        </w:tc>
        <w:tc>
          <w:tcPr>
            <w:tcW w:w="1294" w:type="dxa"/>
            <w:vAlign w:val="top"/>
          </w:tcPr>
          <w:p w14:paraId="26DF77AF">
            <w:pPr>
              <w:jc w:val="left"/>
              <w:rPr>
                <w:rFonts w:hint="eastAsia" w:ascii="宋体" w:hAnsi="宋体" w:eastAsia="宋体" w:cs="宋体"/>
                <w:color w:val="auto"/>
                <w:highlight w:val="none"/>
              </w:rPr>
            </w:pPr>
          </w:p>
        </w:tc>
      </w:tr>
      <w:tr w14:paraId="6DB6FB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14:paraId="1CD11BC6">
            <w:pPr>
              <w:jc w:val="left"/>
              <w:rPr>
                <w:rFonts w:hint="eastAsia" w:ascii="宋体" w:hAnsi="宋体" w:eastAsia="宋体" w:cs="宋体"/>
                <w:color w:val="auto"/>
                <w:highlight w:val="none"/>
              </w:rPr>
            </w:pPr>
          </w:p>
        </w:tc>
        <w:tc>
          <w:tcPr>
            <w:tcW w:w="1706" w:type="dxa"/>
            <w:vAlign w:val="top"/>
          </w:tcPr>
          <w:p w14:paraId="423FF3A9">
            <w:pPr>
              <w:jc w:val="left"/>
              <w:rPr>
                <w:rFonts w:hint="eastAsia" w:ascii="宋体" w:hAnsi="宋体" w:eastAsia="宋体" w:cs="宋体"/>
                <w:color w:val="auto"/>
                <w:highlight w:val="none"/>
              </w:rPr>
            </w:pPr>
          </w:p>
        </w:tc>
        <w:tc>
          <w:tcPr>
            <w:tcW w:w="2434" w:type="dxa"/>
            <w:vAlign w:val="top"/>
          </w:tcPr>
          <w:p w14:paraId="0DFCC213">
            <w:pPr>
              <w:jc w:val="left"/>
              <w:rPr>
                <w:rFonts w:hint="eastAsia" w:ascii="宋体" w:hAnsi="宋体" w:eastAsia="宋体" w:cs="宋体"/>
                <w:color w:val="auto"/>
                <w:highlight w:val="none"/>
              </w:rPr>
            </w:pPr>
          </w:p>
        </w:tc>
        <w:tc>
          <w:tcPr>
            <w:tcW w:w="1800" w:type="dxa"/>
            <w:vAlign w:val="top"/>
          </w:tcPr>
          <w:p w14:paraId="36F0E5B7">
            <w:pPr>
              <w:jc w:val="left"/>
              <w:rPr>
                <w:rFonts w:hint="eastAsia" w:ascii="宋体" w:hAnsi="宋体" w:eastAsia="宋体" w:cs="宋体"/>
                <w:color w:val="auto"/>
                <w:highlight w:val="none"/>
              </w:rPr>
            </w:pPr>
          </w:p>
        </w:tc>
        <w:tc>
          <w:tcPr>
            <w:tcW w:w="1294" w:type="dxa"/>
            <w:vAlign w:val="top"/>
          </w:tcPr>
          <w:p w14:paraId="484B569D">
            <w:pPr>
              <w:jc w:val="left"/>
              <w:rPr>
                <w:rFonts w:hint="eastAsia" w:ascii="宋体" w:hAnsi="宋体" w:eastAsia="宋体" w:cs="宋体"/>
                <w:color w:val="auto"/>
                <w:highlight w:val="none"/>
              </w:rPr>
            </w:pPr>
          </w:p>
        </w:tc>
      </w:tr>
      <w:tr w14:paraId="07945D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14:paraId="097AC2D0">
            <w:pPr>
              <w:jc w:val="left"/>
              <w:rPr>
                <w:rFonts w:hint="eastAsia" w:ascii="宋体" w:hAnsi="宋体" w:eastAsia="宋体" w:cs="宋体"/>
                <w:color w:val="auto"/>
                <w:highlight w:val="none"/>
              </w:rPr>
            </w:pPr>
          </w:p>
        </w:tc>
        <w:tc>
          <w:tcPr>
            <w:tcW w:w="1706" w:type="dxa"/>
            <w:vAlign w:val="top"/>
          </w:tcPr>
          <w:p w14:paraId="58647CF7">
            <w:pPr>
              <w:jc w:val="left"/>
              <w:rPr>
                <w:rFonts w:hint="eastAsia" w:ascii="宋体" w:hAnsi="宋体" w:eastAsia="宋体" w:cs="宋体"/>
                <w:color w:val="auto"/>
                <w:highlight w:val="none"/>
              </w:rPr>
            </w:pPr>
          </w:p>
        </w:tc>
        <w:tc>
          <w:tcPr>
            <w:tcW w:w="2434" w:type="dxa"/>
            <w:vAlign w:val="top"/>
          </w:tcPr>
          <w:p w14:paraId="1CDFF9D1">
            <w:pPr>
              <w:jc w:val="left"/>
              <w:rPr>
                <w:rFonts w:hint="eastAsia" w:ascii="宋体" w:hAnsi="宋体" w:eastAsia="宋体" w:cs="宋体"/>
                <w:color w:val="auto"/>
                <w:highlight w:val="none"/>
              </w:rPr>
            </w:pPr>
          </w:p>
        </w:tc>
        <w:tc>
          <w:tcPr>
            <w:tcW w:w="1800" w:type="dxa"/>
            <w:vAlign w:val="top"/>
          </w:tcPr>
          <w:p w14:paraId="3466E738">
            <w:pPr>
              <w:jc w:val="left"/>
              <w:rPr>
                <w:rFonts w:hint="eastAsia" w:ascii="宋体" w:hAnsi="宋体" w:eastAsia="宋体" w:cs="宋体"/>
                <w:color w:val="auto"/>
                <w:highlight w:val="none"/>
              </w:rPr>
            </w:pPr>
          </w:p>
        </w:tc>
        <w:tc>
          <w:tcPr>
            <w:tcW w:w="1294" w:type="dxa"/>
            <w:vAlign w:val="top"/>
          </w:tcPr>
          <w:p w14:paraId="44BA3289">
            <w:pPr>
              <w:jc w:val="left"/>
              <w:rPr>
                <w:rFonts w:hint="eastAsia" w:ascii="宋体" w:hAnsi="宋体" w:eastAsia="宋体" w:cs="宋体"/>
                <w:color w:val="auto"/>
                <w:highlight w:val="none"/>
              </w:rPr>
            </w:pPr>
          </w:p>
        </w:tc>
      </w:tr>
      <w:tr w14:paraId="327085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14:paraId="5B5C4E33">
            <w:pPr>
              <w:jc w:val="left"/>
              <w:rPr>
                <w:rFonts w:hint="eastAsia" w:ascii="宋体" w:hAnsi="宋体" w:eastAsia="宋体" w:cs="宋体"/>
                <w:color w:val="auto"/>
                <w:highlight w:val="none"/>
              </w:rPr>
            </w:pPr>
          </w:p>
        </w:tc>
        <w:tc>
          <w:tcPr>
            <w:tcW w:w="1706" w:type="dxa"/>
            <w:vAlign w:val="top"/>
          </w:tcPr>
          <w:p w14:paraId="33751E8D">
            <w:pPr>
              <w:jc w:val="left"/>
              <w:rPr>
                <w:rFonts w:hint="eastAsia" w:ascii="宋体" w:hAnsi="宋体" w:eastAsia="宋体" w:cs="宋体"/>
                <w:color w:val="auto"/>
                <w:highlight w:val="none"/>
              </w:rPr>
            </w:pPr>
          </w:p>
        </w:tc>
        <w:tc>
          <w:tcPr>
            <w:tcW w:w="2434" w:type="dxa"/>
            <w:vAlign w:val="top"/>
          </w:tcPr>
          <w:p w14:paraId="34A2F323">
            <w:pPr>
              <w:jc w:val="left"/>
              <w:rPr>
                <w:rFonts w:hint="eastAsia" w:ascii="宋体" w:hAnsi="宋体" w:eastAsia="宋体" w:cs="宋体"/>
                <w:color w:val="auto"/>
                <w:highlight w:val="none"/>
              </w:rPr>
            </w:pPr>
          </w:p>
        </w:tc>
        <w:tc>
          <w:tcPr>
            <w:tcW w:w="1800" w:type="dxa"/>
            <w:vAlign w:val="top"/>
          </w:tcPr>
          <w:p w14:paraId="72939710">
            <w:pPr>
              <w:jc w:val="left"/>
              <w:rPr>
                <w:rFonts w:hint="eastAsia" w:ascii="宋体" w:hAnsi="宋体" w:eastAsia="宋体" w:cs="宋体"/>
                <w:color w:val="auto"/>
                <w:highlight w:val="none"/>
              </w:rPr>
            </w:pPr>
          </w:p>
        </w:tc>
        <w:tc>
          <w:tcPr>
            <w:tcW w:w="1294" w:type="dxa"/>
            <w:vAlign w:val="top"/>
          </w:tcPr>
          <w:p w14:paraId="198D67A4">
            <w:pPr>
              <w:jc w:val="left"/>
              <w:rPr>
                <w:rFonts w:hint="eastAsia" w:ascii="宋体" w:hAnsi="宋体" w:eastAsia="宋体" w:cs="宋体"/>
                <w:color w:val="auto"/>
                <w:highlight w:val="none"/>
              </w:rPr>
            </w:pPr>
          </w:p>
        </w:tc>
      </w:tr>
    </w:tbl>
    <w:p w14:paraId="260EC18E">
      <w:pPr>
        <w:tabs>
          <w:tab w:val="left" w:pos="7380"/>
        </w:tabs>
        <w:spacing w:line="320" w:lineRule="exact"/>
        <w:rPr>
          <w:rFonts w:hint="eastAsia" w:ascii="宋体" w:hAnsi="宋体" w:eastAsia="宋体" w:cs="宋体"/>
          <w:color w:val="auto"/>
          <w:highlight w:val="none"/>
        </w:rPr>
      </w:pPr>
      <w:r>
        <w:rPr>
          <w:rFonts w:hint="eastAsia" w:ascii="宋体" w:hAnsi="宋体" w:eastAsia="宋体" w:cs="宋体"/>
          <w:color w:val="auto"/>
          <w:highlight w:val="none"/>
        </w:rPr>
        <w:t>注:</w:t>
      </w:r>
    </w:p>
    <w:p w14:paraId="0EC6F846">
      <w:pPr>
        <w:tabs>
          <w:tab w:val="left" w:pos="7380"/>
        </w:tabs>
        <w:spacing w:line="320" w:lineRule="exact"/>
        <w:rPr>
          <w:rFonts w:hint="eastAsia" w:ascii="宋体" w:hAnsi="宋体" w:eastAsia="宋体" w:cs="宋体"/>
          <w:color w:val="auto"/>
          <w:highlight w:val="none"/>
        </w:rPr>
      </w:pPr>
      <w:r>
        <w:rPr>
          <w:rFonts w:hint="eastAsia" w:ascii="宋体" w:hAnsi="宋体" w:eastAsia="宋体" w:cs="宋体"/>
          <w:color w:val="auto"/>
          <w:highlight w:val="none"/>
        </w:rPr>
        <w:t>1.此表仅提供了表格形式，投标供应商应根据需要准备足够数里的表格来填写。</w:t>
      </w:r>
    </w:p>
    <w:p w14:paraId="14496571">
      <w:pPr>
        <w:tabs>
          <w:tab w:val="left" w:pos="7380"/>
        </w:tabs>
        <w:spacing w:line="320" w:lineRule="exact"/>
        <w:rPr>
          <w:rFonts w:hint="eastAsia" w:ascii="宋体" w:hAnsi="宋体" w:eastAsia="宋体" w:cs="宋体"/>
          <w:color w:val="auto"/>
          <w:highlight w:val="none"/>
        </w:rPr>
      </w:pPr>
      <w:r>
        <w:rPr>
          <w:rFonts w:hint="eastAsia" w:ascii="宋体" w:hAnsi="宋体" w:eastAsia="宋体" w:cs="宋体"/>
          <w:color w:val="auto"/>
          <w:highlight w:val="none"/>
        </w:rPr>
        <w:t>2.每项业绩须根据商务技术文件评分细则的要求提供证明材料;</w:t>
      </w:r>
    </w:p>
    <w:p w14:paraId="33A9ABF9">
      <w:pPr>
        <w:tabs>
          <w:tab w:val="left" w:pos="7380"/>
        </w:tabs>
        <w:spacing w:line="320" w:lineRule="exact"/>
        <w:rPr>
          <w:rFonts w:hint="eastAsia" w:ascii="宋体" w:hAnsi="宋体" w:eastAsia="宋体" w:cs="宋体"/>
          <w:color w:val="auto"/>
          <w:highlight w:val="none"/>
        </w:rPr>
      </w:pPr>
      <w:r>
        <w:rPr>
          <w:rFonts w:hint="eastAsia" w:ascii="宋体" w:hAnsi="宋体" w:eastAsia="宋体" w:cs="宋体"/>
          <w:color w:val="auto"/>
          <w:highlight w:val="none"/>
        </w:rPr>
        <w:t>3.投标供应商未提供本表或未按要求提供业绩证明材料将视为无业绩，不纳入评分范围。</w:t>
      </w:r>
    </w:p>
    <w:p w14:paraId="232F2737">
      <w:pPr>
        <w:tabs>
          <w:tab w:val="left" w:pos="7380"/>
        </w:tabs>
        <w:spacing w:line="320" w:lineRule="exact"/>
        <w:rPr>
          <w:rFonts w:hint="eastAsia" w:ascii="宋体" w:hAnsi="宋体" w:eastAsia="宋体" w:cs="宋体"/>
          <w:color w:val="auto"/>
          <w:highlight w:val="none"/>
        </w:rPr>
      </w:pPr>
    </w:p>
    <w:p w14:paraId="74DBBE01">
      <w:pPr>
        <w:spacing w:before="312" w:beforeLines="100" w:after="50" w:line="360" w:lineRule="auto"/>
        <w:ind w:firstLine="4059" w:firstLineChars="1933"/>
        <w:rPr>
          <w:rFonts w:hint="eastAsia" w:ascii="宋体" w:hAnsi="宋体" w:eastAsia="宋体" w:cs="宋体"/>
          <w:color w:val="auto"/>
          <w:kern w:val="0"/>
          <w:highlight w:val="none"/>
        </w:rPr>
      </w:pPr>
      <w:r>
        <w:rPr>
          <w:rFonts w:hint="eastAsia" w:ascii="宋体" w:hAnsi="宋体" w:eastAsia="宋体" w:cs="宋体"/>
          <w:color w:val="auto"/>
          <w:kern w:val="0"/>
          <w:highlight w:val="none"/>
        </w:rPr>
        <w:t>投标</w:t>
      </w:r>
      <w:r>
        <w:rPr>
          <w:rFonts w:hint="eastAsia" w:ascii="宋体" w:hAnsi="宋体" w:eastAsia="宋体" w:cs="宋体"/>
          <w:color w:val="auto"/>
          <w:kern w:val="0"/>
          <w:highlight w:val="none"/>
          <w:lang w:val="en-US" w:eastAsia="zh-CN"/>
        </w:rPr>
        <w:t>供应商</w:t>
      </w:r>
      <w:r>
        <w:rPr>
          <w:rFonts w:hint="eastAsia" w:ascii="宋体" w:hAnsi="宋体" w:eastAsia="宋体" w:cs="宋体"/>
          <w:color w:val="auto"/>
          <w:kern w:val="0"/>
          <w:highlight w:val="none"/>
        </w:rPr>
        <w:t>（盖章）：</w:t>
      </w:r>
    </w:p>
    <w:p w14:paraId="4880BD8F">
      <w:pPr>
        <w:spacing w:after="50" w:line="360" w:lineRule="auto"/>
        <w:ind w:firstLine="4059" w:firstLineChars="1933"/>
        <w:rPr>
          <w:rFonts w:hint="eastAsia" w:ascii="宋体" w:hAnsi="宋体" w:eastAsia="宋体" w:cs="宋体"/>
          <w:color w:val="auto"/>
          <w:kern w:val="0"/>
          <w:highlight w:val="none"/>
        </w:rPr>
      </w:pPr>
      <w:r>
        <w:rPr>
          <w:rFonts w:hint="eastAsia" w:ascii="宋体" w:hAnsi="宋体" w:eastAsia="宋体" w:cs="宋体"/>
          <w:color w:val="auto"/>
          <w:kern w:val="0"/>
          <w:highlight w:val="none"/>
        </w:rPr>
        <w:t>法定代表人或授权代表（签字或盖章）：</w:t>
      </w:r>
    </w:p>
    <w:p w14:paraId="50A21DEB">
      <w:pPr>
        <w:spacing w:line="400" w:lineRule="exact"/>
        <w:ind w:firstLine="3990" w:firstLineChars="1900"/>
        <w:rPr>
          <w:rFonts w:hint="eastAsia" w:ascii="宋体" w:hAnsi="宋体" w:eastAsia="宋体" w:cs="宋体"/>
          <w:color w:val="auto"/>
          <w:kern w:val="0"/>
          <w:szCs w:val="21"/>
          <w:highlight w:val="none"/>
        </w:rPr>
      </w:pPr>
      <w:r>
        <w:rPr>
          <w:rFonts w:hint="eastAsia" w:ascii="宋体" w:hAnsi="宋体" w:eastAsia="宋体" w:cs="宋体"/>
          <w:color w:val="auto"/>
          <w:kern w:val="0"/>
          <w:highlight w:val="none"/>
        </w:rPr>
        <w:t>日期：</w:t>
      </w:r>
    </w:p>
    <w:p w14:paraId="6C7AC56A">
      <w:pPr>
        <w:spacing w:line="240" w:lineRule="auto"/>
        <w:jc w:val="center"/>
        <w:outlineLvl w:val="1"/>
        <w:rPr>
          <w:rFonts w:hint="eastAsia" w:ascii="宋体" w:hAnsi="宋体" w:eastAsia="宋体" w:cs="宋体"/>
          <w:b/>
          <w:bCs/>
          <w:color w:val="auto"/>
          <w:sz w:val="24"/>
          <w:szCs w:val="24"/>
          <w:highlight w:val="none"/>
        </w:rPr>
      </w:pPr>
      <w:bookmarkStart w:id="335" w:name="_Toc420077691"/>
      <w:r>
        <w:rPr>
          <w:rFonts w:hint="eastAsia" w:ascii="宋体" w:hAnsi="宋体" w:eastAsia="宋体" w:cs="宋体"/>
          <w:color w:val="auto"/>
          <w:sz w:val="24"/>
          <w:szCs w:val="24"/>
          <w:highlight w:val="none"/>
        </w:rPr>
        <w:br w:type="page"/>
      </w:r>
      <w:bookmarkStart w:id="336" w:name="_Toc24247"/>
      <w:bookmarkStart w:id="337" w:name="_Toc8277"/>
      <w:bookmarkStart w:id="338" w:name="_Toc1317"/>
      <w:r>
        <w:rPr>
          <w:rFonts w:hint="eastAsia" w:ascii="宋体" w:hAnsi="宋体" w:eastAsia="宋体" w:cs="宋体"/>
          <w:b/>
          <w:bCs/>
          <w:color w:val="auto"/>
          <w:sz w:val="24"/>
          <w:szCs w:val="24"/>
          <w:highlight w:val="none"/>
        </w:rPr>
        <w:t>附件</w:t>
      </w:r>
      <w:bookmarkEnd w:id="335"/>
      <w:bookmarkEnd w:id="336"/>
      <w:bookmarkEnd w:id="337"/>
      <w:r>
        <w:rPr>
          <w:rFonts w:hint="eastAsia" w:ascii="宋体" w:hAnsi="宋体" w:eastAsia="宋体" w:cs="宋体"/>
          <w:b/>
          <w:bCs/>
          <w:color w:val="auto"/>
          <w:sz w:val="24"/>
          <w:szCs w:val="24"/>
          <w:highlight w:val="none"/>
          <w:lang w:val="en-US" w:eastAsia="zh-CN"/>
        </w:rPr>
        <w:t xml:space="preserve">7  </w:t>
      </w:r>
      <w:r>
        <w:rPr>
          <w:rFonts w:hint="eastAsia" w:ascii="宋体" w:hAnsi="宋体" w:eastAsia="宋体" w:cs="宋体"/>
          <w:b/>
          <w:bCs/>
          <w:color w:val="auto"/>
          <w:sz w:val="24"/>
          <w:szCs w:val="24"/>
          <w:highlight w:val="none"/>
        </w:rPr>
        <w:t>供货详细清单</w:t>
      </w:r>
      <w:bookmarkEnd w:id="338"/>
    </w:p>
    <w:p w14:paraId="3A1363FA">
      <w:pPr>
        <w:spacing w:before="156" w:beforeLines="50" w:line="400" w:lineRule="exact"/>
        <w:rPr>
          <w:rFonts w:hint="eastAsia" w:ascii="宋体" w:hAnsi="宋体" w:eastAsia="宋体" w:cs="宋体"/>
          <w:b/>
          <w:bCs/>
          <w:color w:val="auto"/>
          <w:sz w:val="30"/>
          <w:highlight w:val="none"/>
          <w:lang w:val="en-US" w:eastAsia="zh-CN"/>
        </w:rPr>
      </w:pPr>
      <w:r>
        <w:rPr>
          <w:rFonts w:hint="eastAsia" w:ascii="宋体" w:hAnsi="宋体" w:eastAsia="宋体" w:cs="宋体"/>
          <w:color w:val="auto"/>
          <w:highlight w:val="none"/>
        </w:rPr>
        <w:t>项目名称：</w:t>
      </w:r>
      <w:r>
        <w:rPr>
          <w:rFonts w:hint="eastAsia" w:ascii="宋体" w:hAnsi="宋体" w:eastAsia="宋体" w:cs="宋体"/>
          <w:color w:val="auto"/>
          <w:highlight w:val="none"/>
          <w:lang w:val="en-US" w:eastAsia="zh-CN"/>
        </w:rPr>
        <w:t xml:space="preserve">                         项目编号：</w:t>
      </w:r>
    </w:p>
    <w:tbl>
      <w:tblPr>
        <w:tblStyle w:val="49"/>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161"/>
        <w:gridCol w:w="2468"/>
        <w:gridCol w:w="1105"/>
        <w:gridCol w:w="944"/>
        <w:gridCol w:w="1126"/>
        <w:gridCol w:w="702"/>
      </w:tblGrid>
      <w:tr w14:paraId="28CF5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center"/>
          </w:tcPr>
          <w:p w14:paraId="3E0E4F1E">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序号</w:t>
            </w:r>
          </w:p>
        </w:tc>
        <w:tc>
          <w:tcPr>
            <w:tcW w:w="2161" w:type="dxa"/>
            <w:tcBorders>
              <w:top w:val="single" w:color="auto" w:sz="4" w:space="0"/>
              <w:left w:val="single" w:color="auto" w:sz="4" w:space="0"/>
              <w:bottom w:val="single" w:color="auto" w:sz="4" w:space="0"/>
              <w:right w:val="single" w:color="auto" w:sz="4" w:space="0"/>
            </w:tcBorders>
            <w:vAlign w:val="center"/>
          </w:tcPr>
          <w:p w14:paraId="3404C98F">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货物名称</w:t>
            </w:r>
          </w:p>
        </w:tc>
        <w:tc>
          <w:tcPr>
            <w:tcW w:w="2468" w:type="dxa"/>
            <w:tcBorders>
              <w:top w:val="single" w:color="auto" w:sz="4" w:space="0"/>
              <w:left w:val="single" w:color="auto" w:sz="4" w:space="0"/>
              <w:bottom w:val="single" w:color="auto" w:sz="4" w:space="0"/>
              <w:right w:val="single" w:color="auto" w:sz="4" w:space="0"/>
            </w:tcBorders>
            <w:vAlign w:val="center"/>
          </w:tcPr>
          <w:p w14:paraId="16757F12">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详细配置说明</w:t>
            </w:r>
          </w:p>
        </w:tc>
        <w:tc>
          <w:tcPr>
            <w:tcW w:w="1105" w:type="dxa"/>
            <w:tcBorders>
              <w:top w:val="single" w:color="auto" w:sz="4" w:space="0"/>
              <w:left w:val="single" w:color="auto" w:sz="4" w:space="0"/>
              <w:bottom w:val="single" w:color="auto" w:sz="4" w:space="0"/>
              <w:right w:val="single" w:color="auto" w:sz="4" w:space="0"/>
            </w:tcBorders>
            <w:vAlign w:val="center"/>
          </w:tcPr>
          <w:p w14:paraId="3D8522B6">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单位</w:t>
            </w:r>
          </w:p>
        </w:tc>
        <w:tc>
          <w:tcPr>
            <w:tcW w:w="944" w:type="dxa"/>
            <w:tcBorders>
              <w:top w:val="single" w:color="auto" w:sz="4" w:space="0"/>
              <w:left w:val="single" w:color="auto" w:sz="4" w:space="0"/>
              <w:bottom w:val="single" w:color="auto" w:sz="4" w:space="0"/>
              <w:right w:val="single" w:color="auto" w:sz="4" w:space="0"/>
            </w:tcBorders>
            <w:vAlign w:val="center"/>
          </w:tcPr>
          <w:p w14:paraId="05A5FB05">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数量</w:t>
            </w:r>
          </w:p>
        </w:tc>
        <w:tc>
          <w:tcPr>
            <w:tcW w:w="1126" w:type="dxa"/>
            <w:tcBorders>
              <w:top w:val="single" w:color="auto" w:sz="4" w:space="0"/>
              <w:left w:val="single" w:color="auto" w:sz="4" w:space="0"/>
              <w:bottom w:val="single" w:color="auto" w:sz="4" w:space="0"/>
              <w:right w:val="single" w:color="auto" w:sz="4" w:space="0"/>
            </w:tcBorders>
            <w:vAlign w:val="center"/>
          </w:tcPr>
          <w:p w14:paraId="1C60B3B6">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免费</w:t>
            </w:r>
          </w:p>
          <w:p w14:paraId="78816E48">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保修期</w:t>
            </w:r>
          </w:p>
        </w:tc>
        <w:tc>
          <w:tcPr>
            <w:tcW w:w="702" w:type="dxa"/>
            <w:tcBorders>
              <w:top w:val="single" w:color="auto" w:sz="4" w:space="0"/>
              <w:left w:val="single" w:color="auto" w:sz="4" w:space="0"/>
              <w:bottom w:val="single" w:color="auto" w:sz="4" w:space="0"/>
              <w:right w:val="single" w:color="auto" w:sz="4" w:space="0"/>
            </w:tcBorders>
            <w:vAlign w:val="center"/>
          </w:tcPr>
          <w:p w14:paraId="2458DA38">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品牌</w:t>
            </w:r>
          </w:p>
        </w:tc>
      </w:tr>
      <w:tr w14:paraId="07939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66880350">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360A1C8B">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30D15579">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1A52E975">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795B4077">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2ED7905B">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5E963DDA">
            <w:pPr>
              <w:spacing w:before="156" w:beforeLines="50"/>
              <w:ind w:right="-11"/>
              <w:jc w:val="center"/>
              <w:rPr>
                <w:rFonts w:hint="eastAsia" w:ascii="宋体" w:hAnsi="宋体" w:eastAsia="宋体" w:cs="宋体"/>
                <w:color w:val="auto"/>
                <w:highlight w:val="none"/>
              </w:rPr>
            </w:pPr>
          </w:p>
        </w:tc>
      </w:tr>
      <w:tr w14:paraId="68609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38ACCFBD">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61F59301">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1AFE7E05">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4C6B8D64">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042B3FB2">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4808DAAC">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0B096359">
            <w:pPr>
              <w:spacing w:before="156" w:beforeLines="50"/>
              <w:ind w:right="-11"/>
              <w:jc w:val="center"/>
              <w:rPr>
                <w:rFonts w:hint="eastAsia" w:ascii="宋体" w:hAnsi="宋体" w:eastAsia="宋体" w:cs="宋体"/>
                <w:color w:val="auto"/>
                <w:highlight w:val="none"/>
              </w:rPr>
            </w:pPr>
          </w:p>
        </w:tc>
      </w:tr>
      <w:tr w14:paraId="6AB7E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34E88842">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1A262C31">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63863179">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7C2E85E9">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7403EAEA">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40059088">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487258D0">
            <w:pPr>
              <w:spacing w:before="156" w:beforeLines="50"/>
              <w:ind w:right="-11"/>
              <w:jc w:val="center"/>
              <w:rPr>
                <w:rFonts w:hint="eastAsia" w:ascii="宋体" w:hAnsi="宋体" w:eastAsia="宋体" w:cs="宋体"/>
                <w:color w:val="auto"/>
                <w:highlight w:val="none"/>
              </w:rPr>
            </w:pPr>
          </w:p>
        </w:tc>
      </w:tr>
      <w:tr w14:paraId="74FB5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49C061ED">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5285326C">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0CE0637F">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2D6BD9F2">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463E31AA">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36C5B045">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60782FFC">
            <w:pPr>
              <w:spacing w:before="156" w:beforeLines="50"/>
              <w:ind w:right="-11"/>
              <w:jc w:val="center"/>
              <w:rPr>
                <w:rFonts w:hint="eastAsia" w:ascii="宋体" w:hAnsi="宋体" w:eastAsia="宋体" w:cs="宋体"/>
                <w:color w:val="auto"/>
                <w:highlight w:val="none"/>
              </w:rPr>
            </w:pPr>
          </w:p>
        </w:tc>
      </w:tr>
      <w:tr w14:paraId="1E91A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468F26DC">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11D50836">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149EDA16">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08745095">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6FD083BA">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0208B1B0">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071EC9FF">
            <w:pPr>
              <w:spacing w:before="156" w:beforeLines="50"/>
              <w:ind w:right="-11"/>
              <w:jc w:val="center"/>
              <w:rPr>
                <w:rFonts w:hint="eastAsia" w:ascii="宋体" w:hAnsi="宋体" w:eastAsia="宋体" w:cs="宋体"/>
                <w:color w:val="auto"/>
                <w:highlight w:val="none"/>
              </w:rPr>
            </w:pPr>
          </w:p>
        </w:tc>
      </w:tr>
      <w:tr w14:paraId="0069A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56795077">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4A7B57EA">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73ABA446">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5432825A">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43648B22">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6ECF46D6">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268FB23B">
            <w:pPr>
              <w:spacing w:before="156" w:beforeLines="50"/>
              <w:ind w:right="-11"/>
              <w:jc w:val="center"/>
              <w:rPr>
                <w:rFonts w:hint="eastAsia" w:ascii="宋体" w:hAnsi="宋体" w:eastAsia="宋体" w:cs="宋体"/>
                <w:color w:val="auto"/>
                <w:highlight w:val="none"/>
              </w:rPr>
            </w:pPr>
          </w:p>
        </w:tc>
      </w:tr>
      <w:tr w14:paraId="6AB53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7FE8A4FA">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66FAA221">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4DEC26AC">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748149A1">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5BFBE1CB">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54C1E101">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468C2142">
            <w:pPr>
              <w:spacing w:before="156" w:beforeLines="50"/>
              <w:ind w:right="-11"/>
              <w:jc w:val="center"/>
              <w:rPr>
                <w:rFonts w:hint="eastAsia" w:ascii="宋体" w:hAnsi="宋体" w:eastAsia="宋体" w:cs="宋体"/>
                <w:color w:val="auto"/>
                <w:highlight w:val="none"/>
              </w:rPr>
            </w:pPr>
          </w:p>
        </w:tc>
      </w:tr>
      <w:tr w14:paraId="37704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7722B91C">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35EC1B5C">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20A69909">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42E11FA4">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7D25A96A">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06EE365A">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4DD1D517">
            <w:pPr>
              <w:spacing w:before="156" w:beforeLines="50"/>
              <w:ind w:right="-11"/>
              <w:jc w:val="center"/>
              <w:rPr>
                <w:rFonts w:hint="eastAsia" w:ascii="宋体" w:hAnsi="宋体" w:eastAsia="宋体" w:cs="宋体"/>
                <w:color w:val="auto"/>
                <w:highlight w:val="none"/>
              </w:rPr>
            </w:pPr>
          </w:p>
        </w:tc>
      </w:tr>
      <w:tr w14:paraId="4DF7C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53442A72">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70605737">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605A924E">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2C1674FB">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6EA9AB6E">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7077DAA5">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108AF31F">
            <w:pPr>
              <w:spacing w:before="156" w:beforeLines="50"/>
              <w:ind w:right="-11"/>
              <w:jc w:val="center"/>
              <w:rPr>
                <w:rFonts w:hint="eastAsia" w:ascii="宋体" w:hAnsi="宋体" w:eastAsia="宋体" w:cs="宋体"/>
                <w:color w:val="auto"/>
                <w:highlight w:val="none"/>
              </w:rPr>
            </w:pPr>
          </w:p>
        </w:tc>
      </w:tr>
      <w:tr w14:paraId="63735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51059BEC">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1512D27B">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4C2647C5">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0B34C240">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7B0BBA26">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5F19BDF0">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288993B9">
            <w:pPr>
              <w:spacing w:before="156" w:beforeLines="50"/>
              <w:ind w:right="-11"/>
              <w:jc w:val="center"/>
              <w:rPr>
                <w:rFonts w:hint="eastAsia" w:ascii="宋体" w:hAnsi="宋体" w:eastAsia="宋体" w:cs="宋体"/>
                <w:color w:val="auto"/>
                <w:highlight w:val="none"/>
              </w:rPr>
            </w:pPr>
          </w:p>
        </w:tc>
      </w:tr>
      <w:tr w14:paraId="006A9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5AA29960">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401A7AFA">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1AA72BD6">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352F45D1">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60195311">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38617747">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097E0D8B">
            <w:pPr>
              <w:spacing w:before="156" w:beforeLines="50"/>
              <w:ind w:right="-11"/>
              <w:jc w:val="center"/>
              <w:rPr>
                <w:rFonts w:hint="eastAsia" w:ascii="宋体" w:hAnsi="宋体" w:eastAsia="宋体" w:cs="宋体"/>
                <w:color w:val="auto"/>
                <w:highlight w:val="none"/>
              </w:rPr>
            </w:pPr>
          </w:p>
        </w:tc>
      </w:tr>
      <w:tr w14:paraId="2B86A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4B444059">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6E60D364">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15BCC263">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2C89A9D8">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12E6C814">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3B5855B1">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44BF3BAC">
            <w:pPr>
              <w:spacing w:before="156" w:beforeLines="50"/>
              <w:ind w:right="-11"/>
              <w:jc w:val="center"/>
              <w:rPr>
                <w:rFonts w:hint="eastAsia" w:ascii="宋体" w:hAnsi="宋体" w:eastAsia="宋体" w:cs="宋体"/>
                <w:color w:val="auto"/>
                <w:highlight w:val="none"/>
              </w:rPr>
            </w:pPr>
          </w:p>
        </w:tc>
      </w:tr>
      <w:tr w14:paraId="02C8C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3A465E4A">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4E00C99F">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611A2295">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36B87259">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227CFD7D">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4288D403">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2337D1E5">
            <w:pPr>
              <w:spacing w:before="156" w:beforeLines="50"/>
              <w:ind w:right="-11"/>
              <w:jc w:val="center"/>
              <w:rPr>
                <w:rFonts w:hint="eastAsia" w:ascii="宋体" w:hAnsi="宋体" w:eastAsia="宋体" w:cs="宋体"/>
                <w:color w:val="auto"/>
                <w:highlight w:val="none"/>
              </w:rPr>
            </w:pPr>
          </w:p>
        </w:tc>
      </w:tr>
      <w:tr w14:paraId="531DC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4E29184D">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58537134">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7FD3BDBB">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0EF566E6">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4458B76D">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2CDB2989">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2825D3BE">
            <w:pPr>
              <w:spacing w:before="156" w:beforeLines="50"/>
              <w:ind w:right="-11"/>
              <w:jc w:val="center"/>
              <w:rPr>
                <w:rFonts w:hint="eastAsia" w:ascii="宋体" w:hAnsi="宋体" w:eastAsia="宋体" w:cs="宋体"/>
                <w:color w:val="auto"/>
                <w:highlight w:val="none"/>
              </w:rPr>
            </w:pPr>
          </w:p>
        </w:tc>
      </w:tr>
      <w:tr w14:paraId="3E47B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13F77E49">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25124ABD">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6DF7445E">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4223582F">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2FF0F2AF">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78CD47A2">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69B1641D">
            <w:pPr>
              <w:spacing w:before="156" w:beforeLines="50"/>
              <w:ind w:right="-11"/>
              <w:jc w:val="center"/>
              <w:rPr>
                <w:rFonts w:hint="eastAsia" w:ascii="宋体" w:hAnsi="宋体" w:eastAsia="宋体" w:cs="宋体"/>
                <w:color w:val="auto"/>
                <w:highlight w:val="none"/>
              </w:rPr>
            </w:pPr>
          </w:p>
        </w:tc>
      </w:tr>
      <w:tr w14:paraId="25045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6374AD82">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6B119F27">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01302EC8">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2BBE0889">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652BC7CA">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7BB16909">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55B35AF4">
            <w:pPr>
              <w:spacing w:before="156" w:beforeLines="50"/>
              <w:ind w:right="-11"/>
              <w:jc w:val="center"/>
              <w:rPr>
                <w:rFonts w:hint="eastAsia" w:ascii="宋体" w:hAnsi="宋体" w:eastAsia="宋体" w:cs="宋体"/>
                <w:color w:val="auto"/>
                <w:highlight w:val="none"/>
              </w:rPr>
            </w:pPr>
          </w:p>
        </w:tc>
      </w:tr>
      <w:tr w14:paraId="27CC6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661004BE">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5DB58FF1">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0866B8A2">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518A42A3">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4B36A19E">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7A7B0042">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33472BC0">
            <w:pPr>
              <w:spacing w:before="156" w:beforeLines="50"/>
              <w:ind w:right="-11"/>
              <w:jc w:val="center"/>
              <w:rPr>
                <w:rFonts w:hint="eastAsia" w:ascii="宋体" w:hAnsi="宋体" w:eastAsia="宋体" w:cs="宋体"/>
                <w:color w:val="auto"/>
                <w:highlight w:val="none"/>
              </w:rPr>
            </w:pPr>
          </w:p>
        </w:tc>
      </w:tr>
      <w:tr w14:paraId="6638F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14:paraId="1E5A93E8">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14:paraId="7AFE207E">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14:paraId="56B6F58E">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14:paraId="4AE831BF">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14:paraId="6902B18E">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14:paraId="5932CA40">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14:paraId="0B7E7E7C">
            <w:pPr>
              <w:spacing w:before="156" w:beforeLines="50"/>
              <w:ind w:right="-11"/>
              <w:jc w:val="center"/>
              <w:rPr>
                <w:rFonts w:hint="eastAsia" w:ascii="宋体" w:hAnsi="宋体" w:eastAsia="宋体" w:cs="宋体"/>
                <w:color w:val="auto"/>
                <w:highlight w:val="none"/>
              </w:rPr>
            </w:pPr>
          </w:p>
        </w:tc>
      </w:tr>
    </w:tbl>
    <w:p w14:paraId="5E892C70">
      <w:pPr>
        <w:keepNext w:val="0"/>
        <w:keepLines w:val="0"/>
        <w:pageBreakBefore w:val="0"/>
        <w:widowControl w:val="0"/>
        <w:kinsoku/>
        <w:wordWrap/>
        <w:overflowPunct/>
        <w:topLinePunct w:val="0"/>
        <w:autoSpaceDE/>
        <w:autoSpaceDN/>
        <w:bidi w:val="0"/>
        <w:adjustRightInd/>
        <w:snapToGrid/>
        <w:spacing w:line="400" w:lineRule="exact"/>
        <w:ind w:left="0" w:left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t>注：1、表中的材料名称按招标文件第三部分中“主要设备及内容清单”分项填写。</w:t>
      </w:r>
    </w:p>
    <w:p w14:paraId="7D7AC5FE">
      <w:pPr>
        <w:pStyle w:val="7"/>
        <w:keepNext w:val="0"/>
        <w:keepLines w:val="0"/>
        <w:pageBreakBefore w:val="0"/>
        <w:widowControl w:val="0"/>
        <w:kinsoku/>
        <w:wordWrap/>
        <w:overflowPunct/>
        <w:topLinePunct w:val="0"/>
        <w:autoSpaceDE/>
        <w:autoSpaceDN/>
        <w:bidi w:val="0"/>
        <w:adjustRightInd/>
        <w:snapToGrid/>
        <w:spacing w:line="400" w:lineRule="exact"/>
        <w:ind w:left="0" w:leftChars="0"/>
        <w:jc w:val="left"/>
        <w:textAlignment w:val="auto"/>
        <w:rPr>
          <w:rFonts w:hint="eastAsia" w:ascii="宋体" w:hAnsi="宋体" w:eastAsia="宋体" w:cs="宋体"/>
          <w:color w:val="auto"/>
          <w:spacing w:val="0"/>
          <w:sz w:val="21"/>
          <w:szCs w:val="21"/>
          <w:highlight w:val="none"/>
          <w:u w:val="single"/>
        </w:rPr>
      </w:pPr>
      <w:r>
        <w:rPr>
          <w:rFonts w:hint="eastAsia" w:ascii="宋体" w:hAnsi="宋体" w:eastAsia="宋体" w:cs="宋体"/>
          <w:color w:val="auto"/>
          <w:spacing w:val="0"/>
          <w:sz w:val="21"/>
          <w:szCs w:val="21"/>
          <w:highlight w:val="none"/>
          <w:u w:val="single"/>
        </w:rPr>
        <w:t>2、▲未提供本表视为未实质性响应招标文件，作无效标处理。</w:t>
      </w:r>
    </w:p>
    <w:p w14:paraId="3634EAA7">
      <w:pPr>
        <w:pStyle w:val="7"/>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jc w:val="left"/>
        <w:textAlignment w:val="auto"/>
        <w:rPr>
          <w:rFonts w:hint="eastAsia" w:ascii="宋体" w:hAnsi="宋体" w:eastAsia="宋体" w:cs="宋体"/>
          <w:color w:val="auto"/>
          <w:spacing w:val="0"/>
          <w:sz w:val="21"/>
          <w:szCs w:val="21"/>
          <w:highlight w:val="none"/>
          <w:u w:val="single"/>
          <w:lang w:val="en-US" w:eastAsia="zh-CN"/>
        </w:rPr>
      </w:pPr>
      <w:r>
        <w:rPr>
          <w:rFonts w:hint="eastAsia" w:ascii="宋体" w:hAnsi="宋体" w:eastAsia="宋体" w:cs="宋体"/>
          <w:color w:val="auto"/>
          <w:spacing w:val="0"/>
          <w:sz w:val="21"/>
          <w:szCs w:val="21"/>
          <w:highlight w:val="none"/>
          <w:u w:val="single"/>
          <w:lang w:val="en-US" w:eastAsia="zh-CN"/>
        </w:rPr>
        <w:t>3、</w:t>
      </w:r>
      <w:r>
        <w:rPr>
          <w:rFonts w:hint="eastAsia" w:ascii="宋体" w:hAnsi="宋体" w:eastAsia="宋体" w:cs="宋体"/>
          <w:color w:val="auto"/>
          <w:spacing w:val="0"/>
          <w:sz w:val="21"/>
          <w:szCs w:val="21"/>
          <w:highlight w:val="none"/>
          <w:u w:val="single"/>
        </w:rPr>
        <w:t>▲供货详细清单</w:t>
      </w:r>
      <w:r>
        <w:rPr>
          <w:rFonts w:hint="eastAsia" w:ascii="宋体" w:hAnsi="宋体" w:eastAsia="宋体" w:cs="宋体"/>
          <w:color w:val="auto"/>
          <w:spacing w:val="0"/>
          <w:sz w:val="21"/>
          <w:szCs w:val="21"/>
          <w:highlight w:val="none"/>
          <w:u w:val="single"/>
          <w:lang w:eastAsia="zh-CN"/>
        </w:rPr>
        <w:t>中不得出现报价金额，否则</w:t>
      </w:r>
      <w:r>
        <w:rPr>
          <w:rFonts w:hint="eastAsia" w:ascii="宋体" w:hAnsi="宋体" w:eastAsia="宋体" w:cs="宋体"/>
          <w:color w:val="auto"/>
          <w:spacing w:val="0"/>
          <w:sz w:val="21"/>
          <w:szCs w:val="21"/>
          <w:highlight w:val="none"/>
          <w:u w:val="single"/>
        </w:rPr>
        <w:t>作无效标处理。</w:t>
      </w:r>
    </w:p>
    <w:p w14:paraId="632EA84F">
      <w:pPr>
        <w:spacing w:line="400" w:lineRule="exact"/>
        <w:ind w:firstLine="4353" w:firstLineChars="2073"/>
        <w:rPr>
          <w:rFonts w:hint="eastAsia" w:ascii="宋体" w:hAnsi="宋体" w:eastAsia="宋体" w:cs="宋体"/>
          <w:color w:val="auto"/>
          <w:kern w:val="0"/>
          <w:szCs w:val="21"/>
          <w:highlight w:val="none"/>
        </w:rPr>
      </w:pPr>
    </w:p>
    <w:p w14:paraId="0160DCFA">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投标供应商（公章）：</w:t>
      </w:r>
    </w:p>
    <w:p w14:paraId="0D749370">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法定代表人或授权代表（签字或盖章）：</w:t>
      </w:r>
    </w:p>
    <w:p w14:paraId="3653E022">
      <w:pPr>
        <w:spacing w:line="400" w:lineRule="exact"/>
        <w:ind w:firstLine="4353" w:firstLineChars="2073"/>
        <w:rPr>
          <w:rFonts w:hint="eastAsia" w:ascii="宋体" w:hAnsi="宋体" w:eastAsia="宋体" w:cs="宋体"/>
          <w:color w:val="auto"/>
          <w:sz w:val="21"/>
          <w:szCs w:val="21"/>
          <w:highlight w:val="none"/>
        </w:rPr>
        <w:sectPr>
          <w:headerReference r:id="rId5" w:type="default"/>
          <w:footerReference r:id="rId6" w:type="default"/>
          <w:pgSz w:w="11907" w:h="16834"/>
          <w:pgMar w:top="1134" w:right="1418" w:bottom="1134" w:left="1418" w:header="851" w:footer="680" w:gutter="0"/>
          <w:pgBorders>
            <w:top w:val="none" w:sz="0" w:space="0"/>
            <w:left w:val="none" w:sz="0" w:space="0"/>
            <w:bottom w:val="none" w:sz="0" w:space="0"/>
            <w:right w:val="none" w:sz="0" w:space="0"/>
          </w:pgBorders>
          <w:pgNumType w:fmt="decimal"/>
          <w:cols w:space="720" w:num="1"/>
          <w:docGrid w:linePitch="372" w:charSpace="6554"/>
        </w:sectPr>
      </w:pPr>
      <w:r>
        <w:rPr>
          <w:rFonts w:hint="eastAsia" w:ascii="宋体" w:hAnsi="宋体" w:eastAsia="宋体" w:cs="宋体"/>
          <w:color w:val="auto"/>
          <w:kern w:val="0"/>
          <w:szCs w:val="21"/>
          <w:highlight w:val="none"/>
        </w:rPr>
        <w:t>日期：</w:t>
      </w:r>
    </w:p>
    <w:p w14:paraId="05FB1D8A">
      <w:pPr>
        <w:spacing w:line="400" w:lineRule="exact"/>
        <w:rPr>
          <w:rFonts w:hint="eastAsia" w:ascii="宋体" w:hAnsi="宋体" w:eastAsia="宋体" w:cs="宋体"/>
          <w:color w:val="auto"/>
          <w:kern w:val="0"/>
          <w:szCs w:val="21"/>
          <w:highlight w:val="none"/>
        </w:rPr>
      </w:pPr>
    </w:p>
    <w:bookmarkEnd w:id="321"/>
    <w:bookmarkEnd w:id="322"/>
    <w:p w14:paraId="141B1A46">
      <w:pPr>
        <w:jc w:val="center"/>
        <w:outlineLvl w:val="1"/>
        <w:rPr>
          <w:rFonts w:hint="eastAsia" w:ascii="宋体" w:hAnsi="宋体" w:eastAsia="宋体" w:cs="宋体"/>
          <w:b/>
          <w:bCs/>
          <w:color w:val="auto"/>
          <w:sz w:val="24"/>
          <w:szCs w:val="24"/>
          <w:highlight w:val="none"/>
        </w:rPr>
      </w:pPr>
      <w:bookmarkStart w:id="339" w:name="_Toc388974311"/>
      <w:bookmarkStart w:id="340" w:name="_Toc420077692"/>
      <w:bookmarkStart w:id="341" w:name="_Toc30389"/>
      <w:bookmarkStart w:id="342" w:name="_Toc4394"/>
      <w:bookmarkStart w:id="343" w:name="_Toc18291"/>
      <w:r>
        <w:rPr>
          <w:rFonts w:hint="eastAsia" w:ascii="宋体" w:hAnsi="宋体" w:eastAsia="宋体" w:cs="宋体"/>
          <w:b/>
          <w:bCs/>
          <w:color w:val="auto"/>
          <w:sz w:val="24"/>
          <w:szCs w:val="24"/>
          <w:highlight w:val="none"/>
        </w:rPr>
        <w:t>附件</w:t>
      </w:r>
      <w:bookmarkEnd w:id="339"/>
      <w:bookmarkEnd w:id="340"/>
      <w:bookmarkEnd w:id="341"/>
      <w:bookmarkEnd w:id="342"/>
      <w:bookmarkStart w:id="344" w:name="_Toc13082"/>
      <w:bookmarkStart w:id="345" w:name="_Toc1455"/>
      <w:bookmarkStart w:id="346" w:name="_Toc412788178"/>
      <w:bookmarkStart w:id="347" w:name="_Toc388974306"/>
      <w:bookmarkStart w:id="348" w:name="_Toc388974312"/>
      <w:r>
        <w:rPr>
          <w:rFonts w:hint="eastAsia" w:ascii="宋体" w:hAnsi="宋体" w:eastAsia="宋体" w:cs="宋体"/>
          <w:b/>
          <w:bCs/>
          <w:color w:val="auto"/>
          <w:sz w:val="24"/>
          <w:szCs w:val="24"/>
          <w:highlight w:val="none"/>
          <w:lang w:val="en-US" w:eastAsia="zh-CN"/>
        </w:rPr>
        <w:t>8</w:t>
      </w:r>
      <w:r>
        <w:rPr>
          <w:rFonts w:hint="eastAsia" w:ascii="宋体" w:hAnsi="宋体" w:eastAsia="宋体" w:cs="宋体"/>
          <w:b/>
          <w:bCs/>
          <w:color w:val="auto"/>
          <w:sz w:val="24"/>
          <w:szCs w:val="24"/>
          <w:highlight w:val="none"/>
        </w:rPr>
        <w:t xml:space="preserve">  </w:t>
      </w:r>
      <w:bookmarkEnd w:id="344"/>
      <w:bookmarkEnd w:id="345"/>
      <w:bookmarkEnd w:id="346"/>
      <w:bookmarkEnd w:id="347"/>
      <w:r>
        <w:rPr>
          <w:rFonts w:hint="eastAsia" w:ascii="宋体" w:hAnsi="宋体" w:eastAsia="宋体" w:cs="宋体"/>
          <w:b/>
          <w:bCs/>
          <w:color w:val="auto"/>
          <w:sz w:val="24"/>
          <w:szCs w:val="24"/>
          <w:highlight w:val="none"/>
        </w:rPr>
        <w:t>投标产品技术响应表</w:t>
      </w:r>
      <w:bookmarkEnd w:id="343"/>
    </w:p>
    <w:p w14:paraId="6507F40F">
      <w:pPr>
        <w:spacing w:before="156" w:beforeLines="50" w:line="400" w:lineRule="exact"/>
        <w:rPr>
          <w:rFonts w:hint="eastAsia" w:ascii="宋体" w:hAnsi="宋体" w:eastAsia="宋体" w:cs="宋体"/>
          <w:b/>
          <w:bCs/>
          <w:color w:val="auto"/>
          <w:sz w:val="30"/>
          <w:highlight w:val="none"/>
          <w:lang w:val="en-US" w:eastAsia="zh-CN"/>
        </w:rPr>
      </w:pPr>
      <w:r>
        <w:rPr>
          <w:rFonts w:hint="eastAsia" w:ascii="宋体" w:hAnsi="宋体" w:eastAsia="宋体" w:cs="宋体"/>
          <w:color w:val="auto"/>
          <w:highlight w:val="none"/>
        </w:rPr>
        <w:t>项目</w:t>
      </w:r>
      <w:r>
        <w:rPr>
          <w:rFonts w:hint="eastAsia" w:ascii="宋体" w:hAnsi="宋体" w:eastAsia="宋体" w:cs="宋体"/>
          <w:color w:val="auto"/>
          <w:highlight w:val="none"/>
          <w:lang w:eastAsia="zh-CN"/>
        </w:rPr>
        <w:t>名称</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 xml:space="preserve">               </w:t>
      </w:r>
    </w:p>
    <w:tbl>
      <w:tblPr>
        <w:tblStyle w:val="49"/>
        <w:tblW w:w="92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
        <w:gridCol w:w="1690"/>
        <w:gridCol w:w="1445"/>
        <w:gridCol w:w="1440"/>
        <w:gridCol w:w="1225"/>
        <w:gridCol w:w="910"/>
        <w:gridCol w:w="1029"/>
        <w:gridCol w:w="1091"/>
      </w:tblGrid>
      <w:tr w14:paraId="59411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center"/>
          </w:tcPr>
          <w:p w14:paraId="2E44ED19">
            <w:pPr>
              <w:tabs>
                <w:tab w:val="left" w:pos="6551"/>
              </w:tabs>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序号</w:t>
            </w:r>
          </w:p>
        </w:tc>
        <w:tc>
          <w:tcPr>
            <w:tcW w:w="1690" w:type="dxa"/>
            <w:vAlign w:val="center"/>
          </w:tcPr>
          <w:p w14:paraId="78BF5CB3">
            <w:pPr>
              <w:tabs>
                <w:tab w:val="left" w:pos="6551"/>
              </w:tabs>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设备名称</w:t>
            </w:r>
          </w:p>
        </w:tc>
        <w:tc>
          <w:tcPr>
            <w:tcW w:w="1445" w:type="dxa"/>
            <w:vAlign w:val="center"/>
          </w:tcPr>
          <w:p w14:paraId="6D67F69A">
            <w:pPr>
              <w:tabs>
                <w:tab w:val="left" w:pos="6551"/>
              </w:tabs>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型号规格</w:t>
            </w:r>
          </w:p>
        </w:tc>
        <w:tc>
          <w:tcPr>
            <w:tcW w:w="1440" w:type="dxa"/>
            <w:vAlign w:val="center"/>
          </w:tcPr>
          <w:p w14:paraId="208631B9">
            <w:pPr>
              <w:tabs>
                <w:tab w:val="left" w:pos="6551"/>
              </w:tabs>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品牌</w:t>
            </w:r>
          </w:p>
          <w:p w14:paraId="1B786A48">
            <w:pPr>
              <w:tabs>
                <w:tab w:val="left" w:pos="6551"/>
              </w:tabs>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生产厂商</w:t>
            </w:r>
          </w:p>
        </w:tc>
        <w:tc>
          <w:tcPr>
            <w:tcW w:w="1225" w:type="dxa"/>
            <w:vAlign w:val="center"/>
          </w:tcPr>
          <w:p w14:paraId="654C299A">
            <w:pPr>
              <w:tabs>
                <w:tab w:val="left" w:pos="6551"/>
              </w:tabs>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highlight w:val="none"/>
              </w:rPr>
              <w:t>详细配置说明</w:t>
            </w:r>
          </w:p>
        </w:tc>
        <w:tc>
          <w:tcPr>
            <w:tcW w:w="910" w:type="dxa"/>
            <w:vAlign w:val="center"/>
          </w:tcPr>
          <w:p w14:paraId="10AC9E07">
            <w:pPr>
              <w:tabs>
                <w:tab w:val="left" w:pos="6551"/>
              </w:tabs>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单位</w:t>
            </w:r>
          </w:p>
        </w:tc>
        <w:tc>
          <w:tcPr>
            <w:tcW w:w="1029" w:type="dxa"/>
            <w:vAlign w:val="center"/>
          </w:tcPr>
          <w:p w14:paraId="74FE61B2">
            <w:pPr>
              <w:ind w:left="105" w:leftChars="50"/>
              <w:jc w:val="center"/>
              <w:rPr>
                <w:rFonts w:hint="eastAsia" w:ascii="宋体" w:hAnsi="宋体" w:eastAsia="宋体" w:cs="宋体"/>
                <w:b/>
                <w:color w:val="auto"/>
                <w:szCs w:val="21"/>
                <w:highlight w:val="none"/>
              </w:rPr>
            </w:pPr>
            <w:r>
              <w:rPr>
                <w:rFonts w:hint="eastAsia" w:ascii="宋体" w:hAnsi="宋体" w:eastAsia="宋体" w:cs="宋体"/>
                <w:b/>
                <w:bCs/>
                <w:color w:val="auto"/>
                <w:sz w:val="22"/>
                <w:szCs w:val="22"/>
                <w:highlight w:val="none"/>
              </w:rPr>
              <w:t>数量</w:t>
            </w:r>
          </w:p>
        </w:tc>
        <w:tc>
          <w:tcPr>
            <w:tcW w:w="1091" w:type="dxa"/>
            <w:vAlign w:val="center"/>
          </w:tcPr>
          <w:p w14:paraId="3FA86A0A">
            <w:pPr>
              <w:tabs>
                <w:tab w:val="left" w:pos="6551"/>
              </w:tabs>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质保期</w:t>
            </w:r>
          </w:p>
        </w:tc>
      </w:tr>
      <w:tr w14:paraId="6EE49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21ACE103">
            <w:pPr>
              <w:tabs>
                <w:tab w:val="left" w:pos="6551"/>
              </w:tabs>
              <w:rPr>
                <w:rFonts w:hint="eastAsia" w:ascii="宋体" w:hAnsi="宋体" w:eastAsia="宋体" w:cs="宋体"/>
                <w:bCs/>
                <w:color w:val="auto"/>
                <w:sz w:val="22"/>
                <w:szCs w:val="22"/>
                <w:highlight w:val="none"/>
              </w:rPr>
            </w:pPr>
          </w:p>
        </w:tc>
        <w:tc>
          <w:tcPr>
            <w:tcW w:w="1690" w:type="dxa"/>
            <w:vAlign w:val="top"/>
          </w:tcPr>
          <w:p w14:paraId="7F4738AB">
            <w:pPr>
              <w:tabs>
                <w:tab w:val="left" w:pos="6551"/>
              </w:tabs>
              <w:rPr>
                <w:rFonts w:hint="eastAsia" w:ascii="宋体" w:hAnsi="宋体" w:eastAsia="宋体" w:cs="宋体"/>
                <w:bCs/>
                <w:color w:val="auto"/>
                <w:sz w:val="22"/>
                <w:szCs w:val="22"/>
                <w:highlight w:val="none"/>
              </w:rPr>
            </w:pPr>
          </w:p>
        </w:tc>
        <w:tc>
          <w:tcPr>
            <w:tcW w:w="1445" w:type="dxa"/>
            <w:vAlign w:val="top"/>
          </w:tcPr>
          <w:p w14:paraId="1C996131">
            <w:pPr>
              <w:tabs>
                <w:tab w:val="left" w:pos="6551"/>
              </w:tabs>
              <w:rPr>
                <w:rFonts w:hint="eastAsia" w:ascii="宋体" w:hAnsi="宋体" w:eastAsia="宋体" w:cs="宋体"/>
                <w:bCs/>
                <w:color w:val="auto"/>
                <w:sz w:val="22"/>
                <w:szCs w:val="22"/>
                <w:highlight w:val="none"/>
              </w:rPr>
            </w:pPr>
          </w:p>
        </w:tc>
        <w:tc>
          <w:tcPr>
            <w:tcW w:w="1440" w:type="dxa"/>
            <w:vAlign w:val="top"/>
          </w:tcPr>
          <w:p w14:paraId="1044C90B">
            <w:pPr>
              <w:tabs>
                <w:tab w:val="left" w:pos="6551"/>
              </w:tabs>
              <w:rPr>
                <w:rFonts w:hint="eastAsia" w:ascii="宋体" w:hAnsi="宋体" w:eastAsia="宋体" w:cs="宋体"/>
                <w:bCs/>
                <w:color w:val="auto"/>
                <w:sz w:val="22"/>
                <w:szCs w:val="22"/>
                <w:highlight w:val="none"/>
              </w:rPr>
            </w:pPr>
          </w:p>
        </w:tc>
        <w:tc>
          <w:tcPr>
            <w:tcW w:w="1225" w:type="dxa"/>
            <w:vAlign w:val="top"/>
          </w:tcPr>
          <w:p w14:paraId="142471D0">
            <w:pPr>
              <w:tabs>
                <w:tab w:val="left" w:pos="6551"/>
              </w:tabs>
              <w:rPr>
                <w:rFonts w:hint="eastAsia" w:ascii="宋体" w:hAnsi="宋体" w:eastAsia="宋体" w:cs="宋体"/>
                <w:bCs/>
                <w:color w:val="auto"/>
                <w:sz w:val="22"/>
                <w:szCs w:val="22"/>
                <w:highlight w:val="none"/>
              </w:rPr>
            </w:pPr>
          </w:p>
        </w:tc>
        <w:tc>
          <w:tcPr>
            <w:tcW w:w="910" w:type="dxa"/>
            <w:vAlign w:val="top"/>
          </w:tcPr>
          <w:p w14:paraId="0112DAAC">
            <w:pPr>
              <w:tabs>
                <w:tab w:val="left" w:pos="6551"/>
              </w:tabs>
              <w:rPr>
                <w:rFonts w:hint="eastAsia" w:ascii="宋体" w:hAnsi="宋体" w:eastAsia="宋体" w:cs="宋体"/>
                <w:bCs/>
                <w:color w:val="auto"/>
                <w:sz w:val="22"/>
                <w:szCs w:val="22"/>
                <w:highlight w:val="none"/>
              </w:rPr>
            </w:pPr>
          </w:p>
        </w:tc>
        <w:tc>
          <w:tcPr>
            <w:tcW w:w="1029" w:type="dxa"/>
            <w:vAlign w:val="top"/>
          </w:tcPr>
          <w:p w14:paraId="579DB380">
            <w:pPr>
              <w:tabs>
                <w:tab w:val="left" w:pos="6551"/>
              </w:tabs>
              <w:rPr>
                <w:rFonts w:hint="eastAsia" w:ascii="宋体" w:hAnsi="宋体" w:eastAsia="宋体" w:cs="宋体"/>
                <w:bCs/>
                <w:color w:val="auto"/>
                <w:sz w:val="22"/>
                <w:szCs w:val="22"/>
                <w:highlight w:val="none"/>
              </w:rPr>
            </w:pPr>
          </w:p>
        </w:tc>
        <w:tc>
          <w:tcPr>
            <w:tcW w:w="1091" w:type="dxa"/>
            <w:vAlign w:val="top"/>
          </w:tcPr>
          <w:p w14:paraId="715A457B">
            <w:pPr>
              <w:tabs>
                <w:tab w:val="left" w:pos="6551"/>
              </w:tabs>
              <w:rPr>
                <w:rFonts w:hint="eastAsia" w:ascii="宋体" w:hAnsi="宋体" w:eastAsia="宋体" w:cs="宋体"/>
                <w:bCs/>
                <w:color w:val="auto"/>
                <w:sz w:val="22"/>
                <w:szCs w:val="22"/>
                <w:highlight w:val="none"/>
              </w:rPr>
            </w:pPr>
          </w:p>
        </w:tc>
      </w:tr>
      <w:tr w14:paraId="1FF31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7855E085">
            <w:pPr>
              <w:tabs>
                <w:tab w:val="left" w:pos="6551"/>
              </w:tabs>
              <w:rPr>
                <w:rFonts w:hint="eastAsia" w:ascii="宋体" w:hAnsi="宋体" w:eastAsia="宋体" w:cs="宋体"/>
                <w:bCs/>
                <w:color w:val="auto"/>
                <w:sz w:val="22"/>
                <w:szCs w:val="22"/>
                <w:highlight w:val="none"/>
              </w:rPr>
            </w:pPr>
          </w:p>
        </w:tc>
        <w:tc>
          <w:tcPr>
            <w:tcW w:w="1690" w:type="dxa"/>
            <w:vAlign w:val="top"/>
          </w:tcPr>
          <w:p w14:paraId="214CE4C9">
            <w:pPr>
              <w:tabs>
                <w:tab w:val="left" w:pos="6551"/>
              </w:tabs>
              <w:rPr>
                <w:rFonts w:hint="eastAsia" w:ascii="宋体" w:hAnsi="宋体" w:eastAsia="宋体" w:cs="宋体"/>
                <w:bCs/>
                <w:color w:val="auto"/>
                <w:sz w:val="22"/>
                <w:szCs w:val="22"/>
                <w:highlight w:val="none"/>
              </w:rPr>
            </w:pPr>
          </w:p>
        </w:tc>
        <w:tc>
          <w:tcPr>
            <w:tcW w:w="1445" w:type="dxa"/>
            <w:vAlign w:val="top"/>
          </w:tcPr>
          <w:p w14:paraId="27C00435">
            <w:pPr>
              <w:tabs>
                <w:tab w:val="left" w:pos="6551"/>
              </w:tabs>
              <w:rPr>
                <w:rFonts w:hint="eastAsia" w:ascii="宋体" w:hAnsi="宋体" w:eastAsia="宋体" w:cs="宋体"/>
                <w:bCs/>
                <w:color w:val="auto"/>
                <w:sz w:val="22"/>
                <w:szCs w:val="22"/>
                <w:highlight w:val="none"/>
              </w:rPr>
            </w:pPr>
          </w:p>
        </w:tc>
        <w:tc>
          <w:tcPr>
            <w:tcW w:w="1440" w:type="dxa"/>
            <w:vAlign w:val="top"/>
          </w:tcPr>
          <w:p w14:paraId="36CF837A">
            <w:pPr>
              <w:tabs>
                <w:tab w:val="left" w:pos="6551"/>
              </w:tabs>
              <w:rPr>
                <w:rFonts w:hint="eastAsia" w:ascii="宋体" w:hAnsi="宋体" w:eastAsia="宋体" w:cs="宋体"/>
                <w:bCs/>
                <w:color w:val="auto"/>
                <w:sz w:val="22"/>
                <w:szCs w:val="22"/>
                <w:highlight w:val="none"/>
              </w:rPr>
            </w:pPr>
          </w:p>
        </w:tc>
        <w:tc>
          <w:tcPr>
            <w:tcW w:w="1225" w:type="dxa"/>
            <w:vAlign w:val="top"/>
          </w:tcPr>
          <w:p w14:paraId="141F62D8">
            <w:pPr>
              <w:tabs>
                <w:tab w:val="left" w:pos="6551"/>
              </w:tabs>
              <w:rPr>
                <w:rFonts w:hint="eastAsia" w:ascii="宋体" w:hAnsi="宋体" w:eastAsia="宋体" w:cs="宋体"/>
                <w:bCs/>
                <w:color w:val="auto"/>
                <w:sz w:val="22"/>
                <w:szCs w:val="22"/>
                <w:highlight w:val="none"/>
              </w:rPr>
            </w:pPr>
          </w:p>
        </w:tc>
        <w:tc>
          <w:tcPr>
            <w:tcW w:w="910" w:type="dxa"/>
            <w:vAlign w:val="top"/>
          </w:tcPr>
          <w:p w14:paraId="192F768D">
            <w:pPr>
              <w:tabs>
                <w:tab w:val="left" w:pos="6551"/>
              </w:tabs>
              <w:rPr>
                <w:rFonts w:hint="eastAsia" w:ascii="宋体" w:hAnsi="宋体" w:eastAsia="宋体" w:cs="宋体"/>
                <w:bCs/>
                <w:color w:val="auto"/>
                <w:sz w:val="22"/>
                <w:szCs w:val="22"/>
                <w:highlight w:val="none"/>
              </w:rPr>
            </w:pPr>
          </w:p>
        </w:tc>
        <w:tc>
          <w:tcPr>
            <w:tcW w:w="1029" w:type="dxa"/>
            <w:vAlign w:val="top"/>
          </w:tcPr>
          <w:p w14:paraId="7F77C5B3">
            <w:pPr>
              <w:tabs>
                <w:tab w:val="left" w:pos="6551"/>
              </w:tabs>
              <w:rPr>
                <w:rFonts w:hint="eastAsia" w:ascii="宋体" w:hAnsi="宋体" w:eastAsia="宋体" w:cs="宋体"/>
                <w:bCs/>
                <w:color w:val="auto"/>
                <w:sz w:val="22"/>
                <w:szCs w:val="22"/>
                <w:highlight w:val="none"/>
              </w:rPr>
            </w:pPr>
          </w:p>
        </w:tc>
        <w:tc>
          <w:tcPr>
            <w:tcW w:w="1091" w:type="dxa"/>
            <w:vAlign w:val="top"/>
          </w:tcPr>
          <w:p w14:paraId="49D3429B">
            <w:pPr>
              <w:tabs>
                <w:tab w:val="left" w:pos="6551"/>
              </w:tabs>
              <w:rPr>
                <w:rFonts w:hint="eastAsia" w:ascii="宋体" w:hAnsi="宋体" w:eastAsia="宋体" w:cs="宋体"/>
                <w:bCs/>
                <w:color w:val="auto"/>
                <w:sz w:val="22"/>
                <w:szCs w:val="22"/>
                <w:highlight w:val="none"/>
              </w:rPr>
            </w:pPr>
          </w:p>
        </w:tc>
      </w:tr>
      <w:tr w14:paraId="224D4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36E001CA">
            <w:pPr>
              <w:tabs>
                <w:tab w:val="left" w:pos="6551"/>
              </w:tabs>
              <w:rPr>
                <w:rFonts w:hint="eastAsia" w:ascii="宋体" w:hAnsi="宋体" w:eastAsia="宋体" w:cs="宋体"/>
                <w:bCs/>
                <w:color w:val="auto"/>
                <w:sz w:val="22"/>
                <w:szCs w:val="22"/>
                <w:highlight w:val="none"/>
              </w:rPr>
            </w:pPr>
          </w:p>
        </w:tc>
        <w:tc>
          <w:tcPr>
            <w:tcW w:w="1690" w:type="dxa"/>
            <w:vAlign w:val="top"/>
          </w:tcPr>
          <w:p w14:paraId="17FED4AC">
            <w:pPr>
              <w:tabs>
                <w:tab w:val="left" w:pos="6551"/>
              </w:tabs>
              <w:rPr>
                <w:rFonts w:hint="eastAsia" w:ascii="宋体" w:hAnsi="宋体" w:eastAsia="宋体" w:cs="宋体"/>
                <w:bCs/>
                <w:color w:val="auto"/>
                <w:sz w:val="22"/>
                <w:szCs w:val="22"/>
                <w:highlight w:val="none"/>
              </w:rPr>
            </w:pPr>
          </w:p>
        </w:tc>
        <w:tc>
          <w:tcPr>
            <w:tcW w:w="1445" w:type="dxa"/>
            <w:vAlign w:val="top"/>
          </w:tcPr>
          <w:p w14:paraId="167215BB">
            <w:pPr>
              <w:tabs>
                <w:tab w:val="left" w:pos="6551"/>
              </w:tabs>
              <w:rPr>
                <w:rFonts w:hint="eastAsia" w:ascii="宋体" w:hAnsi="宋体" w:eastAsia="宋体" w:cs="宋体"/>
                <w:bCs/>
                <w:color w:val="auto"/>
                <w:sz w:val="22"/>
                <w:szCs w:val="22"/>
                <w:highlight w:val="none"/>
              </w:rPr>
            </w:pPr>
          </w:p>
        </w:tc>
        <w:tc>
          <w:tcPr>
            <w:tcW w:w="1440" w:type="dxa"/>
            <w:vAlign w:val="top"/>
          </w:tcPr>
          <w:p w14:paraId="0ED22BA7">
            <w:pPr>
              <w:tabs>
                <w:tab w:val="left" w:pos="6551"/>
              </w:tabs>
              <w:rPr>
                <w:rFonts w:hint="eastAsia" w:ascii="宋体" w:hAnsi="宋体" w:eastAsia="宋体" w:cs="宋体"/>
                <w:bCs/>
                <w:color w:val="auto"/>
                <w:sz w:val="22"/>
                <w:szCs w:val="22"/>
                <w:highlight w:val="none"/>
              </w:rPr>
            </w:pPr>
          </w:p>
        </w:tc>
        <w:tc>
          <w:tcPr>
            <w:tcW w:w="1225" w:type="dxa"/>
            <w:vAlign w:val="top"/>
          </w:tcPr>
          <w:p w14:paraId="1C861466">
            <w:pPr>
              <w:tabs>
                <w:tab w:val="left" w:pos="6551"/>
              </w:tabs>
              <w:rPr>
                <w:rFonts w:hint="eastAsia" w:ascii="宋体" w:hAnsi="宋体" w:eastAsia="宋体" w:cs="宋体"/>
                <w:bCs/>
                <w:color w:val="auto"/>
                <w:sz w:val="22"/>
                <w:szCs w:val="22"/>
                <w:highlight w:val="none"/>
              </w:rPr>
            </w:pPr>
          </w:p>
        </w:tc>
        <w:tc>
          <w:tcPr>
            <w:tcW w:w="910" w:type="dxa"/>
            <w:vAlign w:val="top"/>
          </w:tcPr>
          <w:p w14:paraId="7968D12E">
            <w:pPr>
              <w:tabs>
                <w:tab w:val="left" w:pos="6551"/>
              </w:tabs>
              <w:rPr>
                <w:rFonts w:hint="eastAsia" w:ascii="宋体" w:hAnsi="宋体" w:eastAsia="宋体" w:cs="宋体"/>
                <w:bCs/>
                <w:color w:val="auto"/>
                <w:sz w:val="22"/>
                <w:szCs w:val="22"/>
                <w:highlight w:val="none"/>
              </w:rPr>
            </w:pPr>
          </w:p>
        </w:tc>
        <w:tc>
          <w:tcPr>
            <w:tcW w:w="1029" w:type="dxa"/>
            <w:vAlign w:val="top"/>
          </w:tcPr>
          <w:p w14:paraId="46095A7F">
            <w:pPr>
              <w:tabs>
                <w:tab w:val="left" w:pos="6551"/>
              </w:tabs>
              <w:rPr>
                <w:rFonts w:hint="eastAsia" w:ascii="宋体" w:hAnsi="宋体" w:eastAsia="宋体" w:cs="宋体"/>
                <w:bCs/>
                <w:color w:val="auto"/>
                <w:sz w:val="22"/>
                <w:szCs w:val="22"/>
                <w:highlight w:val="none"/>
              </w:rPr>
            </w:pPr>
          </w:p>
        </w:tc>
        <w:tc>
          <w:tcPr>
            <w:tcW w:w="1091" w:type="dxa"/>
            <w:vAlign w:val="top"/>
          </w:tcPr>
          <w:p w14:paraId="006C666A">
            <w:pPr>
              <w:tabs>
                <w:tab w:val="left" w:pos="6551"/>
              </w:tabs>
              <w:rPr>
                <w:rFonts w:hint="eastAsia" w:ascii="宋体" w:hAnsi="宋体" w:eastAsia="宋体" w:cs="宋体"/>
                <w:bCs/>
                <w:color w:val="auto"/>
                <w:sz w:val="22"/>
                <w:szCs w:val="22"/>
                <w:highlight w:val="none"/>
              </w:rPr>
            </w:pPr>
          </w:p>
        </w:tc>
      </w:tr>
      <w:tr w14:paraId="4A223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1BAF237A">
            <w:pPr>
              <w:tabs>
                <w:tab w:val="left" w:pos="6551"/>
              </w:tabs>
              <w:rPr>
                <w:rFonts w:hint="eastAsia" w:ascii="宋体" w:hAnsi="宋体" w:eastAsia="宋体" w:cs="宋体"/>
                <w:bCs/>
                <w:color w:val="auto"/>
                <w:sz w:val="22"/>
                <w:szCs w:val="22"/>
                <w:highlight w:val="none"/>
              </w:rPr>
            </w:pPr>
          </w:p>
        </w:tc>
        <w:tc>
          <w:tcPr>
            <w:tcW w:w="1690" w:type="dxa"/>
            <w:vAlign w:val="top"/>
          </w:tcPr>
          <w:p w14:paraId="2F2C9F1F">
            <w:pPr>
              <w:tabs>
                <w:tab w:val="left" w:pos="6551"/>
              </w:tabs>
              <w:rPr>
                <w:rFonts w:hint="eastAsia" w:ascii="宋体" w:hAnsi="宋体" w:eastAsia="宋体" w:cs="宋体"/>
                <w:bCs/>
                <w:color w:val="auto"/>
                <w:sz w:val="22"/>
                <w:szCs w:val="22"/>
                <w:highlight w:val="none"/>
              </w:rPr>
            </w:pPr>
          </w:p>
        </w:tc>
        <w:tc>
          <w:tcPr>
            <w:tcW w:w="1445" w:type="dxa"/>
            <w:vAlign w:val="top"/>
          </w:tcPr>
          <w:p w14:paraId="10A67DB9">
            <w:pPr>
              <w:tabs>
                <w:tab w:val="left" w:pos="6551"/>
              </w:tabs>
              <w:rPr>
                <w:rFonts w:hint="eastAsia" w:ascii="宋体" w:hAnsi="宋体" w:eastAsia="宋体" w:cs="宋体"/>
                <w:bCs/>
                <w:color w:val="auto"/>
                <w:sz w:val="22"/>
                <w:szCs w:val="22"/>
                <w:highlight w:val="none"/>
              </w:rPr>
            </w:pPr>
          </w:p>
        </w:tc>
        <w:tc>
          <w:tcPr>
            <w:tcW w:w="1440" w:type="dxa"/>
            <w:vAlign w:val="top"/>
          </w:tcPr>
          <w:p w14:paraId="28B345FC">
            <w:pPr>
              <w:tabs>
                <w:tab w:val="left" w:pos="6551"/>
              </w:tabs>
              <w:rPr>
                <w:rFonts w:hint="eastAsia" w:ascii="宋体" w:hAnsi="宋体" w:eastAsia="宋体" w:cs="宋体"/>
                <w:bCs/>
                <w:color w:val="auto"/>
                <w:sz w:val="22"/>
                <w:szCs w:val="22"/>
                <w:highlight w:val="none"/>
              </w:rPr>
            </w:pPr>
          </w:p>
        </w:tc>
        <w:tc>
          <w:tcPr>
            <w:tcW w:w="1225" w:type="dxa"/>
            <w:vAlign w:val="top"/>
          </w:tcPr>
          <w:p w14:paraId="3E6F10BE">
            <w:pPr>
              <w:tabs>
                <w:tab w:val="left" w:pos="6551"/>
              </w:tabs>
              <w:rPr>
                <w:rFonts w:hint="eastAsia" w:ascii="宋体" w:hAnsi="宋体" w:eastAsia="宋体" w:cs="宋体"/>
                <w:bCs/>
                <w:color w:val="auto"/>
                <w:sz w:val="22"/>
                <w:szCs w:val="22"/>
                <w:highlight w:val="none"/>
              </w:rPr>
            </w:pPr>
          </w:p>
        </w:tc>
        <w:tc>
          <w:tcPr>
            <w:tcW w:w="910" w:type="dxa"/>
            <w:vAlign w:val="top"/>
          </w:tcPr>
          <w:p w14:paraId="2D1099CA">
            <w:pPr>
              <w:tabs>
                <w:tab w:val="left" w:pos="6551"/>
              </w:tabs>
              <w:rPr>
                <w:rFonts w:hint="eastAsia" w:ascii="宋体" w:hAnsi="宋体" w:eastAsia="宋体" w:cs="宋体"/>
                <w:bCs/>
                <w:color w:val="auto"/>
                <w:sz w:val="22"/>
                <w:szCs w:val="22"/>
                <w:highlight w:val="none"/>
              </w:rPr>
            </w:pPr>
          </w:p>
        </w:tc>
        <w:tc>
          <w:tcPr>
            <w:tcW w:w="1029" w:type="dxa"/>
            <w:vAlign w:val="top"/>
          </w:tcPr>
          <w:p w14:paraId="2DD93FFE">
            <w:pPr>
              <w:tabs>
                <w:tab w:val="left" w:pos="6551"/>
              </w:tabs>
              <w:rPr>
                <w:rFonts w:hint="eastAsia" w:ascii="宋体" w:hAnsi="宋体" w:eastAsia="宋体" w:cs="宋体"/>
                <w:bCs/>
                <w:color w:val="auto"/>
                <w:sz w:val="22"/>
                <w:szCs w:val="22"/>
                <w:highlight w:val="none"/>
              </w:rPr>
            </w:pPr>
          </w:p>
        </w:tc>
        <w:tc>
          <w:tcPr>
            <w:tcW w:w="1091" w:type="dxa"/>
            <w:vAlign w:val="top"/>
          </w:tcPr>
          <w:p w14:paraId="141A7174">
            <w:pPr>
              <w:tabs>
                <w:tab w:val="left" w:pos="6551"/>
              </w:tabs>
              <w:rPr>
                <w:rFonts w:hint="eastAsia" w:ascii="宋体" w:hAnsi="宋体" w:eastAsia="宋体" w:cs="宋体"/>
                <w:bCs/>
                <w:color w:val="auto"/>
                <w:sz w:val="22"/>
                <w:szCs w:val="22"/>
                <w:highlight w:val="none"/>
              </w:rPr>
            </w:pPr>
          </w:p>
        </w:tc>
      </w:tr>
      <w:tr w14:paraId="7DAEB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4637B87D">
            <w:pPr>
              <w:tabs>
                <w:tab w:val="left" w:pos="6551"/>
              </w:tabs>
              <w:rPr>
                <w:rFonts w:hint="eastAsia" w:ascii="宋体" w:hAnsi="宋体" w:eastAsia="宋体" w:cs="宋体"/>
                <w:bCs/>
                <w:color w:val="auto"/>
                <w:sz w:val="22"/>
                <w:szCs w:val="22"/>
                <w:highlight w:val="none"/>
              </w:rPr>
            </w:pPr>
          </w:p>
        </w:tc>
        <w:tc>
          <w:tcPr>
            <w:tcW w:w="1690" w:type="dxa"/>
            <w:vAlign w:val="top"/>
          </w:tcPr>
          <w:p w14:paraId="143729D5">
            <w:pPr>
              <w:tabs>
                <w:tab w:val="left" w:pos="6551"/>
              </w:tabs>
              <w:rPr>
                <w:rFonts w:hint="eastAsia" w:ascii="宋体" w:hAnsi="宋体" w:eastAsia="宋体" w:cs="宋体"/>
                <w:bCs/>
                <w:color w:val="auto"/>
                <w:sz w:val="22"/>
                <w:szCs w:val="22"/>
                <w:highlight w:val="none"/>
              </w:rPr>
            </w:pPr>
          </w:p>
        </w:tc>
        <w:tc>
          <w:tcPr>
            <w:tcW w:w="1445" w:type="dxa"/>
            <w:vAlign w:val="top"/>
          </w:tcPr>
          <w:p w14:paraId="1096F6AA">
            <w:pPr>
              <w:tabs>
                <w:tab w:val="left" w:pos="6551"/>
              </w:tabs>
              <w:rPr>
                <w:rFonts w:hint="eastAsia" w:ascii="宋体" w:hAnsi="宋体" w:eastAsia="宋体" w:cs="宋体"/>
                <w:bCs/>
                <w:color w:val="auto"/>
                <w:sz w:val="22"/>
                <w:szCs w:val="22"/>
                <w:highlight w:val="none"/>
              </w:rPr>
            </w:pPr>
          </w:p>
        </w:tc>
        <w:tc>
          <w:tcPr>
            <w:tcW w:w="1440" w:type="dxa"/>
            <w:vAlign w:val="top"/>
          </w:tcPr>
          <w:p w14:paraId="3C5F74D7">
            <w:pPr>
              <w:tabs>
                <w:tab w:val="left" w:pos="6551"/>
              </w:tabs>
              <w:rPr>
                <w:rFonts w:hint="eastAsia" w:ascii="宋体" w:hAnsi="宋体" w:eastAsia="宋体" w:cs="宋体"/>
                <w:bCs/>
                <w:color w:val="auto"/>
                <w:sz w:val="22"/>
                <w:szCs w:val="22"/>
                <w:highlight w:val="none"/>
              </w:rPr>
            </w:pPr>
          </w:p>
        </w:tc>
        <w:tc>
          <w:tcPr>
            <w:tcW w:w="1225" w:type="dxa"/>
            <w:vAlign w:val="top"/>
          </w:tcPr>
          <w:p w14:paraId="48E22D79">
            <w:pPr>
              <w:tabs>
                <w:tab w:val="left" w:pos="6551"/>
              </w:tabs>
              <w:rPr>
                <w:rFonts w:hint="eastAsia" w:ascii="宋体" w:hAnsi="宋体" w:eastAsia="宋体" w:cs="宋体"/>
                <w:bCs/>
                <w:color w:val="auto"/>
                <w:sz w:val="22"/>
                <w:szCs w:val="22"/>
                <w:highlight w:val="none"/>
              </w:rPr>
            </w:pPr>
          </w:p>
        </w:tc>
        <w:tc>
          <w:tcPr>
            <w:tcW w:w="910" w:type="dxa"/>
            <w:vAlign w:val="top"/>
          </w:tcPr>
          <w:p w14:paraId="55B5635C">
            <w:pPr>
              <w:tabs>
                <w:tab w:val="left" w:pos="6551"/>
              </w:tabs>
              <w:rPr>
                <w:rFonts w:hint="eastAsia" w:ascii="宋体" w:hAnsi="宋体" w:eastAsia="宋体" w:cs="宋体"/>
                <w:bCs/>
                <w:color w:val="auto"/>
                <w:sz w:val="22"/>
                <w:szCs w:val="22"/>
                <w:highlight w:val="none"/>
              </w:rPr>
            </w:pPr>
          </w:p>
        </w:tc>
        <w:tc>
          <w:tcPr>
            <w:tcW w:w="1029" w:type="dxa"/>
            <w:vAlign w:val="top"/>
          </w:tcPr>
          <w:p w14:paraId="7F99D228">
            <w:pPr>
              <w:tabs>
                <w:tab w:val="left" w:pos="6551"/>
              </w:tabs>
              <w:rPr>
                <w:rFonts w:hint="eastAsia" w:ascii="宋体" w:hAnsi="宋体" w:eastAsia="宋体" w:cs="宋体"/>
                <w:bCs/>
                <w:color w:val="auto"/>
                <w:sz w:val="22"/>
                <w:szCs w:val="22"/>
                <w:highlight w:val="none"/>
              </w:rPr>
            </w:pPr>
          </w:p>
        </w:tc>
        <w:tc>
          <w:tcPr>
            <w:tcW w:w="1091" w:type="dxa"/>
            <w:vAlign w:val="top"/>
          </w:tcPr>
          <w:p w14:paraId="41C292D7">
            <w:pPr>
              <w:tabs>
                <w:tab w:val="left" w:pos="6551"/>
              </w:tabs>
              <w:rPr>
                <w:rFonts w:hint="eastAsia" w:ascii="宋体" w:hAnsi="宋体" w:eastAsia="宋体" w:cs="宋体"/>
                <w:bCs/>
                <w:color w:val="auto"/>
                <w:sz w:val="22"/>
                <w:szCs w:val="22"/>
                <w:highlight w:val="none"/>
              </w:rPr>
            </w:pPr>
          </w:p>
        </w:tc>
      </w:tr>
      <w:tr w14:paraId="6DC59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4EF3F5E5">
            <w:pPr>
              <w:tabs>
                <w:tab w:val="left" w:pos="6551"/>
              </w:tabs>
              <w:rPr>
                <w:rFonts w:hint="eastAsia" w:ascii="宋体" w:hAnsi="宋体" w:eastAsia="宋体" w:cs="宋体"/>
                <w:bCs/>
                <w:color w:val="auto"/>
                <w:sz w:val="22"/>
                <w:szCs w:val="22"/>
                <w:highlight w:val="none"/>
              </w:rPr>
            </w:pPr>
          </w:p>
        </w:tc>
        <w:tc>
          <w:tcPr>
            <w:tcW w:w="1690" w:type="dxa"/>
            <w:vAlign w:val="top"/>
          </w:tcPr>
          <w:p w14:paraId="65DFBC14">
            <w:pPr>
              <w:tabs>
                <w:tab w:val="left" w:pos="6551"/>
              </w:tabs>
              <w:rPr>
                <w:rFonts w:hint="eastAsia" w:ascii="宋体" w:hAnsi="宋体" w:eastAsia="宋体" w:cs="宋体"/>
                <w:bCs/>
                <w:color w:val="auto"/>
                <w:sz w:val="22"/>
                <w:szCs w:val="22"/>
                <w:highlight w:val="none"/>
              </w:rPr>
            </w:pPr>
          </w:p>
        </w:tc>
        <w:tc>
          <w:tcPr>
            <w:tcW w:w="1445" w:type="dxa"/>
            <w:vAlign w:val="top"/>
          </w:tcPr>
          <w:p w14:paraId="2E3811AF">
            <w:pPr>
              <w:tabs>
                <w:tab w:val="left" w:pos="6551"/>
              </w:tabs>
              <w:rPr>
                <w:rFonts w:hint="eastAsia" w:ascii="宋体" w:hAnsi="宋体" w:eastAsia="宋体" w:cs="宋体"/>
                <w:bCs/>
                <w:color w:val="auto"/>
                <w:sz w:val="22"/>
                <w:szCs w:val="22"/>
                <w:highlight w:val="none"/>
              </w:rPr>
            </w:pPr>
          </w:p>
        </w:tc>
        <w:tc>
          <w:tcPr>
            <w:tcW w:w="1440" w:type="dxa"/>
            <w:vAlign w:val="top"/>
          </w:tcPr>
          <w:p w14:paraId="0836791A">
            <w:pPr>
              <w:tabs>
                <w:tab w:val="left" w:pos="6551"/>
              </w:tabs>
              <w:rPr>
                <w:rFonts w:hint="eastAsia" w:ascii="宋体" w:hAnsi="宋体" w:eastAsia="宋体" w:cs="宋体"/>
                <w:bCs/>
                <w:color w:val="auto"/>
                <w:sz w:val="22"/>
                <w:szCs w:val="22"/>
                <w:highlight w:val="none"/>
              </w:rPr>
            </w:pPr>
          </w:p>
        </w:tc>
        <w:tc>
          <w:tcPr>
            <w:tcW w:w="1225" w:type="dxa"/>
            <w:vAlign w:val="top"/>
          </w:tcPr>
          <w:p w14:paraId="45374754">
            <w:pPr>
              <w:tabs>
                <w:tab w:val="left" w:pos="6551"/>
              </w:tabs>
              <w:rPr>
                <w:rFonts w:hint="eastAsia" w:ascii="宋体" w:hAnsi="宋体" w:eastAsia="宋体" w:cs="宋体"/>
                <w:bCs/>
                <w:color w:val="auto"/>
                <w:sz w:val="22"/>
                <w:szCs w:val="22"/>
                <w:highlight w:val="none"/>
              </w:rPr>
            </w:pPr>
          </w:p>
        </w:tc>
        <w:tc>
          <w:tcPr>
            <w:tcW w:w="910" w:type="dxa"/>
            <w:vAlign w:val="top"/>
          </w:tcPr>
          <w:p w14:paraId="0C9E5E64">
            <w:pPr>
              <w:tabs>
                <w:tab w:val="left" w:pos="6551"/>
              </w:tabs>
              <w:rPr>
                <w:rFonts w:hint="eastAsia" w:ascii="宋体" w:hAnsi="宋体" w:eastAsia="宋体" w:cs="宋体"/>
                <w:bCs/>
                <w:color w:val="auto"/>
                <w:sz w:val="22"/>
                <w:szCs w:val="22"/>
                <w:highlight w:val="none"/>
              </w:rPr>
            </w:pPr>
          </w:p>
        </w:tc>
        <w:tc>
          <w:tcPr>
            <w:tcW w:w="1029" w:type="dxa"/>
            <w:vAlign w:val="top"/>
          </w:tcPr>
          <w:p w14:paraId="2EF11041">
            <w:pPr>
              <w:tabs>
                <w:tab w:val="left" w:pos="6551"/>
              </w:tabs>
              <w:rPr>
                <w:rFonts w:hint="eastAsia" w:ascii="宋体" w:hAnsi="宋体" w:eastAsia="宋体" w:cs="宋体"/>
                <w:bCs/>
                <w:color w:val="auto"/>
                <w:sz w:val="22"/>
                <w:szCs w:val="22"/>
                <w:highlight w:val="none"/>
              </w:rPr>
            </w:pPr>
          </w:p>
        </w:tc>
        <w:tc>
          <w:tcPr>
            <w:tcW w:w="1091" w:type="dxa"/>
            <w:vAlign w:val="top"/>
          </w:tcPr>
          <w:p w14:paraId="1723D059">
            <w:pPr>
              <w:tabs>
                <w:tab w:val="left" w:pos="6551"/>
              </w:tabs>
              <w:rPr>
                <w:rFonts w:hint="eastAsia" w:ascii="宋体" w:hAnsi="宋体" w:eastAsia="宋体" w:cs="宋体"/>
                <w:bCs/>
                <w:color w:val="auto"/>
                <w:sz w:val="22"/>
                <w:szCs w:val="22"/>
                <w:highlight w:val="none"/>
              </w:rPr>
            </w:pPr>
          </w:p>
        </w:tc>
      </w:tr>
      <w:tr w14:paraId="7E1E6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63DA436F">
            <w:pPr>
              <w:tabs>
                <w:tab w:val="left" w:pos="6551"/>
              </w:tabs>
              <w:rPr>
                <w:rFonts w:hint="eastAsia" w:ascii="宋体" w:hAnsi="宋体" w:eastAsia="宋体" w:cs="宋体"/>
                <w:bCs/>
                <w:color w:val="auto"/>
                <w:sz w:val="22"/>
                <w:szCs w:val="22"/>
                <w:highlight w:val="none"/>
              </w:rPr>
            </w:pPr>
          </w:p>
        </w:tc>
        <w:tc>
          <w:tcPr>
            <w:tcW w:w="1690" w:type="dxa"/>
            <w:vAlign w:val="top"/>
          </w:tcPr>
          <w:p w14:paraId="500FD740">
            <w:pPr>
              <w:tabs>
                <w:tab w:val="left" w:pos="6551"/>
              </w:tabs>
              <w:rPr>
                <w:rFonts w:hint="eastAsia" w:ascii="宋体" w:hAnsi="宋体" w:eastAsia="宋体" w:cs="宋体"/>
                <w:bCs/>
                <w:color w:val="auto"/>
                <w:sz w:val="22"/>
                <w:szCs w:val="22"/>
                <w:highlight w:val="none"/>
              </w:rPr>
            </w:pPr>
          </w:p>
        </w:tc>
        <w:tc>
          <w:tcPr>
            <w:tcW w:w="1445" w:type="dxa"/>
            <w:vAlign w:val="top"/>
          </w:tcPr>
          <w:p w14:paraId="10885040">
            <w:pPr>
              <w:tabs>
                <w:tab w:val="left" w:pos="6551"/>
              </w:tabs>
              <w:rPr>
                <w:rFonts w:hint="eastAsia" w:ascii="宋体" w:hAnsi="宋体" w:eastAsia="宋体" w:cs="宋体"/>
                <w:bCs/>
                <w:color w:val="auto"/>
                <w:sz w:val="22"/>
                <w:szCs w:val="22"/>
                <w:highlight w:val="none"/>
              </w:rPr>
            </w:pPr>
          </w:p>
        </w:tc>
        <w:tc>
          <w:tcPr>
            <w:tcW w:w="1440" w:type="dxa"/>
            <w:vAlign w:val="top"/>
          </w:tcPr>
          <w:p w14:paraId="01C13747">
            <w:pPr>
              <w:tabs>
                <w:tab w:val="left" w:pos="6551"/>
              </w:tabs>
              <w:rPr>
                <w:rFonts w:hint="eastAsia" w:ascii="宋体" w:hAnsi="宋体" w:eastAsia="宋体" w:cs="宋体"/>
                <w:bCs/>
                <w:color w:val="auto"/>
                <w:sz w:val="22"/>
                <w:szCs w:val="22"/>
                <w:highlight w:val="none"/>
              </w:rPr>
            </w:pPr>
          </w:p>
        </w:tc>
        <w:tc>
          <w:tcPr>
            <w:tcW w:w="1225" w:type="dxa"/>
            <w:vAlign w:val="top"/>
          </w:tcPr>
          <w:p w14:paraId="63CD671E">
            <w:pPr>
              <w:tabs>
                <w:tab w:val="left" w:pos="6551"/>
              </w:tabs>
              <w:rPr>
                <w:rFonts w:hint="eastAsia" w:ascii="宋体" w:hAnsi="宋体" w:eastAsia="宋体" w:cs="宋体"/>
                <w:bCs/>
                <w:color w:val="auto"/>
                <w:sz w:val="22"/>
                <w:szCs w:val="22"/>
                <w:highlight w:val="none"/>
              </w:rPr>
            </w:pPr>
          </w:p>
        </w:tc>
        <w:tc>
          <w:tcPr>
            <w:tcW w:w="910" w:type="dxa"/>
            <w:vAlign w:val="top"/>
          </w:tcPr>
          <w:p w14:paraId="0092E1AC">
            <w:pPr>
              <w:tabs>
                <w:tab w:val="left" w:pos="6551"/>
              </w:tabs>
              <w:rPr>
                <w:rFonts w:hint="eastAsia" w:ascii="宋体" w:hAnsi="宋体" w:eastAsia="宋体" w:cs="宋体"/>
                <w:bCs/>
                <w:color w:val="auto"/>
                <w:sz w:val="22"/>
                <w:szCs w:val="22"/>
                <w:highlight w:val="none"/>
              </w:rPr>
            </w:pPr>
          </w:p>
        </w:tc>
        <w:tc>
          <w:tcPr>
            <w:tcW w:w="1029" w:type="dxa"/>
            <w:vAlign w:val="top"/>
          </w:tcPr>
          <w:p w14:paraId="0707632C">
            <w:pPr>
              <w:tabs>
                <w:tab w:val="left" w:pos="6551"/>
              </w:tabs>
              <w:rPr>
                <w:rFonts w:hint="eastAsia" w:ascii="宋体" w:hAnsi="宋体" w:eastAsia="宋体" w:cs="宋体"/>
                <w:bCs/>
                <w:color w:val="auto"/>
                <w:sz w:val="22"/>
                <w:szCs w:val="22"/>
                <w:highlight w:val="none"/>
              </w:rPr>
            </w:pPr>
          </w:p>
        </w:tc>
        <w:tc>
          <w:tcPr>
            <w:tcW w:w="1091" w:type="dxa"/>
            <w:vAlign w:val="top"/>
          </w:tcPr>
          <w:p w14:paraId="2B5042B3">
            <w:pPr>
              <w:tabs>
                <w:tab w:val="left" w:pos="6551"/>
              </w:tabs>
              <w:rPr>
                <w:rFonts w:hint="eastAsia" w:ascii="宋体" w:hAnsi="宋体" w:eastAsia="宋体" w:cs="宋体"/>
                <w:bCs/>
                <w:color w:val="auto"/>
                <w:sz w:val="22"/>
                <w:szCs w:val="22"/>
                <w:highlight w:val="none"/>
              </w:rPr>
            </w:pPr>
          </w:p>
        </w:tc>
      </w:tr>
      <w:tr w14:paraId="1C2F6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036BE34C">
            <w:pPr>
              <w:tabs>
                <w:tab w:val="left" w:pos="6551"/>
              </w:tabs>
              <w:rPr>
                <w:rFonts w:hint="eastAsia" w:ascii="宋体" w:hAnsi="宋体" w:eastAsia="宋体" w:cs="宋体"/>
                <w:bCs/>
                <w:color w:val="auto"/>
                <w:sz w:val="22"/>
                <w:szCs w:val="22"/>
                <w:highlight w:val="none"/>
              </w:rPr>
            </w:pPr>
          </w:p>
        </w:tc>
        <w:tc>
          <w:tcPr>
            <w:tcW w:w="1690" w:type="dxa"/>
            <w:vAlign w:val="top"/>
          </w:tcPr>
          <w:p w14:paraId="570E6CA3">
            <w:pPr>
              <w:tabs>
                <w:tab w:val="left" w:pos="6551"/>
              </w:tabs>
              <w:rPr>
                <w:rFonts w:hint="eastAsia" w:ascii="宋体" w:hAnsi="宋体" w:eastAsia="宋体" w:cs="宋体"/>
                <w:bCs/>
                <w:color w:val="auto"/>
                <w:sz w:val="22"/>
                <w:szCs w:val="22"/>
                <w:highlight w:val="none"/>
              </w:rPr>
            </w:pPr>
          </w:p>
        </w:tc>
        <w:tc>
          <w:tcPr>
            <w:tcW w:w="1445" w:type="dxa"/>
            <w:vAlign w:val="top"/>
          </w:tcPr>
          <w:p w14:paraId="025C68AC">
            <w:pPr>
              <w:tabs>
                <w:tab w:val="left" w:pos="6551"/>
              </w:tabs>
              <w:rPr>
                <w:rFonts w:hint="eastAsia" w:ascii="宋体" w:hAnsi="宋体" w:eastAsia="宋体" w:cs="宋体"/>
                <w:bCs/>
                <w:color w:val="auto"/>
                <w:sz w:val="22"/>
                <w:szCs w:val="22"/>
                <w:highlight w:val="none"/>
              </w:rPr>
            </w:pPr>
          </w:p>
        </w:tc>
        <w:tc>
          <w:tcPr>
            <w:tcW w:w="1440" w:type="dxa"/>
            <w:vAlign w:val="top"/>
          </w:tcPr>
          <w:p w14:paraId="13D86DD0">
            <w:pPr>
              <w:tabs>
                <w:tab w:val="left" w:pos="6551"/>
              </w:tabs>
              <w:rPr>
                <w:rFonts w:hint="eastAsia" w:ascii="宋体" w:hAnsi="宋体" w:eastAsia="宋体" w:cs="宋体"/>
                <w:bCs/>
                <w:color w:val="auto"/>
                <w:sz w:val="22"/>
                <w:szCs w:val="22"/>
                <w:highlight w:val="none"/>
              </w:rPr>
            </w:pPr>
          </w:p>
        </w:tc>
        <w:tc>
          <w:tcPr>
            <w:tcW w:w="1225" w:type="dxa"/>
            <w:vAlign w:val="top"/>
          </w:tcPr>
          <w:p w14:paraId="571E331B">
            <w:pPr>
              <w:tabs>
                <w:tab w:val="left" w:pos="6551"/>
              </w:tabs>
              <w:rPr>
                <w:rFonts w:hint="eastAsia" w:ascii="宋体" w:hAnsi="宋体" w:eastAsia="宋体" w:cs="宋体"/>
                <w:bCs/>
                <w:color w:val="auto"/>
                <w:sz w:val="22"/>
                <w:szCs w:val="22"/>
                <w:highlight w:val="none"/>
              </w:rPr>
            </w:pPr>
          </w:p>
        </w:tc>
        <w:tc>
          <w:tcPr>
            <w:tcW w:w="910" w:type="dxa"/>
            <w:vAlign w:val="top"/>
          </w:tcPr>
          <w:p w14:paraId="64DDC9B4">
            <w:pPr>
              <w:tabs>
                <w:tab w:val="left" w:pos="6551"/>
              </w:tabs>
              <w:rPr>
                <w:rFonts w:hint="eastAsia" w:ascii="宋体" w:hAnsi="宋体" w:eastAsia="宋体" w:cs="宋体"/>
                <w:bCs/>
                <w:color w:val="auto"/>
                <w:sz w:val="22"/>
                <w:szCs w:val="22"/>
                <w:highlight w:val="none"/>
              </w:rPr>
            </w:pPr>
          </w:p>
        </w:tc>
        <w:tc>
          <w:tcPr>
            <w:tcW w:w="1029" w:type="dxa"/>
            <w:vAlign w:val="top"/>
          </w:tcPr>
          <w:p w14:paraId="1DE49EC6">
            <w:pPr>
              <w:tabs>
                <w:tab w:val="left" w:pos="6551"/>
              </w:tabs>
              <w:rPr>
                <w:rFonts w:hint="eastAsia" w:ascii="宋体" w:hAnsi="宋体" w:eastAsia="宋体" w:cs="宋体"/>
                <w:bCs/>
                <w:color w:val="auto"/>
                <w:sz w:val="22"/>
                <w:szCs w:val="22"/>
                <w:highlight w:val="none"/>
              </w:rPr>
            </w:pPr>
          </w:p>
        </w:tc>
        <w:tc>
          <w:tcPr>
            <w:tcW w:w="1091" w:type="dxa"/>
            <w:vAlign w:val="top"/>
          </w:tcPr>
          <w:p w14:paraId="427E3C5A">
            <w:pPr>
              <w:tabs>
                <w:tab w:val="left" w:pos="6551"/>
              </w:tabs>
              <w:rPr>
                <w:rFonts w:hint="eastAsia" w:ascii="宋体" w:hAnsi="宋体" w:eastAsia="宋体" w:cs="宋体"/>
                <w:bCs/>
                <w:color w:val="auto"/>
                <w:sz w:val="22"/>
                <w:szCs w:val="22"/>
                <w:highlight w:val="none"/>
              </w:rPr>
            </w:pPr>
          </w:p>
        </w:tc>
      </w:tr>
      <w:tr w14:paraId="5CAC5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6A4A8ECE">
            <w:pPr>
              <w:tabs>
                <w:tab w:val="left" w:pos="6551"/>
              </w:tabs>
              <w:rPr>
                <w:rFonts w:hint="eastAsia" w:ascii="宋体" w:hAnsi="宋体" w:eastAsia="宋体" w:cs="宋体"/>
                <w:bCs/>
                <w:color w:val="auto"/>
                <w:sz w:val="22"/>
                <w:szCs w:val="22"/>
                <w:highlight w:val="none"/>
              </w:rPr>
            </w:pPr>
          </w:p>
        </w:tc>
        <w:tc>
          <w:tcPr>
            <w:tcW w:w="1690" w:type="dxa"/>
            <w:vAlign w:val="top"/>
          </w:tcPr>
          <w:p w14:paraId="08FE67EC">
            <w:pPr>
              <w:tabs>
                <w:tab w:val="left" w:pos="6551"/>
              </w:tabs>
              <w:rPr>
                <w:rFonts w:hint="eastAsia" w:ascii="宋体" w:hAnsi="宋体" w:eastAsia="宋体" w:cs="宋体"/>
                <w:bCs/>
                <w:color w:val="auto"/>
                <w:sz w:val="22"/>
                <w:szCs w:val="22"/>
                <w:highlight w:val="none"/>
              </w:rPr>
            </w:pPr>
          </w:p>
        </w:tc>
        <w:tc>
          <w:tcPr>
            <w:tcW w:w="1445" w:type="dxa"/>
            <w:vAlign w:val="top"/>
          </w:tcPr>
          <w:p w14:paraId="3BFD56A3">
            <w:pPr>
              <w:tabs>
                <w:tab w:val="left" w:pos="6551"/>
              </w:tabs>
              <w:rPr>
                <w:rFonts w:hint="eastAsia" w:ascii="宋体" w:hAnsi="宋体" w:eastAsia="宋体" w:cs="宋体"/>
                <w:bCs/>
                <w:color w:val="auto"/>
                <w:sz w:val="22"/>
                <w:szCs w:val="22"/>
                <w:highlight w:val="none"/>
              </w:rPr>
            </w:pPr>
          </w:p>
        </w:tc>
        <w:tc>
          <w:tcPr>
            <w:tcW w:w="1440" w:type="dxa"/>
            <w:vAlign w:val="top"/>
          </w:tcPr>
          <w:p w14:paraId="7EFD8006">
            <w:pPr>
              <w:tabs>
                <w:tab w:val="left" w:pos="6551"/>
              </w:tabs>
              <w:rPr>
                <w:rFonts w:hint="eastAsia" w:ascii="宋体" w:hAnsi="宋体" w:eastAsia="宋体" w:cs="宋体"/>
                <w:bCs/>
                <w:color w:val="auto"/>
                <w:sz w:val="22"/>
                <w:szCs w:val="22"/>
                <w:highlight w:val="none"/>
              </w:rPr>
            </w:pPr>
          </w:p>
        </w:tc>
        <w:tc>
          <w:tcPr>
            <w:tcW w:w="1225" w:type="dxa"/>
            <w:vAlign w:val="top"/>
          </w:tcPr>
          <w:p w14:paraId="209C8190">
            <w:pPr>
              <w:tabs>
                <w:tab w:val="left" w:pos="6551"/>
              </w:tabs>
              <w:rPr>
                <w:rFonts w:hint="eastAsia" w:ascii="宋体" w:hAnsi="宋体" w:eastAsia="宋体" w:cs="宋体"/>
                <w:bCs/>
                <w:color w:val="auto"/>
                <w:sz w:val="22"/>
                <w:szCs w:val="22"/>
                <w:highlight w:val="none"/>
              </w:rPr>
            </w:pPr>
          </w:p>
        </w:tc>
        <w:tc>
          <w:tcPr>
            <w:tcW w:w="910" w:type="dxa"/>
            <w:vAlign w:val="top"/>
          </w:tcPr>
          <w:p w14:paraId="1612E5F0">
            <w:pPr>
              <w:tabs>
                <w:tab w:val="left" w:pos="6551"/>
              </w:tabs>
              <w:rPr>
                <w:rFonts w:hint="eastAsia" w:ascii="宋体" w:hAnsi="宋体" w:eastAsia="宋体" w:cs="宋体"/>
                <w:bCs/>
                <w:color w:val="auto"/>
                <w:sz w:val="22"/>
                <w:szCs w:val="22"/>
                <w:highlight w:val="none"/>
              </w:rPr>
            </w:pPr>
          </w:p>
        </w:tc>
        <w:tc>
          <w:tcPr>
            <w:tcW w:w="1029" w:type="dxa"/>
            <w:vAlign w:val="top"/>
          </w:tcPr>
          <w:p w14:paraId="00344DBF">
            <w:pPr>
              <w:tabs>
                <w:tab w:val="left" w:pos="6551"/>
              </w:tabs>
              <w:rPr>
                <w:rFonts w:hint="eastAsia" w:ascii="宋体" w:hAnsi="宋体" w:eastAsia="宋体" w:cs="宋体"/>
                <w:bCs/>
                <w:color w:val="auto"/>
                <w:sz w:val="22"/>
                <w:szCs w:val="22"/>
                <w:highlight w:val="none"/>
              </w:rPr>
            </w:pPr>
          </w:p>
        </w:tc>
        <w:tc>
          <w:tcPr>
            <w:tcW w:w="1091" w:type="dxa"/>
            <w:vAlign w:val="top"/>
          </w:tcPr>
          <w:p w14:paraId="03588EDD">
            <w:pPr>
              <w:tabs>
                <w:tab w:val="left" w:pos="6551"/>
              </w:tabs>
              <w:rPr>
                <w:rFonts w:hint="eastAsia" w:ascii="宋体" w:hAnsi="宋体" w:eastAsia="宋体" w:cs="宋体"/>
                <w:bCs/>
                <w:color w:val="auto"/>
                <w:sz w:val="22"/>
                <w:szCs w:val="22"/>
                <w:highlight w:val="none"/>
              </w:rPr>
            </w:pPr>
          </w:p>
        </w:tc>
      </w:tr>
      <w:tr w14:paraId="12869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734E33E8">
            <w:pPr>
              <w:tabs>
                <w:tab w:val="left" w:pos="6551"/>
              </w:tabs>
              <w:rPr>
                <w:rFonts w:hint="eastAsia" w:ascii="宋体" w:hAnsi="宋体" w:eastAsia="宋体" w:cs="宋体"/>
                <w:bCs/>
                <w:color w:val="auto"/>
                <w:sz w:val="22"/>
                <w:szCs w:val="22"/>
                <w:highlight w:val="none"/>
              </w:rPr>
            </w:pPr>
          </w:p>
        </w:tc>
        <w:tc>
          <w:tcPr>
            <w:tcW w:w="1690" w:type="dxa"/>
            <w:vAlign w:val="top"/>
          </w:tcPr>
          <w:p w14:paraId="41F0C869">
            <w:pPr>
              <w:tabs>
                <w:tab w:val="left" w:pos="6551"/>
              </w:tabs>
              <w:rPr>
                <w:rFonts w:hint="eastAsia" w:ascii="宋体" w:hAnsi="宋体" w:eastAsia="宋体" w:cs="宋体"/>
                <w:bCs/>
                <w:color w:val="auto"/>
                <w:sz w:val="22"/>
                <w:szCs w:val="22"/>
                <w:highlight w:val="none"/>
              </w:rPr>
            </w:pPr>
          </w:p>
        </w:tc>
        <w:tc>
          <w:tcPr>
            <w:tcW w:w="1445" w:type="dxa"/>
            <w:vAlign w:val="top"/>
          </w:tcPr>
          <w:p w14:paraId="6DA06B72">
            <w:pPr>
              <w:tabs>
                <w:tab w:val="left" w:pos="6551"/>
              </w:tabs>
              <w:rPr>
                <w:rFonts w:hint="eastAsia" w:ascii="宋体" w:hAnsi="宋体" w:eastAsia="宋体" w:cs="宋体"/>
                <w:bCs/>
                <w:color w:val="auto"/>
                <w:sz w:val="22"/>
                <w:szCs w:val="22"/>
                <w:highlight w:val="none"/>
              </w:rPr>
            </w:pPr>
          </w:p>
        </w:tc>
        <w:tc>
          <w:tcPr>
            <w:tcW w:w="1440" w:type="dxa"/>
            <w:vAlign w:val="top"/>
          </w:tcPr>
          <w:p w14:paraId="4B0931F9">
            <w:pPr>
              <w:tabs>
                <w:tab w:val="left" w:pos="6551"/>
              </w:tabs>
              <w:rPr>
                <w:rFonts w:hint="eastAsia" w:ascii="宋体" w:hAnsi="宋体" w:eastAsia="宋体" w:cs="宋体"/>
                <w:bCs/>
                <w:color w:val="auto"/>
                <w:sz w:val="22"/>
                <w:szCs w:val="22"/>
                <w:highlight w:val="none"/>
              </w:rPr>
            </w:pPr>
          </w:p>
        </w:tc>
        <w:tc>
          <w:tcPr>
            <w:tcW w:w="1225" w:type="dxa"/>
            <w:vAlign w:val="top"/>
          </w:tcPr>
          <w:p w14:paraId="4ECDB607">
            <w:pPr>
              <w:tabs>
                <w:tab w:val="left" w:pos="6551"/>
              </w:tabs>
              <w:rPr>
                <w:rFonts w:hint="eastAsia" w:ascii="宋体" w:hAnsi="宋体" w:eastAsia="宋体" w:cs="宋体"/>
                <w:bCs/>
                <w:color w:val="auto"/>
                <w:sz w:val="22"/>
                <w:szCs w:val="22"/>
                <w:highlight w:val="none"/>
              </w:rPr>
            </w:pPr>
          </w:p>
        </w:tc>
        <w:tc>
          <w:tcPr>
            <w:tcW w:w="910" w:type="dxa"/>
            <w:vAlign w:val="top"/>
          </w:tcPr>
          <w:p w14:paraId="7C9AE5FE">
            <w:pPr>
              <w:tabs>
                <w:tab w:val="left" w:pos="6551"/>
              </w:tabs>
              <w:rPr>
                <w:rFonts w:hint="eastAsia" w:ascii="宋体" w:hAnsi="宋体" w:eastAsia="宋体" w:cs="宋体"/>
                <w:bCs/>
                <w:color w:val="auto"/>
                <w:sz w:val="22"/>
                <w:szCs w:val="22"/>
                <w:highlight w:val="none"/>
              </w:rPr>
            </w:pPr>
          </w:p>
        </w:tc>
        <w:tc>
          <w:tcPr>
            <w:tcW w:w="1029" w:type="dxa"/>
            <w:vAlign w:val="top"/>
          </w:tcPr>
          <w:p w14:paraId="2C30ED2B">
            <w:pPr>
              <w:tabs>
                <w:tab w:val="left" w:pos="6551"/>
              </w:tabs>
              <w:rPr>
                <w:rFonts w:hint="eastAsia" w:ascii="宋体" w:hAnsi="宋体" w:eastAsia="宋体" w:cs="宋体"/>
                <w:bCs/>
                <w:color w:val="auto"/>
                <w:sz w:val="22"/>
                <w:szCs w:val="22"/>
                <w:highlight w:val="none"/>
              </w:rPr>
            </w:pPr>
          </w:p>
        </w:tc>
        <w:tc>
          <w:tcPr>
            <w:tcW w:w="1091" w:type="dxa"/>
            <w:vAlign w:val="top"/>
          </w:tcPr>
          <w:p w14:paraId="01B52497">
            <w:pPr>
              <w:tabs>
                <w:tab w:val="left" w:pos="6551"/>
              </w:tabs>
              <w:rPr>
                <w:rFonts w:hint="eastAsia" w:ascii="宋体" w:hAnsi="宋体" w:eastAsia="宋体" w:cs="宋体"/>
                <w:bCs/>
                <w:color w:val="auto"/>
                <w:sz w:val="22"/>
                <w:szCs w:val="22"/>
                <w:highlight w:val="none"/>
              </w:rPr>
            </w:pPr>
          </w:p>
        </w:tc>
      </w:tr>
      <w:tr w14:paraId="72BE0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107E790C">
            <w:pPr>
              <w:tabs>
                <w:tab w:val="left" w:pos="6551"/>
              </w:tabs>
              <w:rPr>
                <w:rFonts w:hint="eastAsia" w:ascii="宋体" w:hAnsi="宋体" w:eastAsia="宋体" w:cs="宋体"/>
                <w:bCs/>
                <w:color w:val="auto"/>
                <w:sz w:val="22"/>
                <w:szCs w:val="22"/>
                <w:highlight w:val="none"/>
              </w:rPr>
            </w:pPr>
          </w:p>
        </w:tc>
        <w:tc>
          <w:tcPr>
            <w:tcW w:w="1690" w:type="dxa"/>
            <w:vAlign w:val="top"/>
          </w:tcPr>
          <w:p w14:paraId="2806BEF6">
            <w:pPr>
              <w:tabs>
                <w:tab w:val="left" w:pos="6551"/>
              </w:tabs>
              <w:rPr>
                <w:rFonts w:hint="eastAsia" w:ascii="宋体" w:hAnsi="宋体" w:eastAsia="宋体" w:cs="宋体"/>
                <w:bCs/>
                <w:color w:val="auto"/>
                <w:sz w:val="22"/>
                <w:szCs w:val="22"/>
                <w:highlight w:val="none"/>
              </w:rPr>
            </w:pPr>
          </w:p>
        </w:tc>
        <w:tc>
          <w:tcPr>
            <w:tcW w:w="1445" w:type="dxa"/>
            <w:vAlign w:val="top"/>
          </w:tcPr>
          <w:p w14:paraId="2859FB68">
            <w:pPr>
              <w:tabs>
                <w:tab w:val="left" w:pos="6551"/>
              </w:tabs>
              <w:rPr>
                <w:rFonts w:hint="eastAsia" w:ascii="宋体" w:hAnsi="宋体" w:eastAsia="宋体" w:cs="宋体"/>
                <w:bCs/>
                <w:color w:val="auto"/>
                <w:sz w:val="22"/>
                <w:szCs w:val="22"/>
                <w:highlight w:val="none"/>
              </w:rPr>
            </w:pPr>
          </w:p>
        </w:tc>
        <w:tc>
          <w:tcPr>
            <w:tcW w:w="1440" w:type="dxa"/>
            <w:vAlign w:val="top"/>
          </w:tcPr>
          <w:p w14:paraId="5B55AC62">
            <w:pPr>
              <w:tabs>
                <w:tab w:val="left" w:pos="6551"/>
              </w:tabs>
              <w:rPr>
                <w:rFonts w:hint="eastAsia" w:ascii="宋体" w:hAnsi="宋体" w:eastAsia="宋体" w:cs="宋体"/>
                <w:bCs/>
                <w:color w:val="auto"/>
                <w:sz w:val="22"/>
                <w:szCs w:val="22"/>
                <w:highlight w:val="none"/>
              </w:rPr>
            </w:pPr>
          </w:p>
        </w:tc>
        <w:tc>
          <w:tcPr>
            <w:tcW w:w="1225" w:type="dxa"/>
            <w:vAlign w:val="top"/>
          </w:tcPr>
          <w:p w14:paraId="1EC5A859">
            <w:pPr>
              <w:tabs>
                <w:tab w:val="left" w:pos="6551"/>
              </w:tabs>
              <w:rPr>
                <w:rFonts w:hint="eastAsia" w:ascii="宋体" w:hAnsi="宋体" w:eastAsia="宋体" w:cs="宋体"/>
                <w:bCs/>
                <w:color w:val="auto"/>
                <w:sz w:val="22"/>
                <w:szCs w:val="22"/>
                <w:highlight w:val="none"/>
              </w:rPr>
            </w:pPr>
          </w:p>
        </w:tc>
        <w:tc>
          <w:tcPr>
            <w:tcW w:w="910" w:type="dxa"/>
            <w:vAlign w:val="top"/>
          </w:tcPr>
          <w:p w14:paraId="1A4610BA">
            <w:pPr>
              <w:tabs>
                <w:tab w:val="left" w:pos="6551"/>
              </w:tabs>
              <w:rPr>
                <w:rFonts w:hint="eastAsia" w:ascii="宋体" w:hAnsi="宋体" w:eastAsia="宋体" w:cs="宋体"/>
                <w:bCs/>
                <w:color w:val="auto"/>
                <w:sz w:val="22"/>
                <w:szCs w:val="22"/>
                <w:highlight w:val="none"/>
              </w:rPr>
            </w:pPr>
          </w:p>
        </w:tc>
        <w:tc>
          <w:tcPr>
            <w:tcW w:w="1029" w:type="dxa"/>
            <w:vAlign w:val="top"/>
          </w:tcPr>
          <w:p w14:paraId="422E0DF6">
            <w:pPr>
              <w:tabs>
                <w:tab w:val="left" w:pos="6551"/>
              </w:tabs>
              <w:rPr>
                <w:rFonts w:hint="eastAsia" w:ascii="宋体" w:hAnsi="宋体" w:eastAsia="宋体" w:cs="宋体"/>
                <w:bCs/>
                <w:color w:val="auto"/>
                <w:sz w:val="22"/>
                <w:szCs w:val="22"/>
                <w:highlight w:val="none"/>
              </w:rPr>
            </w:pPr>
          </w:p>
        </w:tc>
        <w:tc>
          <w:tcPr>
            <w:tcW w:w="1091" w:type="dxa"/>
            <w:vAlign w:val="top"/>
          </w:tcPr>
          <w:p w14:paraId="69D249AD">
            <w:pPr>
              <w:tabs>
                <w:tab w:val="left" w:pos="6551"/>
              </w:tabs>
              <w:rPr>
                <w:rFonts w:hint="eastAsia" w:ascii="宋体" w:hAnsi="宋体" w:eastAsia="宋体" w:cs="宋体"/>
                <w:bCs/>
                <w:color w:val="auto"/>
                <w:sz w:val="22"/>
                <w:szCs w:val="22"/>
                <w:highlight w:val="none"/>
              </w:rPr>
            </w:pPr>
          </w:p>
        </w:tc>
      </w:tr>
      <w:tr w14:paraId="78A9C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434840A8">
            <w:pPr>
              <w:tabs>
                <w:tab w:val="left" w:pos="6551"/>
              </w:tabs>
              <w:rPr>
                <w:rFonts w:hint="eastAsia" w:ascii="宋体" w:hAnsi="宋体" w:eastAsia="宋体" w:cs="宋体"/>
                <w:bCs/>
                <w:color w:val="auto"/>
                <w:sz w:val="22"/>
                <w:szCs w:val="22"/>
                <w:highlight w:val="none"/>
              </w:rPr>
            </w:pPr>
          </w:p>
        </w:tc>
        <w:tc>
          <w:tcPr>
            <w:tcW w:w="1690" w:type="dxa"/>
            <w:vAlign w:val="top"/>
          </w:tcPr>
          <w:p w14:paraId="103267DE">
            <w:pPr>
              <w:tabs>
                <w:tab w:val="left" w:pos="6551"/>
              </w:tabs>
              <w:rPr>
                <w:rFonts w:hint="eastAsia" w:ascii="宋体" w:hAnsi="宋体" w:eastAsia="宋体" w:cs="宋体"/>
                <w:bCs/>
                <w:color w:val="auto"/>
                <w:sz w:val="22"/>
                <w:szCs w:val="22"/>
                <w:highlight w:val="none"/>
              </w:rPr>
            </w:pPr>
          </w:p>
        </w:tc>
        <w:tc>
          <w:tcPr>
            <w:tcW w:w="1445" w:type="dxa"/>
            <w:vAlign w:val="top"/>
          </w:tcPr>
          <w:p w14:paraId="26D2452C">
            <w:pPr>
              <w:tabs>
                <w:tab w:val="left" w:pos="6551"/>
              </w:tabs>
              <w:rPr>
                <w:rFonts w:hint="eastAsia" w:ascii="宋体" w:hAnsi="宋体" w:eastAsia="宋体" w:cs="宋体"/>
                <w:bCs/>
                <w:color w:val="auto"/>
                <w:sz w:val="22"/>
                <w:szCs w:val="22"/>
                <w:highlight w:val="none"/>
              </w:rPr>
            </w:pPr>
          </w:p>
        </w:tc>
        <w:tc>
          <w:tcPr>
            <w:tcW w:w="1440" w:type="dxa"/>
            <w:vAlign w:val="top"/>
          </w:tcPr>
          <w:p w14:paraId="2B76D132">
            <w:pPr>
              <w:tabs>
                <w:tab w:val="left" w:pos="6551"/>
              </w:tabs>
              <w:rPr>
                <w:rFonts w:hint="eastAsia" w:ascii="宋体" w:hAnsi="宋体" w:eastAsia="宋体" w:cs="宋体"/>
                <w:bCs/>
                <w:color w:val="auto"/>
                <w:sz w:val="22"/>
                <w:szCs w:val="22"/>
                <w:highlight w:val="none"/>
              </w:rPr>
            </w:pPr>
          </w:p>
        </w:tc>
        <w:tc>
          <w:tcPr>
            <w:tcW w:w="1225" w:type="dxa"/>
            <w:vAlign w:val="top"/>
          </w:tcPr>
          <w:p w14:paraId="54476926">
            <w:pPr>
              <w:tabs>
                <w:tab w:val="left" w:pos="6551"/>
              </w:tabs>
              <w:rPr>
                <w:rFonts w:hint="eastAsia" w:ascii="宋体" w:hAnsi="宋体" w:eastAsia="宋体" w:cs="宋体"/>
                <w:bCs/>
                <w:color w:val="auto"/>
                <w:sz w:val="22"/>
                <w:szCs w:val="22"/>
                <w:highlight w:val="none"/>
              </w:rPr>
            </w:pPr>
          </w:p>
        </w:tc>
        <w:tc>
          <w:tcPr>
            <w:tcW w:w="910" w:type="dxa"/>
            <w:vAlign w:val="top"/>
          </w:tcPr>
          <w:p w14:paraId="220179C8">
            <w:pPr>
              <w:tabs>
                <w:tab w:val="left" w:pos="6551"/>
              </w:tabs>
              <w:rPr>
                <w:rFonts w:hint="eastAsia" w:ascii="宋体" w:hAnsi="宋体" w:eastAsia="宋体" w:cs="宋体"/>
                <w:bCs/>
                <w:color w:val="auto"/>
                <w:sz w:val="22"/>
                <w:szCs w:val="22"/>
                <w:highlight w:val="none"/>
              </w:rPr>
            </w:pPr>
          </w:p>
        </w:tc>
        <w:tc>
          <w:tcPr>
            <w:tcW w:w="1029" w:type="dxa"/>
            <w:vAlign w:val="top"/>
          </w:tcPr>
          <w:p w14:paraId="1E49F023">
            <w:pPr>
              <w:tabs>
                <w:tab w:val="left" w:pos="6551"/>
              </w:tabs>
              <w:rPr>
                <w:rFonts w:hint="eastAsia" w:ascii="宋体" w:hAnsi="宋体" w:eastAsia="宋体" w:cs="宋体"/>
                <w:bCs/>
                <w:color w:val="auto"/>
                <w:sz w:val="22"/>
                <w:szCs w:val="22"/>
                <w:highlight w:val="none"/>
              </w:rPr>
            </w:pPr>
          </w:p>
        </w:tc>
        <w:tc>
          <w:tcPr>
            <w:tcW w:w="1091" w:type="dxa"/>
            <w:vAlign w:val="top"/>
          </w:tcPr>
          <w:p w14:paraId="152EB4D6">
            <w:pPr>
              <w:tabs>
                <w:tab w:val="left" w:pos="6551"/>
              </w:tabs>
              <w:rPr>
                <w:rFonts w:hint="eastAsia" w:ascii="宋体" w:hAnsi="宋体" w:eastAsia="宋体" w:cs="宋体"/>
                <w:bCs/>
                <w:color w:val="auto"/>
                <w:sz w:val="22"/>
                <w:szCs w:val="22"/>
                <w:highlight w:val="none"/>
              </w:rPr>
            </w:pPr>
          </w:p>
        </w:tc>
      </w:tr>
      <w:tr w14:paraId="3B4F0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4EA78471">
            <w:pPr>
              <w:tabs>
                <w:tab w:val="left" w:pos="6551"/>
              </w:tabs>
              <w:rPr>
                <w:rFonts w:hint="eastAsia" w:ascii="宋体" w:hAnsi="宋体" w:eastAsia="宋体" w:cs="宋体"/>
                <w:bCs/>
                <w:color w:val="auto"/>
                <w:sz w:val="22"/>
                <w:szCs w:val="22"/>
                <w:highlight w:val="none"/>
              </w:rPr>
            </w:pPr>
          </w:p>
        </w:tc>
        <w:tc>
          <w:tcPr>
            <w:tcW w:w="1690" w:type="dxa"/>
            <w:vAlign w:val="top"/>
          </w:tcPr>
          <w:p w14:paraId="15E45157">
            <w:pPr>
              <w:tabs>
                <w:tab w:val="left" w:pos="6551"/>
              </w:tabs>
              <w:rPr>
                <w:rFonts w:hint="eastAsia" w:ascii="宋体" w:hAnsi="宋体" w:eastAsia="宋体" w:cs="宋体"/>
                <w:bCs/>
                <w:color w:val="auto"/>
                <w:sz w:val="22"/>
                <w:szCs w:val="22"/>
                <w:highlight w:val="none"/>
              </w:rPr>
            </w:pPr>
          </w:p>
        </w:tc>
        <w:tc>
          <w:tcPr>
            <w:tcW w:w="1445" w:type="dxa"/>
            <w:vAlign w:val="top"/>
          </w:tcPr>
          <w:p w14:paraId="560F4C25">
            <w:pPr>
              <w:tabs>
                <w:tab w:val="left" w:pos="6551"/>
              </w:tabs>
              <w:rPr>
                <w:rFonts w:hint="eastAsia" w:ascii="宋体" w:hAnsi="宋体" w:eastAsia="宋体" w:cs="宋体"/>
                <w:bCs/>
                <w:color w:val="auto"/>
                <w:sz w:val="22"/>
                <w:szCs w:val="22"/>
                <w:highlight w:val="none"/>
              </w:rPr>
            </w:pPr>
          </w:p>
        </w:tc>
        <w:tc>
          <w:tcPr>
            <w:tcW w:w="1440" w:type="dxa"/>
            <w:vAlign w:val="top"/>
          </w:tcPr>
          <w:p w14:paraId="66F18A1B">
            <w:pPr>
              <w:tabs>
                <w:tab w:val="left" w:pos="6551"/>
              </w:tabs>
              <w:rPr>
                <w:rFonts w:hint="eastAsia" w:ascii="宋体" w:hAnsi="宋体" w:eastAsia="宋体" w:cs="宋体"/>
                <w:bCs/>
                <w:color w:val="auto"/>
                <w:sz w:val="22"/>
                <w:szCs w:val="22"/>
                <w:highlight w:val="none"/>
              </w:rPr>
            </w:pPr>
          </w:p>
        </w:tc>
        <w:tc>
          <w:tcPr>
            <w:tcW w:w="1225" w:type="dxa"/>
            <w:vAlign w:val="top"/>
          </w:tcPr>
          <w:p w14:paraId="4F191E33">
            <w:pPr>
              <w:tabs>
                <w:tab w:val="left" w:pos="6551"/>
              </w:tabs>
              <w:rPr>
                <w:rFonts w:hint="eastAsia" w:ascii="宋体" w:hAnsi="宋体" w:eastAsia="宋体" w:cs="宋体"/>
                <w:bCs/>
                <w:color w:val="auto"/>
                <w:sz w:val="22"/>
                <w:szCs w:val="22"/>
                <w:highlight w:val="none"/>
              </w:rPr>
            </w:pPr>
          </w:p>
        </w:tc>
        <w:tc>
          <w:tcPr>
            <w:tcW w:w="910" w:type="dxa"/>
            <w:vAlign w:val="top"/>
          </w:tcPr>
          <w:p w14:paraId="4F967237">
            <w:pPr>
              <w:tabs>
                <w:tab w:val="left" w:pos="6551"/>
              </w:tabs>
              <w:rPr>
                <w:rFonts w:hint="eastAsia" w:ascii="宋体" w:hAnsi="宋体" w:eastAsia="宋体" w:cs="宋体"/>
                <w:bCs/>
                <w:color w:val="auto"/>
                <w:sz w:val="22"/>
                <w:szCs w:val="22"/>
                <w:highlight w:val="none"/>
              </w:rPr>
            </w:pPr>
          </w:p>
        </w:tc>
        <w:tc>
          <w:tcPr>
            <w:tcW w:w="1029" w:type="dxa"/>
            <w:vAlign w:val="top"/>
          </w:tcPr>
          <w:p w14:paraId="22E31520">
            <w:pPr>
              <w:tabs>
                <w:tab w:val="left" w:pos="6551"/>
              </w:tabs>
              <w:rPr>
                <w:rFonts w:hint="eastAsia" w:ascii="宋体" w:hAnsi="宋体" w:eastAsia="宋体" w:cs="宋体"/>
                <w:bCs/>
                <w:color w:val="auto"/>
                <w:sz w:val="22"/>
                <w:szCs w:val="22"/>
                <w:highlight w:val="none"/>
              </w:rPr>
            </w:pPr>
          </w:p>
        </w:tc>
        <w:tc>
          <w:tcPr>
            <w:tcW w:w="1091" w:type="dxa"/>
            <w:vAlign w:val="top"/>
          </w:tcPr>
          <w:p w14:paraId="35C2FD70">
            <w:pPr>
              <w:tabs>
                <w:tab w:val="left" w:pos="6551"/>
              </w:tabs>
              <w:rPr>
                <w:rFonts w:hint="eastAsia" w:ascii="宋体" w:hAnsi="宋体" w:eastAsia="宋体" w:cs="宋体"/>
                <w:bCs/>
                <w:color w:val="auto"/>
                <w:sz w:val="22"/>
                <w:szCs w:val="22"/>
                <w:highlight w:val="none"/>
              </w:rPr>
            </w:pPr>
          </w:p>
        </w:tc>
      </w:tr>
      <w:tr w14:paraId="08CC2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2653C83F">
            <w:pPr>
              <w:tabs>
                <w:tab w:val="left" w:pos="6551"/>
              </w:tabs>
              <w:rPr>
                <w:rFonts w:hint="eastAsia" w:ascii="宋体" w:hAnsi="宋体" w:eastAsia="宋体" w:cs="宋体"/>
                <w:bCs/>
                <w:color w:val="auto"/>
                <w:sz w:val="22"/>
                <w:szCs w:val="22"/>
                <w:highlight w:val="none"/>
              </w:rPr>
            </w:pPr>
          </w:p>
        </w:tc>
        <w:tc>
          <w:tcPr>
            <w:tcW w:w="1690" w:type="dxa"/>
            <w:vAlign w:val="top"/>
          </w:tcPr>
          <w:p w14:paraId="3F6BD9D7">
            <w:pPr>
              <w:tabs>
                <w:tab w:val="left" w:pos="6551"/>
              </w:tabs>
              <w:rPr>
                <w:rFonts w:hint="eastAsia" w:ascii="宋体" w:hAnsi="宋体" w:eastAsia="宋体" w:cs="宋体"/>
                <w:bCs/>
                <w:color w:val="auto"/>
                <w:sz w:val="22"/>
                <w:szCs w:val="22"/>
                <w:highlight w:val="none"/>
              </w:rPr>
            </w:pPr>
          </w:p>
        </w:tc>
        <w:tc>
          <w:tcPr>
            <w:tcW w:w="1445" w:type="dxa"/>
            <w:vAlign w:val="top"/>
          </w:tcPr>
          <w:p w14:paraId="01AA7AD1">
            <w:pPr>
              <w:tabs>
                <w:tab w:val="left" w:pos="6551"/>
              </w:tabs>
              <w:rPr>
                <w:rFonts w:hint="eastAsia" w:ascii="宋体" w:hAnsi="宋体" w:eastAsia="宋体" w:cs="宋体"/>
                <w:bCs/>
                <w:color w:val="auto"/>
                <w:sz w:val="22"/>
                <w:szCs w:val="22"/>
                <w:highlight w:val="none"/>
              </w:rPr>
            </w:pPr>
          </w:p>
        </w:tc>
        <w:tc>
          <w:tcPr>
            <w:tcW w:w="1440" w:type="dxa"/>
            <w:vAlign w:val="top"/>
          </w:tcPr>
          <w:p w14:paraId="25E17065">
            <w:pPr>
              <w:tabs>
                <w:tab w:val="left" w:pos="6551"/>
              </w:tabs>
              <w:rPr>
                <w:rFonts w:hint="eastAsia" w:ascii="宋体" w:hAnsi="宋体" w:eastAsia="宋体" w:cs="宋体"/>
                <w:bCs/>
                <w:color w:val="auto"/>
                <w:sz w:val="22"/>
                <w:szCs w:val="22"/>
                <w:highlight w:val="none"/>
              </w:rPr>
            </w:pPr>
          </w:p>
        </w:tc>
        <w:tc>
          <w:tcPr>
            <w:tcW w:w="1225" w:type="dxa"/>
            <w:vAlign w:val="top"/>
          </w:tcPr>
          <w:p w14:paraId="7CD1E44E">
            <w:pPr>
              <w:tabs>
                <w:tab w:val="left" w:pos="6551"/>
              </w:tabs>
              <w:rPr>
                <w:rFonts w:hint="eastAsia" w:ascii="宋体" w:hAnsi="宋体" w:eastAsia="宋体" w:cs="宋体"/>
                <w:bCs/>
                <w:color w:val="auto"/>
                <w:sz w:val="22"/>
                <w:szCs w:val="22"/>
                <w:highlight w:val="none"/>
              </w:rPr>
            </w:pPr>
          </w:p>
        </w:tc>
        <w:tc>
          <w:tcPr>
            <w:tcW w:w="910" w:type="dxa"/>
            <w:vAlign w:val="top"/>
          </w:tcPr>
          <w:p w14:paraId="6593211F">
            <w:pPr>
              <w:tabs>
                <w:tab w:val="left" w:pos="6551"/>
              </w:tabs>
              <w:rPr>
                <w:rFonts w:hint="eastAsia" w:ascii="宋体" w:hAnsi="宋体" w:eastAsia="宋体" w:cs="宋体"/>
                <w:bCs/>
                <w:color w:val="auto"/>
                <w:sz w:val="22"/>
                <w:szCs w:val="22"/>
                <w:highlight w:val="none"/>
              </w:rPr>
            </w:pPr>
          </w:p>
        </w:tc>
        <w:tc>
          <w:tcPr>
            <w:tcW w:w="1029" w:type="dxa"/>
            <w:vAlign w:val="top"/>
          </w:tcPr>
          <w:p w14:paraId="11B21A50">
            <w:pPr>
              <w:tabs>
                <w:tab w:val="left" w:pos="6551"/>
              </w:tabs>
              <w:rPr>
                <w:rFonts w:hint="eastAsia" w:ascii="宋体" w:hAnsi="宋体" w:eastAsia="宋体" w:cs="宋体"/>
                <w:bCs/>
                <w:color w:val="auto"/>
                <w:sz w:val="22"/>
                <w:szCs w:val="22"/>
                <w:highlight w:val="none"/>
              </w:rPr>
            </w:pPr>
          </w:p>
        </w:tc>
        <w:tc>
          <w:tcPr>
            <w:tcW w:w="1091" w:type="dxa"/>
            <w:vAlign w:val="top"/>
          </w:tcPr>
          <w:p w14:paraId="40BB395D">
            <w:pPr>
              <w:tabs>
                <w:tab w:val="left" w:pos="6551"/>
              </w:tabs>
              <w:rPr>
                <w:rFonts w:hint="eastAsia" w:ascii="宋体" w:hAnsi="宋体" w:eastAsia="宋体" w:cs="宋体"/>
                <w:bCs/>
                <w:color w:val="auto"/>
                <w:sz w:val="22"/>
                <w:szCs w:val="22"/>
                <w:highlight w:val="none"/>
              </w:rPr>
            </w:pPr>
          </w:p>
        </w:tc>
      </w:tr>
      <w:tr w14:paraId="38B2B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58F5BA44">
            <w:pPr>
              <w:tabs>
                <w:tab w:val="left" w:pos="6551"/>
              </w:tabs>
              <w:rPr>
                <w:rFonts w:hint="eastAsia" w:ascii="宋体" w:hAnsi="宋体" w:eastAsia="宋体" w:cs="宋体"/>
                <w:bCs/>
                <w:color w:val="auto"/>
                <w:sz w:val="22"/>
                <w:szCs w:val="22"/>
                <w:highlight w:val="none"/>
              </w:rPr>
            </w:pPr>
          </w:p>
        </w:tc>
        <w:tc>
          <w:tcPr>
            <w:tcW w:w="1690" w:type="dxa"/>
            <w:vAlign w:val="top"/>
          </w:tcPr>
          <w:p w14:paraId="0217E5A9">
            <w:pPr>
              <w:tabs>
                <w:tab w:val="left" w:pos="6551"/>
              </w:tabs>
              <w:rPr>
                <w:rFonts w:hint="eastAsia" w:ascii="宋体" w:hAnsi="宋体" w:eastAsia="宋体" w:cs="宋体"/>
                <w:bCs/>
                <w:color w:val="auto"/>
                <w:sz w:val="22"/>
                <w:szCs w:val="22"/>
                <w:highlight w:val="none"/>
              </w:rPr>
            </w:pPr>
          </w:p>
        </w:tc>
        <w:tc>
          <w:tcPr>
            <w:tcW w:w="1445" w:type="dxa"/>
            <w:vAlign w:val="top"/>
          </w:tcPr>
          <w:p w14:paraId="7F65B572">
            <w:pPr>
              <w:tabs>
                <w:tab w:val="left" w:pos="6551"/>
              </w:tabs>
              <w:rPr>
                <w:rFonts w:hint="eastAsia" w:ascii="宋体" w:hAnsi="宋体" w:eastAsia="宋体" w:cs="宋体"/>
                <w:bCs/>
                <w:color w:val="auto"/>
                <w:sz w:val="22"/>
                <w:szCs w:val="22"/>
                <w:highlight w:val="none"/>
              </w:rPr>
            </w:pPr>
          </w:p>
        </w:tc>
        <w:tc>
          <w:tcPr>
            <w:tcW w:w="1440" w:type="dxa"/>
            <w:vAlign w:val="top"/>
          </w:tcPr>
          <w:p w14:paraId="1FF26B1D">
            <w:pPr>
              <w:tabs>
                <w:tab w:val="left" w:pos="6551"/>
              </w:tabs>
              <w:rPr>
                <w:rFonts w:hint="eastAsia" w:ascii="宋体" w:hAnsi="宋体" w:eastAsia="宋体" w:cs="宋体"/>
                <w:bCs/>
                <w:color w:val="auto"/>
                <w:sz w:val="22"/>
                <w:szCs w:val="22"/>
                <w:highlight w:val="none"/>
              </w:rPr>
            </w:pPr>
          </w:p>
        </w:tc>
        <w:tc>
          <w:tcPr>
            <w:tcW w:w="1225" w:type="dxa"/>
            <w:vAlign w:val="top"/>
          </w:tcPr>
          <w:p w14:paraId="1F471E6C">
            <w:pPr>
              <w:tabs>
                <w:tab w:val="left" w:pos="6551"/>
              </w:tabs>
              <w:rPr>
                <w:rFonts w:hint="eastAsia" w:ascii="宋体" w:hAnsi="宋体" w:eastAsia="宋体" w:cs="宋体"/>
                <w:bCs/>
                <w:color w:val="auto"/>
                <w:sz w:val="22"/>
                <w:szCs w:val="22"/>
                <w:highlight w:val="none"/>
              </w:rPr>
            </w:pPr>
          </w:p>
        </w:tc>
        <w:tc>
          <w:tcPr>
            <w:tcW w:w="910" w:type="dxa"/>
            <w:vAlign w:val="top"/>
          </w:tcPr>
          <w:p w14:paraId="46DBB0AB">
            <w:pPr>
              <w:tabs>
                <w:tab w:val="left" w:pos="6551"/>
              </w:tabs>
              <w:rPr>
                <w:rFonts w:hint="eastAsia" w:ascii="宋体" w:hAnsi="宋体" w:eastAsia="宋体" w:cs="宋体"/>
                <w:bCs/>
                <w:color w:val="auto"/>
                <w:sz w:val="22"/>
                <w:szCs w:val="22"/>
                <w:highlight w:val="none"/>
              </w:rPr>
            </w:pPr>
          </w:p>
        </w:tc>
        <w:tc>
          <w:tcPr>
            <w:tcW w:w="1029" w:type="dxa"/>
            <w:vAlign w:val="top"/>
          </w:tcPr>
          <w:p w14:paraId="00916720">
            <w:pPr>
              <w:tabs>
                <w:tab w:val="left" w:pos="6551"/>
              </w:tabs>
              <w:rPr>
                <w:rFonts w:hint="eastAsia" w:ascii="宋体" w:hAnsi="宋体" w:eastAsia="宋体" w:cs="宋体"/>
                <w:bCs/>
                <w:color w:val="auto"/>
                <w:sz w:val="22"/>
                <w:szCs w:val="22"/>
                <w:highlight w:val="none"/>
              </w:rPr>
            </w:pPr>
          </w:p>
        </w:tc>
        <w:tc>
          <w:tcPr>
            <w:tcW w:w="1091" w:type="dxa"/>
            <w:vAlign w:val="top"/>
          </w:tcPr>
          <w:p w14:paraId="04F5D376">
            <w:pPr>
              <w:tabs>
                <w:tab w:val="left" w:pos="6551"/>
              </w:tabs>
              <w:rPr>
                <w:rFonts w:hint="eastAsia" w:ascii="宋体" w:hAnsi="宋体" w:eastAsia="宋体" w:cs="宋体"/>
                <w:bCs/>
                <w:color w:val="auto"/>
                <w:sz w:val="22"/>
                <w:szCs w:val="22"/>
                <w:highlight w:val="none"/>
              </w:rPr>
            </w:pPr>
          </w:p>
        </w:tc>
      </w:tr>
      <w:tr w14:paraId="65FBC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14:paraId="7B23A612">
            <w:pPr>
              <w:tabs>
                <w:tab w:val="left" w:pos="6551"/>
              </w:tabs>
              <w:rPr>
                <w:rFonts w:hint="eastAsia" w:ascii="宋体" w:hAnsi="宋体" w:eastAsia="宋体" w:cs="宋体"/>
                <w:bCs/>
                <w:color w:val="auto"/>
                <w:sz w:val="22"/>
                <w:szCs w:val="22"/>
                <w:highlight w:val="none"/>
              </w:rPr>
            </w:pPr>
          </w:p>
        </w:tc>
        <w:tc>
          <w:tcPr>
            <w:tcW w:w="1690" w:type="dxa"/>
            <w:vAlign w:val="top"/>
          </w:tcPr>
          <w:p w14:paraId="70CE25C5">
            <w:pPr>
              <w:tabs>
                <w:tab w:val="left" w:pos="6551"/>
              </w:tabs>
              <w:rPr>
                <w:rFonts w:hint="eastAsia" w:ascii="宋体" w:hAnsi="宋体" w:eastAsia="宋体" w:cs="宋体"/>
                <w:bCs/>
                <w:color w:val="auto"/>
                <w:sz w:val="22"/>
                <w:szCs w:val="22"/>
                <w:highlight w:val="none"/>
              </w:rPr>
            </w:pPr>
          </w:p>
        </w:tc>
        <w:tc>
          <w:tcPr>
            <w:tcW w:w="1445" w:type="dxa"/>
            <w:vAlign w:val="top"/>
          </w:tcPr>
          <w:p w14:paraId="5AF48A19">
            <w:pPr>
              <w:tabs>
                <w:tab w:val="left" w:pos="6551"/>
              </w:tabs>
              <w:rPr>
                <w:rFonts w:hint="eastAsia" w:ascii="宋体" w:hAnsi="宋体" w:eastAsia="宋体" w:cs="宋体"/>
                <w:bCs/>
                <w:color w:val="auto"/>
                <w:sz w:val="22"/>
                <w:szCs w:val="22"/>
                <w:highlight w:val="none"/>
              </w:rPr>
            </w:pPr>
          </w:p>
        </w:tc>
        <w:tc>
          <w:tcPr>
            <w:tcW w:w="1440" w:type="dxa"/>
            <w:vAlign w:val="top"/>
          </w:tcPr>
          <w:p w14:paraId="4EBEEBAD">
            <w:pPr>
              <w:tabs>
                <w:tab w:val="left" w:pos="6551"/>
              </w:tabs>
              <w:rPr>
                <w:rFonts w:hint="eastAsia" w:ascii="宋体" w:hAnsi="宋体" w:eastAsia="宋体" w:cs="宋体"/>
                <w:bCs/>
                <w:color w:val="auto"/>
                <w:sz w:val="22"/>
                <w:szCs w:val="22"/>
                <w:highlight w:val="none"/>
              </w:rPr>
            </w:pPr>
          </w:p>
        </w:tc>
        <w:tc>
          <w:tcPr>
            <w:tcW w:w="1225" w:type="dxa"/>
            <w:vAlign w:val="top"/>
          </w:tcPr>
          <w:p w14:paraId="181BA204">
            <w:pPr>
              <w:tabs>
                <w:tab w:val="left" w:pos="6551"/>
              </w:tabs>
              <w:rPr>
                <w:rFonts w:hint="eastAsia" w:ascii="宋体" w:hAnsi="宋体" w:eastAsia="宋体" w:cs="宋体"/>
                <w:bCs/>
                <w:color w:val="auto"/>
                <w:sz w:val="22"/>
                <w:szCs w:val="22"/>
                <w:highlight w:val="none"/>
              </w:rPr>
            </w:pPr>
          </w:p>
        </w:tc>
        <w:tc>
          <w:tcPr>
            <w:tcW w:w="910" w:type="dxa"/>
            <w:vAlign w:val="top"/>
          </w:tcPr>
          <w:p w14:paraId="651206D4">
            <w:pPr>
              <w:tabs>
                <w:tab w:val="left" w:pos="6551"/>
              </w:tabs>
              <w:rPr>
                <w:rFonts w:hint="eastAsia" w:ascii="宋体" w:hAnsi="宋体" w:eastAsia="宋体" w:cs="宋体"/>
                <w:bCs/>
                <w:color w:val="auto"/>
                <w:sz w:val="22"/>
                <w:szCs w:val="22"/>
                <w:highlight w:val="none"/>
              </w:rPr>
            </w:pPr>
          </w:p>
        </w:tc>
        <w:tc>
          <w:tcPr>
            <w:tcW w:w="1029" w:type="dxa"/>
            <w:vAlign w:val="top"/>
          </w:tcPr>
          <w:p w14:paraId="3701EFB2">
            <w:pPr>
              <w:tabs>
                <w:tab w:val="left" w:pos="6551"/>
              </w:tabs>
              <w:ind w:firstLine="433" w:firstLineChars="196"/>
              <w:rPr>
                <w:rFonts w:hint="eastAsia" w:ascii="宋体" w:hAnsi="宋体" w:eastAsia="宋体" w:cs="宋体"/>
                <w:b/>
                <w:bCs/>
                <w:color w:val="auto"/>
                <w:sz w:val="22"/>
                <w:szCs w:val="22"/>
                <w:highlight w:val="none"/>
              </w:rPr>
            </w:pPr>
          </w:p>
        </w:tc>
        <w:tc>
          <w:tcPr>
            <w:tcW w:w="1091" w:type="dxa"/>
            <w:vAlign w:val="top"/>
          </w:tcPr>
          <w:p w14:paraId="3DE7FF1A">
            <w:pPr>
              <w:tabs>
                <w:tab w:val="left" w:pos="6551"/>
              </w:tabs>
              <w:rPr>
                <w:rFonts w:hint="eastAsia" w:ascii="宋体" w:hAnsi="宋体" w:eastAsia="宋体" w:cs="宋体"/>
                <w:bCs/>
                <w:color w:val="auto"/>
                <w:sz w:val="22"/>
                <w:szCs w:val="22"/>
                <w:highlight w:val="none"/>
              </w:rPr>
            </w:pPr>
          </w:p>
        </w:tc>
      </w:tr>
    </w:tbl>
    <w:p w14:paraId="7EA51247">
      <w:pPr>
        <w:spacing w:line="400" w:lineRule="exact"/>
        <w:rPr>
          <w:rFonts w:hint="eastAsia" w:ascii="宋体" w:hAnsi="宋体" w:eastAsia="宋体" w:cs="宋体"/>
          <w:b/>
          <w:bCs/>
          <w:color w:val="auto"/>
          <w:szCs w:val="21"/>
          <w:highlight w:val="none"/>
        </w:rPr>
      </w:pPr>
      <w:r>
        <w:rPr>
          <w:rFonts w:hint="eastAsia" w:ascii="宋体" w:hAnsi="宋体" w:eastAsia="宋体" w:cs="宋体"/>
          <w:color w:val="auto"/>
          <w:szCs w:val="21"/>
          <w:highlight w:val="none"/>
        </w:rPr>
        <w:t>注：投标人应根据招标范围内主要材料清单填写，认为需要增加提供的技术参数可在表中相应部位补充</w:t>
      </w:r>
      <w:r>
        <w:rPr>
          <w:rFonts w:hint="eastAsia" w:ascii="宋体" w:hAnsi="宋体" w:eastAsia="宋体" w:cs="宋体"/>
          <w:b/>
          <w:bCs/>
          <w:color w:val="auto"/>
          <w:szCs w:val="21"/>
          <w:highlight w:val="none"/>
        </w:rPr>
        <w:t>。</w:t>
      </w:r>
    </w:p>
    <w:p w14:paraId="5DAB12B5">
      <w:pPr>
        <w:spacing w:line="400" w:lineRule="exact"/>
        <w:ind w:firstLine="4305" w:firstLineChars="2050"/>
        <w:rPr>
          <w:rFonts w:hint="eastAsia" w:ascii="宋体" w:hAnsi="宋体" w:eastAsia="宋体" w:cs="宋体"/>
          <w:color w:val="auto"/>
          <w:kern w:val="0"/>
          <w:szCs w:val="21"/>
          <w:highlight w:val="none"/>
        </w:rPr>
      </w:pPr>
    </w:p>
    <w:p w14:paraId="5D09F7C7">
      <w:pPr>
        <w:spacing w:line="400" w:lineRule="exact"/>
        <w:ind w:firstLine="4305" w:firstLineChars="205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投标人（公章）：</w:t>
      </w:r>
    </w:p>
    <w:p w14:paraId="3E1D91F6">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法定代表人或授权代表（签字或盖章）：</w:t>
      </w:r>
    </w:p>
    <w:p w14:paraId="6440D76E">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日期：</w:t>
      </w:r>
    </w:p>
    <w:p w14:paraId="00417E83">
      <w:pPr>
        <w:spacing w:line="400" w:lineRule="exact"/>
        <w:rPr>
          <w:rFonts w:hint="eastAsia" w:ascii="宋体" w:hAnsi="宋体" w:eastAsia="宋体" w:cs="宋体"/>
          <w:color w:val="auto"/>
          <w:kern w:val="0"/>
          <w:szCs w:val="21"/>
          <w:highlight w:val="none"/>
          <w:lang w:val="en-US" w:eastAsia="zh-CN"/>
        </w:rPr>
      </w:pPr>
    </w:p>
    <w:p w14:paraId="1C11B319">
      <w:pPr>
        <w:spacing w:line="400" w:lineRule="exact"/>
        <w:rPr>
          <w:rFonts w:hint="eastAsia" w:ascii="宋体" w:hAnsi="宋体" w:eastAsia="宋体" w:cs="宋体"/>
          <w:color w:val="auto"/>
          <w:kern w:val="0"/>
          <w:szCs w:val="21"/>
          <w:highlight w:val="none"/>
        </w:rPr>
      </w:pPr>
    </w:p>
    <w:p w14:paraId="3201DBA1">
      <w:pPr>
        <w:spacing w:line="380" w:lineRule="exact"/>
        <w:ind w:firstLine="475" w:firstLineChars="198"/>
        <w:jc w:val="center"/>
        <w:outlineLvl w:val="1"/>
        <w:rPr>
          <w:rFonts w:hint="eastAsia" w:ascii="宋体" w:hAnsi="宋体" w:eastAsia="宋体" w:cs="宋体"/>
          <w:b/>
          <w:bCs/>
          <w:color w:val="auto"/>
          <w:szCs w:val="21"/>
          <w:highlight w:val="none"/>
        </w:rPr>
      </w:pPr>
      <w:bookmarkStart w:id="349" w:name="_Toc6141"/>
      <w:bookmarkStart w:id="350" w:name="_Toc420077694"/>
      <w:bookmarkStart w:id="351" w:name="_Toc31423"/>
      <w:r>
        <w:rPr>
          <w:rFonts w:hint="eastAsia" w:ascii="宋体" w:hAnsi="宋体" w:eastAsia="宋体" w:cs="宋体"/>
          <w:color w:val="auto"/>
          <w:sz w:val="24"/>
          <w:szCs w:val="24"/>
          <w:highlight w:val="none"/>
        </w:rPr>
        <w:br w:type="page"/>
      </w:r>
      <w:bookmarkStart w:id="352" w:name="_Toc106"/>
      <w:bookmarkStart w:id="353" w:name="_Toc312"/>
      <w:bookmarkStart w:id="354" w:name="_Toc28104122"/>
      <w:bookmarkStart w:id="355" w:name="_Toc11737"/>
      <w:bookmarkStart w:id="356" w:name="_Toc26043"/>
      <w:r>
        <w:rPr>
          <w:rFonts w:hint="eastAsia" w:ascii="宋体" w:hAnsi="宋体" w:eastAsia="宋体" w:cs="宋体"/>
          <w:b/>
          <w:bCs/>
          <w:color w:val="auto"/>
          <w:sz w:val="24"/>
          <w:szCs w:val="24"/>
          <w:highlight w:val="none"/>
        </w:rPr>
        <w:t>附件</w:t>
      </w:r>
      <w:bookmarkStart w:id="357" w:name="_Toc26433"/>
      <w:bookmarkStart w:id="358" w:name="_Toc398560347"/>
      <w:r>
        <w:rPr>
          <w:rFonts w:hint="eastAsia" w:ascii="宋体" w:hAnsi="宋体" w:eastAsia="宋体" w:cs="宋体"/>
          <w:b/>
          <w:bCs/>
          <w:color w:val="auto"/>
          <w:sz w:val="24"/>
          <w:szCs w:val="24"/>
          <w:highlight w:val="none"/>
          <w:lang w:val="en-US" w:eastAsia="zh-CN"/>
        </w:rPr>
        <w:t>9</w:t>
      </w:r>
      <w:r>
        <w:rPr>
          <w:rFonts w:hint="eastAsia" w:ascii="宋体" w:hAnsi="宋体" w:eastAsia="宋体" w:cs="宋体"/>
          <w:b/>
          <w:bCs/>
          <w:color w:val="auto"/>
          <w:sz w:val="24"/>
          <w:szCs w:val="24"/>
          <w:highlight w:val="none"/>
        </w:rPr>
        <w:t xml:space="preserve">  </w:t>
      </w:r>
      <w:bookmarkEnd w:id="352"/>
      <w:bookmarkEnd w:id="353"/>
      <w:bookmarkEnd w:id="354"/>
      <w:bookmarkEnd w:id="355"/>
      <w:bookmarkEnd w:id="357"/>
      <w:bookmarkEnd w:id="358"/>
      <w:r>
        <w:rPr>
          <w:rFonts w:hint="eastAsia" w:ascii="宋体" w:hAnsi="宋体" w:eastAsia="宋体" w:cs="宋体"/>
          <w:b/>
          <w:bCs/>
          <w:color w:val="auto"/>
          <w:sz w:val="24"/>
          <w:szCs w:val="24"/>
          <w:highlight w:val="none"/>
        </w:rPr>
        <w:t>随机备品、备件和专用工具清单</w:t>
      </w:r>
      <w:bookmarkEnd w:id="356"/>
    </w:p>
    <w:p w14:paraId="361299D1">
      <w:pPr>
        <w:spacing w:line="380" w:lineRule="exact"/>
        <w:ind w:firstLine="415" w:firstLineChars="198"/>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项目名称：                           </w:t>
      </w:r>
      <w:r>
        <w:rPr>
          <w:rFonts w:hint="eastAsia" w:ascii="宋体" w:hAnsi="宋体" w:eastAsia="宋体" w:cs="宋体"/>
          <w:color w:val="auto"/>
          <w:szCs w:val="21"/>
          <w:highlight w:val="none"/>
          <w:lang w:eastAsia="zh-CN"/>
        </w:rPr>
        <w:t>项目编号：</w:t>
      </w:r>
      <w:r>
        <w:rPr>
          <w:rFonts w:hint="eastAsia" w:ascii="宋体" w:hAnsi="宋体" w:eastAsia="宋体" w:cs="宋体"/>
          <w:color w:val="auto"/>
          <w:szCs w:val="21"/>
          <w:highlight w:val="none"/>
        </w:rPr>
        <w:t xml:space="preserve">                        </w:t>
      </w:r>
    </w:p>
    <w:tbl>
      <w:tblPr>
        <w:tblStyle w:val="49"/>
        <w:tblW w:w="9445"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7"/>
        <w:gridCol w:w="1746"/>
        <w:gridCol w:w="2342"/>
        <w:gridCol w:w="1081"/>
        <w:gridCol w:w="2342"/>
        <w:gridCol w:w="977"/>
      </w:tblGrid>
      <w:tr w14:paraId="32B9A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957" w:type="dxa"/>
            <w:shd w:val="clear" w:color="auto" w:fill="FFFFFF"/>
            <w:vAlign w:val="center"/>
          </w:tcPr>
          <w:p w14:paraId="239C65A3">
            <w:pPr>
              <w:spacing w:line="40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序号</w:t>
            </w:r>
          </w:p>
        </w:tc>
        <w:tc>
          <w:tcPr>
            <w:tcW w:w="1746" w:type="dxa"/>
            <w:shd w:val="clear" w:color="auto" w:fill="FFFFFF"/>
            <w:vAlign w:val="center"/>
          </w:tcPr>
          <w:p w14:paraId="2DB050B0">
            <w:pPr>
              <w:spacing w:line="40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名  称</w:t>
            </w:r>
          </w:p>
        </w:tc>
        <w:tc>
          <w:tcPr>
            <w:tcW w:w="2342" w:type="dxa"/>
            <w:shd w:val="clear" w:color="auto" w:fill="FFFFFF"/>
            <w:vAlign w:val="center"/>
          </w:tcPr>
          <w:p w14:paraId="3ACFF986">
            <w:pPr>
              <w:spacing w:line="40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规格型号</w:t>
            </w:r>
          </w:p>
        </w:tc>
        <w:tc>
          <w:tcPr>
            <w:tcW w:w="1081" w:type="dxa"/>
            <w:shd w:val="clear" w:color="auto" w:fill="FFFFFF"/>
            <w:vAlign w:val="center"/>
          </w:tcPr>
          <w:p w14:paraId="248FFE9C">
            <w:pPr>
              <w:spacing w:line="40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数量</w:t>
            </w:r>
          </w:p>
        </w:tc>
        <w:tc>
          <w:tcPr>
            <w:tcW w:w="2342" w:type="dxa"/>
            <w:shd w:val="clear" w:color="auto" w:fill="FFFFFF"/>
            <w:vAlign w:val="center"/>
          </w:tcPr>
          <w:p w14:paraId="7A8F28F8">
            <w:pPr>
              <w:spacing w:line="40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原产地/制造商</w:t>
            </w:r>
          </w:p>
        </w:tc>
        <w:tc>
          <w:tcPr>
            <w:tcW w:w="977" w:type="dxa"/>
            <w:shd w:val="clear" w:color="auto" w:fill="FFFFFF"/>
            <w:vAlign w:val="top"/>
          </w:tcPr>
          <w:p w14:paraId="13E83C3B">
            <w:pPr>
              <w:spacing w:line="40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备  注</w:t>
            </w:r>
          </w:p>
        </w:tc>
      </w:tr>
      <w:tr w14:paraId="4EE01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14:paraId="7F3A0519">
            <w:pPr>
              <w:spacing w:line="400" w:lineRule="exact"/>
              <w:jc w:val="center"/>
              <w:rPr>
                <w:rFonts w:hint="eastAsia" w:ascii="宋体" w:hAnsi="宋体" w:eastAsia="宋体" w:cs="宋体"/>
                <w:color w:val="auto"/>
                <w:sz w:val="22"/>
                <w:szCs w:val="22"/>
                <w:highlight w:val="none"/>
              </w:rPr>
            </w:pPr>
          </w:p>
        </w:tc>
        <w:tc>
          <w:tcPr>
            <w:tcW w:w="1746" w:type="dxa"/>
            <w:vAlign w:val="center"/>
          </w:tcPr>
          <w:p w14:paraId="70B3DDF6">
            <w:pPr>
              <w:widowControl/>
              <w:jc w:val="center"/>
              <w:textAlignment w:val="center"/>
              <w:rPr>
                <w:rFonts w:hint="eastAsia" w:ascii="宋体" w:hAnsi="宋体" w:eastAsia="宋体" w:cs="宋体"/>
                <w:color w:val="auto"/>
                <w:sz w:val="22"/>
                <w:szCs w:val="22"/>
                <w:highlight w:val="none"/>
              </w:rPr>
            </w:pPr>
          </w:p>
        </w:tc>
        <w:tc>
          <w:tcPr>
            <w:tcW w:w="2342" w:type="dxa"/>
            <w:vAlign w:val="top"/>
          </w:tcPr>
          <w:p w14:paraId="68D3FAAC">
            <w:pPr>
              <w:spacing w:line="400" w:lineRule="exact"/>
              <w:rPr>
                <w:rFonts w:hint="eastAsia" w:ascii="宋体" w:hAnsi="宋体" w:eastAsia="宋体" w:cs="宋体"/>
                <w:color w:val="auto"/>
                <w:sz w:val="22"/>
                <w:szCs w:val="22"/>
                <w:highlight w:val="none"/>
              </w:rPr>
            </w:pPr>
          </w:p>
        </w:tc>
        <w:tc>
          <w:tcPr>
            <w:tcW w:w="1081" w:type="dxa"/>
            <w:vAlign w:val="top"/>
          </w:tcPr>
          <w:p w14:paraId="50DF5F80">
            <w:pPr>
              <w:spacing w:line="400" w:lineRule="exact"/>
              <w:rPr>
                <w:rFonts w:hint="eastAsia" w:ascii="宋体" w:hAnsi="宋体" w:eastAsia="宋体" w:cs="宋体"/>
                <w:color w:val="auto"/>
                <w:sz w:val="22"/>
                <w:szCs w:val="22"/>
                <w:highlight w:val="none"/>
              </w:rPr>
            </w:pPr>
          </w:p>
        </w:tc>
        <w:tc>
          <w:tcPr>
            <w:tcW w:w="2342" w:type="dxa"/>
            <w:vAlign w:val="top"/>
          </w:tcPr>
          <w:p w14:paraId="027568B6">
            <w:pPr>
              <w:spacing w:line="400" w:lineRule="exact"/>
              <w:rPr>
                <w:rFonts w:hint="eastAsia" w:ascii="宋体" w:hAnsi="宋体" w:eastAsia="宋体" w:cs="宋体"/>
                <w:color w:val="auto"/>
                <w:sz w:val="22"/>
                <w:szCs w:val="22"/>
                <w:highlight w:val="none"/>
              </w:rPr>
            </w:pPr>
          </w:p>
        </w:tc>
        <w:tc>
          <w:tcPr>
            <w:tcW w:w="977" w:type="dxa"/>
            <w:vAlign w:val="top"/>
          </w:tcPr>
          <w:p w14:paraId="314127D8">
            <w:pPr>
              <w:spacing w:line="400" w:lineRule="exact"/>
              <w:rPr>
                <w:rFonts w:hint="eastAsia" w:ascii="宋体" w:hAnsi="宋体" w:eastAsia="宋体" w:cs="宋体"/>
                <w:color w:val="auto"/>
                <w:sz w:val="22"/>
                <w:szCs w:val="22"/>
                <w:highlight w:val="none"/>
              </w:rPr>
            </w:pPr>
          </w:p>
        </w:tc>
      </w:tr>
      <w:tr w14:paraId="21A2F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14:paraId="574FE1FA">
            <w:pPr>
              <w:spacing w:line="400" w:lineRule="exact"/>
              <w:jc w:val="center"/>
              <w:rPr>
                <w:rFonts w:hint="eastAsia" w:ascii="宋体" w:hAnsi="宋体" w:eastAsia="宋体" w:cs="宋体"/>
                <w:color w:val="auto"/>
                <w:sz w:val="22"/>
                <w:szCs w:val="22"/>
                <w:highlight w:val="none"/>
              </w:rPr>
            </w:pPr>
          </w:p>
        </w:tc>
        <w:tc>
          <w:tcPr>
            <w:tcW w:w="1746" w:type="dxa"/>
            <w:vAlign w:val="center"/>
          </w:tcPr>
          <w:p w14:paraId="0A0B6B09">
            <w:pPr>
              <w:widowControl/>
              <w:jc w:val="center"/>
              <w:textAlignment w:val="center"/>
              <w:rPr>
                <w:rFonts w:hint="eastAsia" w:ascii="宋体" w:hAnsi="宋体" w:eastAsia="宋体" w:cs="宋体"/>
                <w:color w:val="auto"/>
                <w:sz w:val="22"/>
                <w:szCs w:val="22"/>
                <w:highlight w:val="none"/>
              </w:rPr>
            </w:pPr>
          </w:p>
        </w:tc>
        <w:tc>
          <w:tcPr>
            <w:tcW w:w="2342" w:type="dxa"/>
            <w:vAlign w:val="top"/>
          </w:tcPr>
          <w:p w14:paraId="5DC79FB2">
            <w:pPr>
              <w:spacing w:line="400" w:lineRule="exact"/>
              <w:rPr>
                <w:rFonts w:hint="eastAsia" w:ascii="宋体" w:hAnsi="宋体" w:eastAsia="宋体" w:cs="宋体"/>
                <w:color w:val="auto"/>
                <w:sz w:val="22"/>
                <w:szCs w:val="22"/>
                <w:highlight w:val="none"/>
              </w:rPr>
            </w:pPr>
          </w:p>
        </w:tc>
        <w:tc>
          <w:tcPr>
            <w:tcW w:w="1081" w:type="dxa"/>
            <w:vAlign w:val="top"/>
          </w:tcPr>
          <w:p w14:paraId="08CD9B02">
            <w:pPr>
              <w:spacing w:line="400" w:lineRule="exact"/>
              <w:rPr>
                <w:rFonts w:hint="eastAsia" w:ascii="宋体" w:hAnsi="宋体" w:eastAsia="宋体" w:cs="宋体"/>
                <w:color w:val="auto"/>
                <w:sz w:val="22"/>
                <w:szCs w:val="22"/>
                <w:highlight w:val="none"/>
              </w:rPr>
            </w:pPr>
          </w:p>
        </w:tc>
        <w:tc>
          <w:tcPr>
            <w:tcW w:w="2342" w:type="dxa"/>
            <w:vAlign w:val="top"/>
          </w:tcPr>
          <w:p w14:paraId="1F0840CC">
            <w:pPr>
              <w:spacing w:line="400" w:lineRule="exact"/>
              <w:rPr>
                <w:rFonts w:hint="eastAsia" w:ascii="宋体" w:hAnsi="宋体" w:eastAsia="宋体" w:cs="宋体"/>
                <w:color w:val="auto"/>
                <w:sz w:val="22"/>
                <w:szCs w:val="22"/>
                <w:highlight w:val="none"/>
              </w:rPr>
            </w:pPr>
          </w:p>
        </w:tc>
        <w:tc>
          <w:tcPr>
            <w:tcW w:w="977" w:type="dxa"/>
            <w:vAlign w:val="top"/>
          </w:tcPr>
          <w:p w14:paraId="42423060">
            <w:pPr>
              <w:spacing w:line="400" w:lineRule="exact"/>
              <w:rPr>
                <w:rFonts w:hint="eastAsia" w:ascii="宋体" w:hAnsi="宋体" w:eastAsia="宋体" w:cs="宋体"/>
                <w:color w:val="auto"/>
                <w:sz w:val="22"/>
                <w:szCs w:val="22"/>
                <w:highlight w:val="none"/>
              </w:rPr>
            </w:pPr>
          </w:p>
        </w:tc>
      </w:tr>
      <w:tr w14:paraId="4ED69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14:paraId="24276D0D">
            <w:pPr>
              <w:spacing w:line="400" w:lineRule="exact"/>
              <w:jc w:val="center"/>
              <w:rPr>
                <w:rFonts w:hint="eastAsia" w:ascii="宋体" w:hAnsi="宋体" w:eastAsia="宋体" w:cs="宋体"/>
                <w:color w:val="auto"/>
                <w:sz w:val="22"/>
                <w:szCs w:val="22"/>
                <w:highlight w:val="none"/>
              </w:rPr>
            </w:pPr>
          </w:p>
        </w:tc>
        <w:tc>
          <w:tcPr>
            <w:tcW w:w="1746" w:type="dxa"/>
            <w:vAlign w:val="center"/>
          </w:tcPr>
          <w:p w14:paraId="6D7C1FEF">
            <w:pPr>
              <w:widowControl/>
              <w:jc w:val="center"/>
              <w:textAlignment w:val="center"/>
              <w:rPr>
                <w:rFonts w:hint="eastAsia" w:ascii="宋体" w:hAnsi="宋体" w:eastAsia="宋体" w:cs="宋体"/>
                <w:color w:val="auto"/>
                <w:sz w:val="22"/>
                <w:szCs w:val="22"/>
                <w:highlight w:val="none"/>
              </w:rPr>
            </w:pPr>
          </w:p>
        </w:tc>
        <w:tc>
          <w:tcPr>
            <w:tcW w:w="2342" w:type="dxa"/>
            <w:vAlign w:val="top"/>
          </w:tcPr>
          <w:p w14:paraId="229B9736">
            <w:pPr>
              <w:spacing w:line="400" w:lineRule="exact"/>
              <w:rPr>
                <w:rFonts w:hint="eastAsia" w:ascii="宋体" w:hAnsi="宋体" w:eastAsia="宋体" w:cs="宋体"/>
                <w:color w:val="auto"/>
                <w:sz w:val="22"/>
                <w:szCs w:val="22"/>
                <w:highlight w:val="none"/>
              </w:rPr>
            </w:pPr>
          </w:p>
        </w:tc>
        <w:tc>
          <w:tcPr>
            <w:tcW w:w="1081" w:type="dxa"/>
            <w:vAlign w:val="top"/>
          </w:tcPr>
          <w:p w14:paraId="65C35AD0">
            <w:pPr>
              <w:spacing w:line="400" w:lineRule="exact"/>
              <w:rPr>
                <w:rFonts w:hint="eastAsia" w:ascii="宋体" w:hAnsi="宋体" w:eastAsia="宋体" w:cs="宋体"/>
                <w:color w:val="auto"/>
                <w:sz w:val="22"/>
                <w:szCs w:val="22"/>
                <w:highlight w:val="none"/>
              </w:rPr>
            </w:pPr>
          </w:p>
        </w:tc>
        <w:tc>
          <w:tcPr>
            <w:tcW w:w="2342" w:type="dxa"/>
            <w:vAlign w:val="top"/>
          </w:tcPr>
          <w:p w14:paraId="067295B7">
            <w:pPr>
              <w:spacing w:line="400" w:lineRule="exact"/>
              <w:rPr>
                <w:rFonts w:hint="eastAsia" w:ascii="宋体" w:hAnsi="宋体" w:eastAsia="宋体" w:cs="宋体"/>
                <w:color w:val="auto"/>
                <w:sz w:val="22"/>
                <w:szCs w:val="22"/>
                <w:highlight w:val="none"/>
              </w:rPr>
            </w:pPr>
          </w:p>
        </w:tc>
        <w:tc>
          <w:tcPr>
            <w:tcW w:w="977" w:type="dxa"/>
            <w:vAlign w:val="top"/>
          </w:tcPr>
          <w:p w14:paraId="6D2A0444">
            <w:pPr>
              <w:spacing w:line="400" w:lineRule="exact"/>
              <w:rPr>
                <w:rFonts w:hint="eastAsia" w:ascii="宋体" w:hAnsi="宋体" w:eastAsia="宋体" w:cs="宋体"/>
                <w:color w:val="auto"/>
                <w:sz w:val="22"/>
                <w:szCs w:val="22"/>
                <w:highlight w:val="none"/>
              </w:rPr>
            </w:pPr>
          </w:p>
        </w:tc>
      </w:tr>
      <w:tr w14:paraId="23677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14:paraId="6A2F4593">
            <w:pPr>
              <w:spacing w:line="400" w:lineRule="exact"/>
              <w:jc w:val="center"/>
              <w:rPr>
                <w:rFonts w:hint="eastAsia" w:ascii="宋体" w:hAnsi="宋体" w:eastAsia="宋体" w:cs="宋体"/>
                <w:color w:val="auto"/>
                <w:sz w:val="22"/>
                <w:szCs w:val="22"/>
                <w:highlight w:val="none"/>
              </w:rPr>
            </w:pPr>
          </w:p>
        </w:tc>
        <w:tc>
          <w:tcPr>
            <w:tcW w:w="1746" w:type="dxa"/>
            <w:vAlign w:val="center"/>
          </w:tcPr>
          <w:p w14:paraId="72992EAB">
            <w:pPr>
              <w:widowControl/>
              <w:jc w:val="center"/>
              <w:textAlignment w:val="center"/>
              <w:rPr>
                <w:rFonts w:hint="eastAsia" w:ascii="宋体" w:hAnsi="宋体" w:eastAsia="宋体" w:cs="宋体"/>
                <w:color w:val="auto"/>
                <w:sz w:val="22"/>
                <w:szCs w:val="22"/>
                <w:highlight w:val="none"/>
              </w:rPr>
            </w:pPr>
          </w:p>
        </w:tc>
        <w:tc>
          <w:tcPr>
            <w:tcW w:w="2342" w:type="dxa"/>
            <w:vAlign w:val="top"/>
          </w:tcPr>
          <w:p w14:paraId="56821432">
            <w:pPr>
              <w:spacing w:line="400" w:lineRule="exact"/>
              <w:rPr>
                <w:rFonts w:hint="eastAsia" w:ascii="宋体" w:hAnsi="宋体" w:eastAsia="宋体" w:cs="宋体"/>
                <w:color w:val="auto"/>
                <w:sz w:val="22"/>
                <w:szCs w:val="22"/>
                <w:highlight w:val="none"/>
              </w:rPr>
            </w:pPr>
          </w:p>
        </w:tc>
        <w:tc>
          <w:tcPr>
            <w:tcW w:w="1081" w:type="dxa"/>
            <w:vAlign w:val="top"/>
          </w:tcPr>
          <w:p w14:paraId="53355252">
            <w:pPr>
              <w:spacing w:line="400" w:lineRule="exact"/>
              <w:rPr>
                <w:rFonts w:hint="eastAsia" w:ascii="宋体" w:hAnsi="宋体" w:eastAsia="宋体" w:cs="宋体"/>
                <w:color w:val="auto"/>
                <w:sz w:val="22"/>
                <w:szCs w:val="22"/>
                <w:highlight w:val="none"/>
              </w:rPr>
            </w:pPr>
          </w:p>
        </w:tc>
        <w:tc>
          <w:tcPr>
            <w:tcW w:w="2342" w:type="dxa"/>
            <w:vAlign w:val="top"/>
          </w:tcPr>
          <w:p w14:paraId="63914105">
            <w:pPr>
              <w:spacing w:line="400" w:lineRule="exact"/>
              <w:rPr>
                <w:rFonts w:hint="eastAsia" w:ascii="宋体" w:hAnsi="宋体" w:eastAsia="宋体" w:cs="宋体"/>
                <w:color w:val="auto"/>
                <w:sz w:val="22"/>
                <w:szCs w:val="22"/>
                <w:highlight w:val="none"/>
              </w:rPr>
            </w:pPr>
          </w:p>
        </w:tc>
        <w:tc>
          <w:tcPr>
            <w:tcW w:w="977" w:type="dxa"/>
            <w:vAlign w:val="top"/>
          </w:tcPr>
          <w:p w14:paraId="1B701AD8">
            <w:pPr>
              <w:spacing w:line="400" w:lineRule="exact"/>
              <w:rPr>
                <w:rFonts w:hint="eastAsia" w:ascii="宋体" w:hAnsi="宋体" w:eastAsia="宋体" w:cs="宋体"/>
                <w:color w:val="auto"/>
                <w:sz w:val="22"/>
                <w:szCs w:val="22"/>
                <w:highlight w:val="none"/>
              </w:rPr>
            </w:pPr>
          </w:p>
        </w:tc>
      </w:tr>
      <w:tr w14:paraId="578DB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14:paraId="1AF2D36C">
            <w:pPr>
              <w:spacing w:line="400" w:lineRule="exact"/>
              <w:jc w:val="center"/>
              <w:rPr>
                <w:rFonts w:hint="eastAsia" w:ascii="宋体" w:hAnsi="宋体" w:eastAsia="宋体" w:cs="宋体"/>
                <w:color w:val="auto"/>
                <w:sz w:val="22"/>
                <w:szCs w:val="22"/>
                <w:highlight w:val="none"/>
              </w:rPr>
            </w:pPr>
          </w:p>
        </w:tc>
        <w:tc>
          <w:tcPr>
            <w:tcW w:w="1746" w:type="dxa"/>
            <w:vAlign w:val="center"/>
          </w:tcPr>
          <w:p w14:paraId="391B6AAD">
            <w:pPr>
              <w:widowControl/>
              <w:jc w:val="center"/>
              <w:textAlignment w:val="center"/>
              <w:rPr>
                <w:rFonts w:hint="eastAsia" w:ascii="宋体" w:hAnsi="宋体" w:eastAsia="宋体" w:cs="宋体"/>
                <w:color w:val="auto"/>
                <w:sz w:val="22"/>
                <w:szCs w:val="22"/>
                <w:highlight w:val="none"/>
              </w:rPr>
            </w:pPr>
          </w:p>
        </w:tc>
        <w:tc>
          <w:tcPr>
            <w:tcW w:w="2342" w:type="dxa"/>
            <w:vAlign w:val="top"/>
          </w:tcPr>
          <w:p w14:paraId="61AEA9B1">
            <w:pPr>
              <w:spacing w:line="400" w:lineRule="exact"/>
              <w:rPr>
                <w:rFonts w:hint="eastAsia" w:ascii="宋体" w:hAnsi="宋体" w:eastAsia="宋体" w:cs="宋体"/>
                <w:color w:val="auto"/>
                <w:sz w:val="22"/>
                <w:szCs w:val="22"/>
                <w:highlight w:val="none"/>
              </w:rPr>
            </w:pPr>
          </w:p>
        </w:tc>
        <w:tc>
          <w:tcPr>
            <w:tcW w:w="1081" w:type="dxa"/>
            <w:vAlign w:val="top"/>
          </w:tcPr>
          <w:p w14:paraId="796E8E60">
            <w:pPr>
              <w:spacing w:line="400" w:lineRule="exact"/>
              <w:rPr>
                <w:rFonts w:hint="eastAsia" w:ascii="宋体" w:hAnsi="宋体" w:eastAsia="宋体" w:cs="宋体"/>
                <w:color w:val="auto"/>
                <w:sz w:val="22"/>
                <w:szCs w:val="22"/>
                <w:highlight w:val="none"/>
              </w:rPr>
            </w:pPr>
          </w:p>
        </w:tc>
        <w:tc>
          <w:tcPr>
            <w:tcW w:w="2342" w:type="dxa"/>
            <w:vAlign w:val="top"/>
          </w:tcPr>
          <w:p w14:paraId="20C04262">
            <w:pPr>
              <w:spacing w:line="400" w:lineRule="exact"/>
              <w:rPr>
                <w:rFonts w:hint="eastAsia" w:ascii="宋体" w:hAnsi="宋体" w:eastAsia="宋体" w:cs="宋体"/>
                <w:color w:val="auto"/>
                <w:sz w:val="22"/>
                <w:szCs w:val="22"/>
                <w:highlight w:val="none"/>
              </w:rPr>
            </w:pPr>
          </w:p>
        </w:tc>
        <w:tc>
          <w:tcPr>
            <w:tcW w:w="977" w:type="dxa"/>
            <w:vAlign w:val="top"/>
          </w:tcPr>
          <w:p w14:paraId="6D81E5DE">
            <w:pPr>
              <w:spacing w:line="400" w:lineRule="exact"/>
              <w:rPr>
                <w:rFonts w:hint="eastAsia" w:ascii="宋体" w:hAnsi="宋体" w:eastAsia="宋体" w:cs="宋体"/>
                <w:color w:val="auto"/>
                <w:sz w:val="22"/>
                <w:szCs w:val="22"/>
                <w:highlight w:val="none"/>
              </w:rPr>
            </w:pPr>
          </w:p>
        </w:tc>
      </w:tr>
      <w:tr w14:paraId="35BAA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14:paraId="6F33BEE6">
            <w:pPr>
              <w:spacing w:line="400" w:lineRule="exact"/>
              <w:jc w:val="center"/>
              <w:rPr>
                <w:rFonts w:hint="eastAsia" w:ascii="宋体" w:hAnsi="宋体" w:eastAsia="宋体" w:cs="宋体"/>
                <w:color w:val="auto"/>
                <w:sz w:val="22"/>
                <w:szCs w:val="22"/>
                <w:highlight w:val="none"/>
              </w:rPr>
            </w:pPr>
          </w:p>
        </w:tc>
        <w:tc>
          <w:tcPr>
            <w:tcW w:w="1746" w:type="dxa"/>
            <w:vAlign w:val="center"/>
          </w:tcPr>
          <w:p w14:paraId="449D5905">
            <w:pPr>
              <w:widowControl/>
              <w:jc w:val="center"/>
              <w:textAlignment w:val="center"/>
              <w:rPr>
                <w:rFonts w:hint="eastAsia" w:ascii="宋体" w:hAnsi="宋体" w:eastAsia="宋体" w:cs="宋体"/>
                <w:color w:val="auto"/>
                <w:sz w:val="22"/>
                <w:szCs w:val="22"/>
                <w:highlight w:val="none"/>
              </w:rPr>
            </w:pPr>
          </w:p>
        </w:tc>
        <w:tc>
          <w:tcPr>
            <w:tcW w:w="2342" w:type="dxa"/>
            <w:vAlign w:val="top"/>
          </w:tcPr>
          <w:p w14:paraId="71448FD3">
            <w:pPr>
              <w:spacing w:line="400" w:lineRule="exact"/>
              <w:rPr>
                <w:rFonts w:hint="eastAsia" w:ascii="宋体" w:hAnsi="宋体" w:eastAsia="宋体" w:cs="宋体"/>
                <w:color w:val="auto"/>
                <w:sz w:val="22"/>
                <w:szCs w:val="22"/>
                <w:highlight w:val="none"/>
              </w:rPr>
            </w:pPr>
          </w:p>
        </w:tc>
        <w:tc>
          <w:tcPr>
            <w:tcW w:w="1081" w:type="dxa"/>
            <w:vAlign w:val="top"/>
          </w:tcPr>
          <w:p w14:paraId="0A6DF9DB">
            <w:pPr>
              <w:spacing w:line="400" w:lineRule="exact"/>
              <w:rPr>
                <w:rFonts w:hint="eastAsia" w:ascii="宋体" w:hAnsi="宋体" w:eastAsia="宋体" w:cs="宋体"/>
                <w:color w:val="auto"/>
                <w:sz w:val="22"/>
                <w:szCs w:val="22"/>
                <w:highlight w:val="none"/>
              </w:rPr>
            </w:pPr>
          </w:p>
        </w:tc>
        <w:tc>
          <w:tcPr>
            <w:tcW w:w="2342" w:type="dxa"/>
            <w:vAlign w:val="top"/>
          </w:tcPr>
          <w:p w14:paraId="63ADD15B">
            <w:pPr>
              <w:spacing w:line="400" w:lineRule="exact"/>
              <w:rPr>
                <w:rFonts w:hint="eastAsia" w:ascii="宋体" w:hAnsi="宋体" w:eastAsia="宋体" w:cs="宋体"/>
                <w:color w:val="auto"/>
                <w:sz w:val="22"/>
                <w:szCs w:val="22"/>
                <w:highlight w:val="none"/>
              </w:rPr>
            </w:pPr>
          </w:p>
        </w:tc>
        <w:tc>
          <w:tcPr>
            <w:tcW w:w="977" w:type="dxa"/>
            <w:vAlign w:val="top"/>
          </w:tcPr>
          <w:p w14:paraId="1B626036">
            <w:pPr>
              <w:spacing w:line="400" w:lineRule="exact"/>
              <w:rPr>
                <w:rFonts w:hint="eastAsia" w:ascii="宋体" w:hAnsi="宋体" w:eastAsia="宋体" w:cs="宋体"/>
                <w:color w:val="auto"/>
                <w:sz w:val="22"/>
                <w:szCs w:val="22"/>
                <w:highlight w:val="none"/>
              </w:rPr>
            </w:pPr>
          </w:p>
        </w:tc>
      </w:tr>
      <w:tr w14:paraId="5F747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14:paraId="79E6F987">
            <w:pPr>
              <w:spacing w:line="400" w:lineRule="exact"/>
              <w:jc w:val="center"/>
              <w:rPr>
                <w:rFonts w:hint="eastAsia" w:ascii="宋体" w:hAnsi="宋体" w:eastAsia="宋体" w:cs="宋体"/>
                <w:color w:val="auto"/>
                <w:sz w:val="22"/>
                <w:szCs w:val="22"/>
                <w:highlight w:val="none"/>
              </w:rPr>
            </w:pPr>
          </w:p>
        </w:tc>
        <w:tc>
          <w:tcPr>
            <w:tcW w:w="1746" w:type="dxa"/>
            <w:vAlign w:val="center"/>
          </w:tcPr>
          <w:p w14:paraId="5D9882F6">
            <w:pPr>
              <w:widowControl/>
              <w:jc w:val="center"/>
              <w:textAlignment w:val="center"/>
              <w:rPr>
                <w:rFonts w:hint="eastAsia" w:ascii="宋体" w:hAnsi="宋体" w:eastAsia="宋体" w:cs="宋体"/>
                <w:color w:val="auto"/>
                <w:sz w:val="22"/>
                <w:szCs w:val="22"/>
                <w:highlight w:val="none"/>
              </w:rPr>
            </w:pPr>
          </w:p>
        </w:tc>
        <w:tc>
          <w:tcPr>
            <w:tcW w:w="2342" w:type="dxa"/>
            <w:vAlign w:val="top"/>
          </w:tcPr>
          <w:p w14:paraId="7A0B15BA">
            <w:pPr>
              <w:spacing w:line="400" w:lineRule="exact"/>
              <w:rPr>
                <w:rFonts w:hint="eastAsia" w:ascii="宋体" w:hAnsi="宋体" w:eastAsia="宋体" w:cs="宋体"/>
                <w:color w:val="auto"/>
                <w:sz w:val="22"/>
                <w:szCs w:val="22"/>
                <w:highlight w:val="none"/>
              </w:rPr>
            </w:pPr>
          </w:p>
        </w:tc>
        <w:tc>
          <w:tcPr>
            <w:tcW w:w="1081" w:type="dxa"/>
            <w:vAlign w:val="top"/>
          </w:tcPr>
          <w:p w14:paraId="7E7B07AA">
            <w:pPr>
              <w:spacing w:line="400" w:lineRule="exact"/>
              <w:rPr>
                <w:rFonts w:hint="eastAsia" w:ascii="宋体" w:hAnsi="宋体" w:eastAsia="宋体" w:cs="宋体"/>
                <w:color w:val="auto"/>
                <w:sz w:val="22"/>
                <w:szCs w:val="22"/>
                <w:highlight w:val="none"/>
              </w:rPr>
            </w:pPr>
          </w:p>
        </w:tc>
        <w:tc>
          <w:tcPr>
            <w:tcW w:w="2342" w:type="dxa"/>
            <w:vAlign w:val="top"/>
          </w:tcPr>
          <w:p w14:paraId="50981D27">
            <w:pPr>
              <w:spacing w:line="400" w:lineRule="exact"/>
              <w:rPr>
                <w:rFonts w:hint="eastAsia" w:ascii="宋体" w:hAnsi="宋体" w:eastAsia="宋体" w:cs="宋体"/>
                <w:color w:val="auto"/>
                <w:sz w:val="22"/>
                <w:szCs w:val="22"/>
                <w:highlight w:val="none"/>
              </w:rPr>
            </w:pPr>
          </w:p>
        </w:tc>
        <w:tc>
          <w:tcPr>
            <w:tcW w:w="977" w:type="dxa"/>
            <w:vAlign w:val="top"/>
          </w:tcPr>
          <w:p w14:paraId="64072012">
            <w:pPr>
              <w:spacing w:line="400" w:lineRule="exact"/>
              <w:rPr>
                <w:rFonts w:hint="eastAsia" w:ascii="宋体" w:hAnsi="宋体" w:eastAsia="宋体" w:cs="宋体"/>
                <w:color w:val="auto"/>
                <w:sz w:val="22"/>
                <w:szCs w:val="22"/>
                <w:highlight w:val="none"/>
              </w:rPr>
            </w:pPr>
          </w:p>
        </w:tc>
      </w:tr>
      <w:tr w14:paraId="75277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14:paraId="33CB5764">
            <w:pPr>
              <w:spacing w:line="400" w:lineRule="exact"/>
              <w:jc w:val="center"/>
              <w:rPr>
                <w:rFonts w:hint="eastAsia" w:ascii="宋体" w:hAnsi="宋体" w:eastAsia="宋体" w:cs="宋体"/>
                <w:color w:val="auto"/>
                <w:sz w:val="22"/>
                <w:szCs w:val="22"/>
                <w:highlight w:val="none"/>
              </w:rPr>
            </w:pPr>
          </w:p>
        </w:tc>
        <w:tc>
          <w:tcPr>
            <w:tcW w:w="1746" w:type="dxa"/>
            <w:vAlign w:val="top"/>
          </w:tcPr>
          <w:p w14:paraId="3E7EDA96">
            <w:pPr>
              <w:spacing w:line="400" w:lineRule="exact"/>
              <w:jc w:val="center"/>
              <w:rPr>
                <w:rFonts w:hint="eastAsia" w:ascii="宋体" w:hAnsi="宋体" w:eastAsia="宋体" w:cs="宋体"/>
                <w:color w:val="auto"/>
                <w:sz w:val="22"/>
                <w:szCs w:val="22"/>
                <w:highlight w:val="none"/>
              </w:rPr>
            </w:pPr>
          </w:p>
        </w:tc>
        <w:tc>
          <w:tcPr>
            <w:tcW w:w="2342" w:type="dxa"/>
            <w:vAlign w:val="top"/>
          </w:tcPr>
          <w:p w14:paraId="0FD945C2">
            <w:pPr>
              <w:spacing w:line="400" w:lineRule="exact"/>
              <w:rPr>
                <w:rFonts w:hint="eastAsia" w:ascii="宋体" w:hAnsi="宋体" w:eastAsia="宋体" w:cs="宋体"/>
                <w:color w:val="auto"/>
                <w:sz w:val="22"/>
                <w:szCs w:val="22"/>
                <w:highlight w:val="none"/>
              </w:rPr>
            </w:pPr>
          </w:p>
        </w:tc>
        <w:tc>
          <w:tcPr>
            <w:tcW w:w="1081" w:type="dxa"/>
            <w:vAlign w:val="top"/>
          </w:tcPr>
          <w:p w14:paraId="56EE0430">
            <w:pPr>
              <w:spacing w:line="400" w:lineRule="exact"/>
              <w:rPr>
                <w:rFonts w:hint="eastAsia" w:ascii="宋体" w:hAnsi="宋体" w:eastAsia="宋体" w:cs="宋体"/>
                <w:color w:val="auto"/>
                <w:sz w:val="22"/>
                <w:szCs w:val="22"/>
                <w:highlight w:val="none"/>
              </w:rPr>
            </w:pPr>
          </w:p>
        </w:tc>
        <w:tc>
          <w:tcPr>
            <w:tcW w:w="2342" w:type="dxa"/>
            <w:vAlign w:val="top"/>
          </w:tcPr>
          <w:p w14:paraId="583FF404">
            <w:pPr>
              <w:spacing w:line="400" w:lineRule="exact"/>
              <w:rPr>
                <w:rFonts w:hint="eastAsia" w:ascii="宋体" w:hAnsi="宋体" w:eastAsia="宋体" w:cs="宋体"/>
                <w:color w:val="auto"/>
                <w:sz w:val="22"/>
                <w:szCs w:val="22"/>
                <w:highlight w:val="none"/>
              </w:rPr>
            </w:pPr>
          </w:p>
        </w:tc>
        <w:tc>
          <w:tcPr>
            <w:tcW w:w="977" w:type="dxa"/>
            <w:vAlign w:val="top"/>
          </w:tcPr>
          <w:p w14:paraId="596AF65E">
            <w:pPr>
              <w:spacing w:line="400" w:lineRule="exact"/>
              <w:rPr>
                <w:rFonts w:hint="eastAsia" w:ascii="宋体" w:hAnsi="宋体" w:eastAsia="宋体" w:cs="宋体"/>
                <w:color w:val="auto"/>
                <w:sz w:val="22"/>
                <w:szCs w:val="22"/>
                <w:highlight w:val="none"/>
              </w:rPr>
            </w:pPr>
          </w:p>
        </w:tc>
      </w:tr>
      <w:tr w14:paraId="30B19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14:paraId="0FBAA94C">
            <w:pPr>
              <w:spacing w:line="400" w:lineRule="exact"/>
              <w:jc w:val="center"/>
              <w:rPr>
                <w:rFonts w:hint="eastAsia" w:ascii="宋体" w:hAnsi="宋体" w:eastAsia="宋体" w:cs="宋体"/>
                <w:color w:val="auto"/>
                <w:sz w:val="22"/>
                <w:szCs w:val="22"/>
                <w:highlight w:val="none"/>
              </w:rPr>
            </w:pPr>
          </w:p>
        </w:tc>
        <w:tc>
          <w:tcPr>
            <w:tcW w:w="1746" w:type="dxa"/>
            <w:vAlign w:val="top"/>
          </w:tcPr>
          <w:p w14:paraId="5A5F8E75">
            <w:pPr>
              <w:spacing w:line="400" w:lineRule="exact"/>
              <w:jc w:val="center"/>
              <w:rPr>
                <w:rFonts w:hint="eastAsia" w:ascii="宋体" w:hAnsi="宋体" w:eastAsia="宋体" w:cs="宋体"/>
                <w:color w:val="auto"/>
                <w:sz w:val="22"/>
                <w:szCs w:val="22"/>
                <w:highlight w:val="none"/>
              </w:rPr>
            </w:pPr>
          </w:p>
        </w:tc>
        <w:tc>
          <w:tcPr>
            <w:tcW w:w="2342" w:type="dxa"/>
            <w:vAlign w:val="top"/>
          </w:tcPr>
          <w:p w14:paraId="0CA2A15F">
            <w:pPr>
              <w:spacing w:line="400" w:lineRule="exact"/>
              <w:rPr>
                <w:rFonts w:hint="eastAsia" w:ascii="宋体" w:hAnsi="宋体" w:eastAsia="宋体" w:cs="宋体"/>
                <w:color w:val="auto"/>
                <w:sz w:val="22"/>
                <w:szCs w:val="22"/>
                <w:highlight w:val="none"/>
              </w:rPr>
            </w:pPr>
          </w:p>
        </w:tc>
        <w:tc>
          <w:tcPr>
            <w:tcW w:w="1081" w:type="dxa"/>
            <w:vAlign w:val="top"/>
          </w:tcPr>
          <w:p w14:paraId="00BDF416">
            <w:pPr>
              <w:spacing w:line="400" w:lineRule="exact"/>
              <w:rPr>
                <w:rFonts w:hint="eastAsia" w:ascii="宋体" w:hAnsi="宋体" w:eastAsia="宋体" w:cs="宋体"/>
                <w:color w:val="auto"/>
                <w:sz w:val="22"/>
                <w:szCs w:val="22"/>
                <w:highlight w:val="none"/>
              </w:rPr>
            </w:pPr>
          </w:p>
        </w:tc>
        <w:tc>
          <w:tcPr>
            <w:tcW w:w="2342" w:type="dxa"/>
            <w:vAlign w:val="top"/>
          </w:tcPr>
          <w:p w14:paraId="113AFD43">
            <w:pPr>
              <w:spacing w:line="400" w:lineRule="exact"/>
              <w:rPr>
                <w:rFonts w:hint="eastAsia" w:ascii="宋体" w:hAnsi="宋体" w:eastAsia="宋体" w:cs="宋体"/>
                <w:color w:val="auto"/>
                <w:sz w:val="22"/>
                <w:szCs w:val="22"/>
                <w:highlight w:val="none"/>
              </w:rPr>
            </w:pPr>
          </w:p>
        </w:tc>
        <w:tc>
          <w:tcPr>
            <w:tcW w:w="977" w:type="dxa"/>
            <w:vAlign w:val="top"/>
          </w:tcPr>
          <w:p w14:paraId="20ED884B">
            <w:pPr>
              <w:spacing w:line="400" w:lineRule="exact"/>
              <w:rPr>
                <w:rFonts w:hint="eastAsia" w:ascii="宋体" w:hAnsi="宋体" w:eastAsia="宋体" w:cs="宋体"/>
                <w:color w:val="auto"/>
                <w:sz w:val="22"/>
                <w:szCs w:val="22"/>
                <w:highlight w:val="none"/>
              </w:rPr>
            </w:pPr>
          </w:p>
        </w:tc>
      </w:tr>
      <w:tr w14:paraId="5F2C0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14:paraId="1A792E40">
            <w:pPr>
              <w:spacing w:line="400" w:lineRule="exact"/>
              <w:jc w:val="center"/>
              <w:rPr>
                <w:rFonts w:hint="eastAsia" w:ascii="宋体" w:hAnsi="宋体" w:eastAsia="宋体" w:cs="宋体"/>
                <w:color w:val="auto"/>
                <w:sz w:val="22"/>
                <w:szCs w:val="22"/>
                <w:highlight w:val="none"/>
              </w:rPr>
            </w:pPr>
          </w:p>
        </w:tc>
        <w:tc>
          <w:tcPr>
            <w:tcW w:w="1746" w:type="dxa"/>
            <w:vAlign w:val="top"/>
          </w:tcPr>
          <w:p w14:paraId="65597464">
            <w:pPr>
              <w:spacing w:line="400" w:lineRule="exact"/>
              <w:rPr>
                <w:rFonts w:hint="eastAsia" w:ascii="宋体" w:hAnsi="宋体" w:eastAsia="宋体" w:cs="宋体"/>
                <w:color w:val="auto"/>
                <w:sz w:val="22"/>
                <w:szCs w:val="22"/>
                <w:highlight w:val="none"/>
              </w:rPr>
            </w:pPr>
          </w:p>
        </w:tc>
        <w:tc>
          <w:tcPr>
            <w:tcW w:w="2342" w:type="dxa"/>
            <w:vAlign w:val="top"/>
          </w:tcPr>
          <w:p w14:paraId="5F9282AB">
            <w:pPr>
              <w:spacing w:line="400" w:lineRule="exact"/>
              <w:rPr>
                <w:rFonts w:hint="eastAsia" w:ascii="宋体" w:hAnsi="宋体" w:eastAsia="宋体" w:cs="宋体"/>
                <w:color w:val="auto"/>
                <w:sz w:val="22"/>
                <w:szCs w:val="22"/>
                <w:highlight w:val="none"/>
              </w:rPr>
            </w:pPr>
          </w:p>
        </w:tc>
        <w:tc>
          <w:tcPr>
            <w:tcW w:w="1081" w:type="dxa"/>
            <w:vAlign w:val="top"/>
          </w:tcPr>
          <w:p w14:paraId="59F127F0">
            <w:pPr>
              <w:spacing w:line="400" w:lineRule="exact"/>
              <w:rPr>
                <w:rFonts w:hint="eastAsia" w:ascii="宋体" w:hAnsi="宋体" w:eastAsia="宋体" w:cs="宋体"/>
                <w:color w:val="auto"/>
                <w:sz w:val="22"/>
                <w:szCs w:val="22"/>
                <w:highlight w:val="none"/>
              </w:rPr>
            </w:pPr>
          </w:p>
        </w:tc>
        <w:tc>
          <w:tcPr>
            <w:tcW w:w="2342" w:type="dxa"/>
            <w:vAlign w:val="top"/>
          </w:tcPr>
          <w:p w14:paraId="2B54EC08">
            <w:pPr>
              <w:spacing w:line="400" w:lineRule="exact"/>
              <w:rPr>
                <w:rFonts w:hint="eastAsia" w:ascii="宋体" w:hAnsi="宋体" w:eastAsia="宋体" w:cs="宋体"/>
                <w:color w:val="auto"/>
                <w:sz w:val="22"/>
                <w:szCs w:val="22"/>
                <w:highlight w:val="none"/>
              </w:rPr>
            </w:pPr>
          </w:p>
        </w:tc>
        <w:tc>
          <w:tcPr>
            <w:tcW w:w="977" w:type="dxa"/>
            <w:vAlign w:val="top"/>
          </w:tcPr>
          <w:p w14:paraId="74B3688D">
            <w:pPr>
              <w:spacing w:line="400" w:lineRule="exact"/>
              <w:rPr>
                <w:rFonts w:hint="eastAsia" w:ascii="宋体" w:hAnsi="宋体" w:eastAsia="宋体" w:cs="宋体"/>
                <w:color w:val="auto"/>
                <w:sz w:val="22"/>
                <w:szCs w:val="22"/>
                <w:highlight w:val="none"/>
              </w:rPr>
            </w:pPr>
          </w:p>
        </w:tc>
      </w:tr>
      <w:tr w14:paraId="4CF59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14:paraId="7B7A8BBE">
            <w:pPr>
              <w:spacing w:line="400" w:lineRule="exact"/>
              <w:jc w:val="center"/>
              <w:rPr>
                <w:rFonts w:hint="eastAsia" w:ascii="宋体" w:hAnsi="宋体" w:eastAsia="宋体" w:cs="宋体"/>
                <w:color w:val="auto"/>
                <w:sz w:val="22"/>
                <w:szCs w:val="22"/>
                <w:highlight w:val="none"/>
              </w:rPr>
            </w:pPr>
          </w:p>
        </w:tc>
        <w:tc>
          <w:tcPr>
            <w:tcW w:w="1746" w:type="dxa"/>
            <w:vAlign w:val="top"/>
          </w:tcPr>
          <w:p w14:paraId="7A463D13">
            <w:pPr>
              <w:spacing w:line="400" w:lineRule="exact"/>
              <w:rPr>
                <w:rFonts w:hint="eastAsia" w:ascii="宋体" w:hAnsi="宋体" w:eastAsia="宋体" w:cs="宋体"/>
                <w:color w:val="auto"/>
                <w:sz w:val="22"/>
                <w:szCs w:val="22"/>
                <w:highlight w:val="none"/>
              </w:rPr>
            </w:pPr>
          </w:p>
        </w:tc>
        <w:tc>
          <w:tcPr>
            <w:tcW w:w="2342" w:type="dxa"/>
            <w:vAlign w:val="top"/>
          </w:tcPr>
          <w:p w14:paraId="34CFB0C8">
            <w:pPr>
              <w:spacing w:line="400" w:lineRule="exact"/>
              <w:rPr>
                <w:rFonts w:hint="eastAsia" w:ascii="宋体" w:hAnsi="宋体" w:eastAsia="宋体" w:cs="宋体"/>
                <w:color w:val="auto"/>
                <w:sz w:val="22"/>
                <w:szCs w:val="22"/>
                <w:highlight w:val="none"/>
              </w:rPr>
            </w:pPr>
          </w:p>
        </w:tc>
        <w:tc>
          <w:tcPr>
            <w:tcW w:w="1081" w:type="dxa"/>
            <w:vAlign w:val="top"/>
          </w:tcPr>
          <w:p w14:paraId="5E287F62">
            <w:pPr>
              <w:spacing w:line="400" w:lineRule="exact"/>
              <w:rPr>
                <w:rFonts w:hint="eastAsia" w:ascii="宋体" w:hAnsi="宋体" w:eastAsia="宋体" w:cs="宋体"/>
                <w:color w:val="auto"/>
                <w:sz w:val="22"/>
                <w:szCs w:val="22"/>
                <w:highlight w:val="none"/>
              </w:rPr>
            </w:pPr>
          </w:p>
        </w:tc>
        <w:tc>
          <w:tcPr>
            <w:tcW w:w="2342" w:type="dxa"/>
            <w:vAlign w:val="top"/>
          </w:tcPr>
          <w:p w14:paraId="168EA64F">
            <w:pPr>
              <w:spacing w:line="400" w:lineRule="exact"/>
              <w:rPr>
                <w:rFonts w:hint="eastAsia" w:ascii="宋体" w:hAnsi="宋体" w:eastAsia="宋体" w:cs="宋体"/>
                <w:color w:val="auto"/>
                <w:sz w:val="22"/>
                <w:szCs w:val="22"/>
                <w:highlight w:val="none"/>
              </w:rPr>
            </w:pPr>
          </w:p>
        </w:tc>
        <w:tc>
          <w:tcPr>
            <w:tcW w:w="977" w:type="dxa"/>
            <w:vAlign w:val="top"/>
          </w:tcPr>
          <w:p w14:paraId="2D12B026">
            <w:pPr>
              <w:spacing w:line="400" w:lineRule="exact"/>
              <w:rPr>
                <w:rFonts w:hint="eastAsia" w:ascii="宋体" w:hAnsi="宋体" w:eastAsia="宋体" w:cs="宋体"/>
                <w:color w:val="auto"/>
                <w:sz w:val="22"/>
                <w:szCs w:val="22"/>
                <w:highlight w:val="none"/>
              </w:rPr>
            </w:pPr>
          </w:p>
        </w:tc>
      </w:tr>
      <w:tr w14:paraId="24974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14:paraId="5A1E5C71">
            <w:pPr>
              <w:spacing w:line="400" w:lineRule="exact"/>
              <w:jc w:val="center"/>
              <w:rPr>
                <w:rFonts w:hint="eastAsia" w:ascii="宋体" w:hAnsi="宋体" w:eastAsia="宋体" w:cs="宋体"/>
                <w:color w:val="auto"/>
                <w:sz w:val="22"/>
                <w:szCs w:val="22"/>
                <w:highlight w:val="none"/>
              </w:rPr>
            </w:pPr>
          </w:p>
        </w:tc>
        <w:tc>
          <w:tcPr>
            <w:tcW w:w="1746" w:type="dxa"/>
            <w:vAlign w:val="top"/>
          </w:tcPr>
          <w:p w14:paraId="6DFE4D9B">
            <w:pPr>
              <w:spacing w:line="400" w:lineRule="exact"/>
              <w:rPr>
                <w:rFonts w:hint="eastAsia" w:ascii="宋体" w:hAnsi="宋体" w:eastAsia="宋体" w:cs="宋体"/>
                <w:color w:val="auto"/>
                <w:sz w:val="22"/>
                <w:szCs w:val="22"/>
                <w:highlight w:val="none"/>
              </w:rPr>
            </w:pPr>
          </w:p>
        </w:tc>
        <w:tc>
          <w:tcPr>
            <w:tcW w:w="2342" w:type="dxa"/>
            <w:vAlign w:val="top"/>
          </w:tcPr>
          <w:p w14:paraId="40B52D10">
            <w:pPr>
              <w:spacing w:line="400" w:lineRule="exact"/>
              <w:rPr>
                <w:rFonts w:hint="eastAsia" w:ascii="宋体" w:hAnsi="宋体" w:eastAsia="宋体" w:cs="宋体"/>
                <w:color w:val="auto"/>
                <w:sz w:val="22"/>
                <w:szCs w:val="22"/>
                <w:highlight w:val="none"/>
              </w:rPr>
            </w:pPr>
          </w:p>
        </w:tc>
        <w:tc>
          <w:tcPr>
            <w:tcW w:w="1081" w:type="dxa"/>
            <w:vAlign w:val="top"/>
          </w:tcPr>
          <w:p w14:paraId="6F509734">
            <w:pPr>
              <w:spacing w:line="400" w:lineRule="exact"/>
              <w:rPr>
                <w:rFonts w:hint="eastAsia" w:ascii="宋体" w:hAnsi="宋体" w:eastAsia="宋体" w:cs="宋体"/>
                <w:color w:val="auto"/>
                <w:sz w:val="22"/>
                <w:szCs w:val="22"/>
                <w:highlight w:val="none"/>
              </w:rPr>
            </w:pPr>
          </w:p>
        </w:tc>
        <w:tc>
          <w:tcPr>
            <w:tcW w:w="2342" w:type="dxa"/>
            <w:vAlign w:val="top"/>
          </w:tcPr>
          <w:p w14:paraId="4CC33282">
            <w:pPr>
              <w:spacing w:line="400" w:lineRule="exact"/>
              <w:rPr>
                <w:rFonts w:hint="eastAsia" w:ascii="宋体" w:hAnsi="宋体" w:eastAsia="宋体" w:cs="宋体"/>
                <w:color w:val="auto"/>
                <w:sz w:val="22"/>
                <w:szCs w:val="22"/>
                <w:highlight w:val="none"/>
              </w:rPr>
            </w:pPr>
          </w:p>
        </w:tc>
        <w:tc>
          <w:tcPr>
            <w:tcW w:w="977" w:type="dxa"/>
            <w:vAlign w:val="top"/>
          </w:tcPr>
          <w:p w14:paraId="641C4067">
            <w:pPr>
              <w:spacing w:line="400" w:lineRule="exact"/>
              <w:rPr>
                <w:rFonts w:hint="eastAsia" w:ascii="宋体" w:hAnsi="宋体" w:eastAsia="宋体" w:cs="宋体"/>
                <w:color w:val="auto"/>
                <w:sz w:val="22"/>
                <w:szCs w:val="22"/>
                <w:highlight w:val="none"/>
              </w:rPr>
            </w:pPr>
          </w:p>
        </w:tc>
      </w:tr>
      <w:tr w14:paraId="487BF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14:paraId="18031F5C">
            <w:pPr>
              <w:spacing w:line="400" w:lineRule="exact"/>
              <w:jc w:val="center"/>
              <w:rPr>
                <w:rFonts w:hint="eastAsia" w:ascii="宋体" w:hAnsi="宋体" w:eastAsia="宋体" w:cs="宋体"/>
                <w:color w:val="auto"/>
                <w:sz w:val="22"/>
                <w:szCs w:val="22"/>
                <w:highlight w:val="none"/>
              </w:rPr>
            </w:pPr>
          </w:p>
        </w:tc>
        <w:tc>
          <w:tcPr>
            <w:tcW w:w="1746" w:type="dxa"/>
            <w:vAlign w:val="top"/>
          </w:tcPr>
          <w:p w14:paraId="2ED71CF2">
            <w:pPr>
              <w:spacing w:line="400" w:lineRule="exact"/>
              <w:rPr>
                <w:rFonts w:hint="eastAsia" w:ascii="宋体" w:hAnsi="宋体" w:eastAsia="宋体" w:cs="宋体"/>
                <w:color w:val="auto"/>
                <w:sz w:val="22"/>
                <w:szCs w:val="22"/>
                <w:highlight w:val="none"/>
              </w:rPr>
            </w:pPr>
          </w:p>
        </w:tc>
        <w:tc>
          <w:tcPr>
            <w:tcW w:w="2342" w:type="dxa"/>
            <w:vAlign w:val="top"/>
          </w:tcPr>
          <w:p w14:paraId="3BF43D5F">
            <w:pPr>
              <w:spacing w:line="400" w:lineRule="exact"/>
              <w:rPr>
                <w:rFonts w:hint="eastAsia" w:ascii="宋体" w:hAnsi="宋体" w:eastAsia="宋体" w:cs="宋体"/>
                <w:color w:val="auto"/>
                <w:sz w:val="22"/>
                <w:szCs w:val="22"/>
                <w:highlight w:val="none"/>
              </w:rPr>
            </w:pPr>
          </w:p>
        </w:tc>
        <w:tc>
          <w:tcPr>
            <w:tcW w:w="1081" w:type="dxa"/>
            <w:vAlign w:val="top"/>
          </w:tcPr>
          <w:p w14:paraId="1D05FCF6">
            <w:pPr>
              <w:spacing w:line="400" w:lineRule="exact"/>
              <w:rPr>
                <w:rFonts w:hint="eastAsia" w:ascii="宋体" w:hAnsi="宋体" w:eastAsia="宋体" w:cs="宋体"/>
                <w:color w:val="auto"/>
                <w:sz w:val="22"/>
                <w:szCs w:val="22"/>
                <w:highlight w:val="none"/>
              </w:rPr>
            </w:pPr>
          </w:p>
        </w:tc>
        <w:tc>
          <w:tcPr>
            <w:tcW w:w="2342" w:type="dxa"/>
            <w:vAlign w:val="top"/>
          </w:tcPr>
          <w:p w14:paraId="39F160E1">
            <w:pPr>
              <w:spacing w:line="400" w:lineRule="exact"/>
              <w:rPr>
                <w:rFonts w:hint="eastAsia" w:ascii="宋体" w:hAnsi="宋体" w:eastAsia="宋体" w:cs="宋体"/>
                <w:color w:val="auto"/>
                <w:sz w:val="22"/>
                <w:szCs w:val="22"/>
                <w:highlight w:val="none"/>
              </w:rPr>
            </w:pPr>
          </w:p>
        </w:tc>
        <w:tc>
          <w:tcPr>
            <w:tcW w:w="977" w:type="dxa"/>
            <w:vAlign w:val="top"/>
          </w:tcPr>
          <w:p w14:paraId="6C4D1A61">
            <w:pPr>
              <w:spacing w:line="400" w:lineRule="exact"/>
              <w:rPr>
                <w:rFonts w:hint="eastAsia" w:ascii="宋体" w:hAnsi="宋体" w:eastAsia="宋体" w:cs="宋体"/>
                <w:color w:val="auto"/>
                <w:sz w:val="22"/>
                <w:szCs w:val="22"/>
                <w:highlight w:val="none"/>
              </w:rPr>
            </w:pPr>
          </w:p>
        </w:tc>
      </w:tr>
    </w:tbl>
    <w:p w14:paraId="757C825D">
      <w:pPr>
        <w:spacing w:line="460" w:lineRule="exact"/>
        <w:ind w:left="-2" w:leftChars="-1" w:firstLine="585" w:firstLineChars="244"/>
        <w:rPr>
          <w:rFonts w:hint="eastAsia" w:ascii="宋体" w:hAnsi="宋体" w:eastAsia="宋体" w:cs="宋体"/>
          <w:color w:val="auto"/>
          <w:sz w:val="24"/>
          <w:highlight w:val="none"/>
        </w:rPr>
      </w:pPr>
    </w:p>
    <w:p w14:paraId="45B2846D">
      <w:pPr>
        <w:spacing w:line="400" w:lineRule="exact"/>
        <w:jc w:val="left"/>
        <w:rPr>
          <w:rFonts w:hint="eastAsia" w:ascii="宋体" w:hAnsi="宋体" w:eastAsia="宋体" w:cs="宋体"/>
          <w:color w:val="auto"/>
          <w:sz w:val="24"/>
          <w:highlight w:val="none"/>
        </w:rPr>
      </w:pPr>
    </w:p>
    <w:p w14:paraId="5B25CA16">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投标人（公章）：</w:t>
      </w:r>
    </w:p>
    <w:p w14:paraId="2E859593">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法定代表人或授权代表（签字或盖章）：</w:t>
      </w:r>
    </w:p>
    <w:p w14:paraId="3705C324">
      <w:pPr>
        <w:spacing w:line="400" w:lineRule="exact"/>
        <w:ind w:firstLine="4353" w:firstLineChars="2073"/>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color w:val="auto"/>
          <w:kern w:val="0"/>
          <w:szCs w:val="21"/>
          <w:highlight w:val="none"/>
        </w:rPr>
        <w:t>日期：</w:t>
      </w:r>
      <w:r>
        <w:rPr>
          <w:rFonts w:hint="eastAsia" w:ascii="宋体" w:hAnsi="宋体" w:eastAsia="宋体" w:cs="宋体"/>
          <w:b/>
          <w:bCs/>
          <w:color w:val="auto"/>
          <w:kern w:val="2"/>
          <w:sz w:val="24"/>
          <w:szCs w:val="24"/>
          <w:highlight w:val="none"/>
          <w:lang w:val="en-US" w:eastAsia="zh-CN" w:bidi="ar-SA"/>
        </w:rPr>
        <w:br w:type="page"/>
      </w:r>
    </w:p>
    <w:p w14:paraId="3C649780">
      <w:pPr>
        <w:pStyle w:val="3"/>
        <w:jc w:val="center"/>
        <w:rPr>
          <w:rFonts w:hint="eastAsia" w:ascii="宋体" w:hAnsi="宋体" w:eastAsia="宋体" w:cs="宋体"/>
          <w:color w:val="auto"/>
          <w:sz w:val="24"/>
          <w:szCs w:val="24"/>
          <w:highlight w:val="none"/>
        </w:rPr>
      </w:pPr>
      <w:bookmarkStart w:id="359" w:name="_Toc5431"/>
      <w:bookmarkStart w:id="360" w:name="_Toc32445"/>
      <w:r>
        <w:rPr>
          <w:rFonts w:hint="eastAsia" w:ascii="宋体" w:hAnsi="宋体" w:eastAsia="宋体" w:cs="宋体"/>
          <w:color w:val="auto"/>
          <w:sz w:val="24"/>
          <w:szCs w:val="24"/>
          <w:highlight w:val="none"/>
        </w:rPr>
        <w:t>附件</w:t>
      </w: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rPr>
        <w:t xml:space="preserve">  </w:t>
      </w:r>
      <w:bookmarkEnd w:id="349"/>
      <w:bookmarkEnd w:id="350"/>
      <w:bookmarkEnd w:id="351"/>
      <w:r>
        <w:rPr>
          <w:rFonts w:hint="eastAsia" w:ascii="宋体" w:hAnsi="宋体" w:eastAsia="宋体" w:cs="宋体"/>
          <w:color w:val="auto"/>
          <w:sz w:val="24"/>
          <w:szCs w:val="24"/>
          <w:highlight w:val="none"/>
        </w:rPr>
        <w:t>技术（或商务）偏离表</w:t>
      </w:r>
      <w:bookmarkEnd w:id="359"/>
      <w:bookmarkEnd w:id="360"/>
    </w:p>
    <w:p w14:paraId="1185D18F">
      <w:pPr>
        <w:jc w:val="center"/>
        <w:rPr>
          <w:rFonts w:hint="eastAsia" w:ascii="宋体" w:hAnsi="宋体" w:eastAsia="宋体" w:cs="宋体"/>
          <w:color w:val="auto"/>
          <w:highlight w:val="none"/>
        </w:rPr>
      </w:pPr>
      <w:r>
        <w:rPr>
          <w:rFonts w:hint="eastAsia" w:ascii="宋体" w:hAnsi="宋体" w:eastAsia="宋体" w:cs="宋体"/>
          <w:color w:val="auto"/>
          <w:highlight w:val="none"/>
        </w:rPr>
        <w:t>（商务和技术须分别填写）</w:t>
      </w:r>
    </w:p>
    <w:tbl>
      <w:tblPr>
        <w:tblStyle w:val="49"/>
        <w:tblW w:w="9356" w:type="dxa"/>
        <w:tblInd w:w="-34"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93"/>
        <w:gridCol w:w="4181"/>
        <w:gridCol w:w="4182"/>
      </w:tblGrid>
      <w:tr w14:paraId="4E8D2D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993" w:type="dxa"/>
            <w:vAlign w:val="center"/>
          </w:tcPr>
          <w:p w14:paraId="480300BD">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序号</w:t>
            </w:r>
          </w:p>
        </w:tc>
        <w:tc>
          <w:tcPr>
            <w:tcW w:w="4181" w:type="dxa"/>
            <w:vAlign w:val="center"/>
          </w:tcPr>
          <w:p w14:paraId="38D9C2B2">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招标文件重述</w:t>
            </w:r>
          </w:p>
        </w:tc>
        <w:tc>
          <w:tcPr>
            <w:tcW w:w="4182" w:type="dxa"/>
            <w:vAlign w:val="center"/>
          </w:tcPr>
          <w:p w14:paraId="136CC246">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投标供应商偏离</w:t>
            </w:r>
          </w:p>
        </w:tc>
      </w:tr>
      <w:tr w14:paraId="05210D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55" w:hRule="atLeast"/>
        </w:trPr>
        <w:tc>
          <w:tcPr>
            <w:tcW w:w="993" w:type="dxa"/>
            <w:vAlign w:val="top"/>
          </w:tcPr>
          <w:p w14:paraId="0AE35673">
            <w:pPr>
              <w:ind w:firstLine="592"/>
              <w:jc w:val="left"/>
              <w:rPr>
                <w:rFonts w:hint="eastAsia" w:ascii="宋体" w:hAnsi="宋体" w:eastAsia="宋体" w:cs="宋体"/>
                <w:color w:val="auto"/>
                <w:highlight w:val="none"/>
              </w:rPr>
            </w:pPr>
          </w:p>
        </w:tc>
        <w:tc>
          <w:tcPr>
            <w:tcW w:w="4181" w:type="dxa"/>
            <w:vAlign w:val="top"/>
          </w:tcPr>
          <w:p w14:paraId="0CEF7E53">
            <w:pPr>
              <w:ind w:firstLine="592"/>
              <w:jc w:val="left"/>
              <w:rPr>
                <w:rFonts w:hint="eastAsia" w:ascii="宋体" w:hAnsi="宋体" w:eastAsia="宋体" w:cs="宋体"/>
                <w:color w:val="auto"/>
                <w:highlight w:val="none"/>
              </w:rPr>
            </w:pPr>
          </w:p>
        </w:tc>
        <w:tc>
          <w:tcPr>
            <w:tcW w:w="4182" w:type="dxa"/>
            <w:vAlign w:val="top"/>
          </w:tcPr>
          <w:p w14:paraId="5D9AB528">
            <w:pPr>
              <w:ind w:firstLine="592"/>
              <w:jc w:val="left"/>
              <w:rPr>
                <w:rFonts w:hint="eastAsia" w:ascii="宋体" w:hAnsi="宋体" w:eastAsia="宋体" w:cs="宋体"/>
                <w:color w:val="auto"/>
                <w:highlight w:val="none"/>
              </w:rPr>
            </w:pPr>
          </w:p>
        </w:tc>
      </w:tr>
    </w:tbl>
    <w:p w14:paraId="7B51E16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highlight w:val="none"/>
        </w:rPr>
      </w:pPr>
      <w:r>
        <w:rPr>
          <w:rFonts w:hint="eastAsia" w:ascii="宋体" w:hAnsi="宋体" w:eastAsia="宋体" w:cs="宋体"/>
          <w:snapToGrid w:val="0"/>
          <w:color w:val="auto"/>
          <w:kern w:val="0"/>
          <w:highlight w:val="none"/>
        </w:rPr>
        <w:t>注：此表可扩展使用，如有偏离，必须在偏离表中进行详细对比说明并注明正偏离和负偏离，如不说明偏离情况或未提供此表，均视为完全响应招标文件要求无偏离</w:t>
      </w:r>
      <w:r>
        <w:rPr>
          <w:rFonts w:hint="eastAsia" w:ascii="宋体" w:hAnsi="宋体" w:eastAsia="宋体" w:cs="宋体"/>
          <w:color w:val="auto"/>
          <w:highlight w:val="none"/>
        </w:rPr>
        <w:t>。</w:t>
      </w:r>
    </w:p>
    <w:p w14:paraId="5769180F">
      <w:pPr>
        <w:spacing w:line="400" w:lineRule="exact"/>
        <w:ind w:firstLine="4353" w:firstLineChars="2073"/>
        <w:rPr>
          <w:rFonts w:hint="eastAsia" w:ascii="宋体" w:hAnsi="宋体" w:eastAsia="宋体" w:cs="宋体"/>
          <w:color w:val="auto"/>
          <w:kern w:val="0"/>
          <w:szCs w:val="21"/>
          <w:highlight w:val="none"/>
        </w:rPr>
      </w:pPr>
    </w:p>
    <w:p w14:paraId="471B6D2E">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投标供应商（公章）：</w:t>
      </w:r>
    </w:p>
    <w:p w14:paraId="7F2ABBB3">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法定代表人或授权代表（签字或盖章）：</w:t>
      </w:r>
    </w:p>
    <w:p w14:paraId="24B2478B">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日期：</w:t>
      </w:r>
    </w:p>
    <w:p w14:paraId="3AB2CF7A">
      <w:pPr>
        <w:spacing w:line="400" w:lineRule="exact"/>
        <w:ind w:firstLine="4353" w:firstLineChars="2073"/>
        <w:rPr>
          <w:rFonts w:hint="eastAsia" w:ascii="宋体" w:hAnsi="宋体" w:eastAsia="宋体" w:cs="宋体"/>
          <w:color w:val="auto"/>
          <w:kern w:val="0"/>
          <w:szCs w:val="21"/>
          <w:highlight w:val="none"/>
        </w:rPr>
      </w:pPr>
    </w:p>
    <w:p w14:paraId="38124E59">
      <w:pPr>
        <w:spacing w:line="400" w:lineRule="exact"/>
        <w:rPr>
          <w:rFonts w:hint="eastAsia" w:ascii="宋体" w:hAnsi="宋体" w:eastAsia="宋体" w:cs="宋体"/>
          <w:b/>
          <w:bCs/>
          <w:color w:val="auto"/>
          <w:sz w:val="24"/>
          <w:highlight w:val="none"/>
        </w:rPr>
        <w:sectPr>
          <w:headerReference r:id="rId7" w:type="first"/>
          <w:footerReference r:id="rId9" w:type="first"/>
          <w:footerReference r:id="rId8" w:type="default"/>
          <w:pgSz w:w="11906" w:h="16838"/>
          <w:pgMar w:top="1244" w:right="1418" w:bottom="1134" w:left="1418" w:header="680" w:footer="992" w:gutter="0"/>
          <w:pgBorders>
            <w:top w:val="none" w:sz="0" w:space="0"/>
            <w:left w:val="none" w:sz="0" w:space="0"/>
            <w:bottom w:val="none" w:sz="0" w:space="0"/>
            <w:right w:val="none" w:sz="0" w:space="0"/>
          </w:pgBorders>
          <w:pgNumType w:fmt="decimal"/>
          <w:cols w:space="720" w:num="1"/>
          <w:titlePg/>
          <w:docGrid w:type="lines" w:linePitch="312" w:charSpace="0"/>
        </w:sectPr>
      </w:pPr>
    </w:p>
    <w:bookmarkEnd w:id="348"/>
    <w:p w14:paraId="4DFF653E">
      <w:pPr>
        <w:pStyle w:val="3"/>
        <w:jc w:val="center"/>
        <w:rPr>
          <w:rFonts w:hint="eastAsia" w:ascii="宋体" w:hAnsi="宋体" w:eastAsia="宋体" w:cs="宋体"/>
          <w:color w:val="auto"/>
          <w:szCs w:val="24"/>
          <w:highlight w:val="none"/>
        </w:rPr>
      </w:pPr>
      <w:bookmarkStart w:id="361" w:name="_Toc13891"/>
      <w:bookmarkStart w:id="362" w:name="_Toc11738"/>
      <w:bookmarkStart w:id="363" w:name="_Toc306"/>
      <w:bookmarkStart w:id="364" w:name="_Toc19733"/>
      <w:bookmarkStart w:id="365" w:name="_Toc28822"/>
      <w:r>
        <w:rPr>
          <w:rFonts w:hint="eastAsia" w:ascii="宋体" w:hAnsi="宋体" w:eastAsia="宋体" w:cs="宋体"/>
          <w:color w:val="auto"/>
          <w:sz w:val="24"/>
          <w:szCs w:val="24"/>
          <w:highlight w:val="none"/>
        </w:rPr>
        <w:t>附件</w:t>
      </w:r>
      <w:r>
        <w:rPr>
          <w:rFonts w:hint="eastAsia" w:ascii="宋体" w:hAnsi="宋体" w:eastAsia="宋体" w:cs="宋体"/>
          <w:color w:val="auto"/>
          <w:sz w:val="24"/>
          <w:szCs w:val="24"/>
          <w:highlight w:val="none"/>
          <w:lang w:val="en-US" w:eastAsia="zh-CN"/>
        </w:rPr>
        <w:t>11</w:t>
      </w:r>
      <w:r>
        <w:rPr>
          <w:rFonts w:hint="eastAsia" w:ascii="宋体" w:hAnsi="宋体" w:eastAsia="宋体" w:cs="宋体"/>
          <w:color w:val="auto"/>
          <w:sz w:val="24"/>
          <w:szCs w:val="24"/>
          <w:highlight w:val="none"/>
        </w:rPr>
        <w:t xml:space="preserve">  </w:t>
      </w:r>
      <w:bookmarkStart w:id="366" w:name="OLE_LINK5"/>
      <w:r>
        <w:rPr>
          <w:rFonts w:hint="eastAsia" w:ascii="宋体" w:hAnsi="宋体" w:eastAsia="宋体" w:cs="宋体"/>
          <w:color w:val="auto"/>
          <w:sz w:val="24"/>
          <w:szCs w:val="24"/>
          <w:highlight w:val="none"/>
        </w:rPr>
        <w:t>服务承诺</w:t>
      </w:r>
      <w:bookmarkEnd w:id="361"/>
      <w:bookmarkEnd w:id="362"/>
      <w:bookmarkEnd w:id="363"/>
      <w:bookmarkEnd w:id="366"/>
    </w:p>
    <w:p w14:paraId="0AB29AE7">
      <w:pPr>
        <w:spacing w:line="400" w:lineRule="exact"/>
        <w:ind w:firstLine="525" w:firstLineChars="250"/>
        <w:rPr>
          <w:rFonts w:hint="eastAsia" w:ascii="宋体" w:hAnsi="宋体" w:eastAsia="宋体" w:cs="宋体"/>
          <w:color w:val="auto"/>
          <w:kern w:val="0"/>
          <w:szCs w:val="21"/>
          <w:highlight w:val="none"/>
        </w:rPr>
      </w:pPr>
      <w:r>
        <w:rPr>
          <w:rFonts w:hint="eastAsia" w:ascii="宋体" w:hAnsi="宋体" w:eastAsia="宋体" w:cs="宋体"/>
          <w:snapToGrid w:val="0"/>
          <w:color w:val="auto"/>
          <w:szCs w:val="21"/>
          <w:highlight w:val="none"/>
        </w:rPr>
        <w:t>包括但不限于：售后服务详细的计划方案说明与承诺、产品的质保期、故障响应修复时间方式及保障措施，距离</w:t>
      </w:r>
      <w:r>
        <w:rPr>
          <w:rFonts w:hint="eastAsia" w:ascii="宋体" w:hAnsi="宋体" w:eastAsia="宋体" w:cs="宋体"/>
          <w:snapToGrid w:val="0"/>
          <w:color w:val="auto"/>
          <w:szCs w:val="21"/>
          <w:highlight w:val="none"/>
          <w:lang w:eastAsia="zh-CN"/>
        </w:rPr>
        <w:t>采购人</w:t>
      </w:r>
      <w:r>
        <w:rPr>
          <w:rFonts w:hint="eastAsia" w:ascii="宋体" w:hAnsi="宋体" w:eastAsia="宋体" w:cs="宋体"/>
          <w:snapToGrid w:val="0"/>
          <w:color w:val="auto"/>
          <w:szCs w:val="21"/>
          <w:highlight w:val="none"/>
        </w:rPr>
        <w:t>最近的办事处、售后服务机构或供货点的详细介绍、服务机构总负责人、电话、地址、人员配置等；质保期外服务收费内容及保证措施。</w:t>
      </w:r>
    </w:p>
    <w:p w14:paraId="344B7BB6">
      <w:pPr>
        <w:spacing w:line="400" w:lineRule="exact"/>
        <w:ind w:firstLine="525" w:firstLineChars="250"/>
        <w:rPr>
          <w:rFonts w:hint="eastAsia" w:ascii="宋体" w:hAnsi="宋体" w:eastAsia="宋体" w:cs="宋体"/>
          <w:color w:val="auto"/>
          <w:kern w:val="0"/>
          <w:szCs w:val="21"/>
          <w:highlight w:val="none"/>
        </w:rPr>
      </w:pPr>
    </w:p>
    <w:p w14:paraId="695443F7">
      <w:pPr>
        <w:spacing w:line="400" w:lineRule="exact"/>
        <w:ind w:firstLine="4353" w:firstLineChars="2073"/>
        <w:rPr>
          <w:rFonts w:hint="eastAsia" w:ascii="宋体" w:hAnsi="宋体" w:eastAsia="宋体" w:cs="宋体"/>
          <w:color w:val="auto"/>
          <w:kern w:val="0"/>
          <w:szCs w:val="21"/>
          <w:highlight w:val="none"/>
        </w:rPr>
      </w:pPr>
    </w:p>
    <w:p w14:paraId="39198BDF">
      <w:pPr>
        <w:spacing w:line="400" w:lineRule="exact"/>
        <w:jc w:val="center"/>
        <w:outlineLvl w:val="0"/>
        <w:rPr>
          <w:rFonts w:hint="eastAsia" w:ascii="宋体" w:hAnsi="宋体" w:eastAsia="宋体" w:cs="宋体"/>
          <w:b/>
          <w:bCs/>
          <w:color w:val="auto"/>
          <w:szCs w:val="28"/>
          <w:highlight w:val="none"/>
        </w:rPr>
      </w:pPr>
      <w:r>
        <w:rPr>
          <w:rFonts w:hint="eastAsia" w:ascii="宋体" w:hAnsi="宋体" w:eastAsia="宋体" w:cs="宋体"/>
          <w:b/>
          <w:color w:val="auto"/>
          <w:kern w:val="0"/>
          <w:sz w:val="24"/>
          <w:szCs w:val="24"/>
          <w:highlight w:val="none"/>
        </w:rPr>
        <w:br w:type="page"/>
      </w:r>
      <w:bookmarkStart w:id="367" w:name="_Toc14616"/>
      <w:r>
        <w:rPr>
          <w:rFonts w:hint="eastAsia" w:ascii="宋体" w:hAnsi="宋体" w:eastAsia="宋体" w:cs="宋体"/>
          <w:b/>
          <w:bCs/>
          <w:color w:val="auto"/>
          <w:sz w:val="28"/>
          <w:szCs w:val="40"/>
          <w:highlight w:val="none"/>
        </w:rPr>
        <w:t>第六部分  评标办法</w:t>
      </w:r>
      <w:bookmarkEnd w:id="364"/>
      <w:bookmarkEnd w:id="365"/>
      <w:bookmarkEnd w:id="367"/>
    </w:p>
    <w:p w14:paraId="1EAB987C">
      <w:pPr>
        <w:pStyle w:val="3"/>
        <w:spacing w:before="160" w:after="160" w:line="240" w:lineRule="auto"/>
        <w:jc w:val="center"/>
        <w:rPr>
          <w:rFonts w:hint="eastAsia" w:ascii="宋体" w:hAnsi="宋体" w:eastAsia="宋体" w:cs="宋体"/>
          <w:color w:val="auto"/>
          <w:sz w:val="21"/>
          <w:szCs w:val="21"/>
          <w:highlight w:val="none"/>
        </w:rPr>
      </w:pPr>
      <w:bookmarkStart w:id="368" w:name="_Toc412788181"/>
      <w:bookmarkStart w:id="369" w:name="_Toc388974315"/>
      <w:bookmarkStart w:id="370" w:name="_Toc415077912"/>
      <w:bookmarkStart w:id="371" w:name="_Toc25226"/>
      <w:bookmarkStart w:id="372" w:name="_Toc3698"/>
      <w:bookmarkStart w:id="373" w:name="_Toc399178346"/>
      <w:bookmarkStart w:id="374" w:name="_Toc29335"/>
      <w:r>
        <w:rPr>
          <w:rFonts w:hint="eastAsia" w:ascii="宋体" w:hAnsi="宋体" w:eastAsia="宋体" w:cs="宋体"/>
          <w:color w:val="auto"/>
          <w:sz w:val="21"/>
          <w:szCs w:val="21"/>
          <w:highlight w:val="none"/>
        </w:rPr>
        <w:t>（一）总则</w:t>
      </w:r>
      <w:bookmarkEnd w:id="368"/>
      <w:bookmarkEnd w:id="369"/>
      <w:bookmarkEnd w:id="370"/>
      <w:bookmarkEnd w:id="371"/>
      <w:bookmarkEnd w:id="372"/>
      <w:bookmarkEnd w:id="373"/>
      <w:bookmarkEnd w:id="374"/>
    </w:p>
    <w:p w14:paraId="37F8B2F6">
      <w:pPr>
        <w:tabs>
          <w:tab w:val="left" w:pos="9180"/>
        </w:tabs>
        <w:spacing w:line="440" w:lineRule="exact"/>
        <w:ind w:firstLine="420" w:firstLineChars="200"/>
        <w:rPr>
          <w:rFonts w:hint="eastAsia" w:ascii="宋体" w:hAnsi="宋体" w:eastAsia="宋体" w:cs="宋体"/>
          <w:snapToGrid w:val="0"/>
          <w:color w:val="auto"/>
          <w:kern w:val="0"/>
          <w:highlight w:val="none"/>
        </w:rPr>
      </w:pPr>
      <w:r>
        <w:rPr>
          <w:rFonts w:hint="eastAsia" w:ascii="宋体" w:hAnsi="宋体" w:eastAsia="宋体" w:cs="宋体"/>
          <w:color w:val="auto"/>
          <w:szCs w:val="21"/>
          <w:highlight w:val="none"/>
        </w:rPr>
        <w:t>根据</w:t>
      </w:r>
      <w:r>
        <w:rPr>
          <w:rFonts w:hint="eastAsia" w:ascii="宋体" w:hAnsi="宋体" w:eastAsia="宋体" w:cs="宋体"/>
          <w:color w:val="auto"/>
          <w:szCs w:val="21"/>
          <w:highlight w:val="none"/>
          <w:lang w:eastAsia="zh-CN"/>
        </w:rPr>
        <w:t>《温州市市属国有企业采购管理办法》</w:t>
      </w:r>
      <w:r>
        <w:rPr>
          <w:rFonts w:hint="eastAsia" w:ascii="宋体" w:hAnsi="宋体" w:eastAsia="宋体" w:cs="宋体"/>
          <w:color w:val="auto"/>
          <w:szCs w:val="21"/>
          <w:highlight w:val="none"/>
        </w:rPr>
        <w:t>、《评标委员会和评标方法暂行规定》和浙江省及项目所在地的有关招投标规定，结合本项目的实际，按照公平、公正、科学、择优的原则选择中标单位，特制定本评标办法</w:t>
      </w:r>
      <w:r>
        <w:rPr>
          <w:rFonts w:hint="eastAsia" w:ascii="宋体" w:hAnsi="宋体" w:eastAsia="宋体" w:cs="宋体"/>
          <w:snapToGrid w:val="0"/>
          <w:color w:val="auto"/>
          <w:kern w:val="0"/>
          <w:szCs w:val="21"/>
          <w:highlight w:val="none"/>
        </w:rPr>
        <w:t>。</w:t>
      </w:r>
    </w:p>
    <w:p w14:paraId="5CBA555B">
      <w:pPr>
        <w:pStyle w:val="3"/>
        <w:spacing w:before="160" w:after="160" w:line="240" w:lineRule="auto"/>
        <w:jc w:val="center"/>
        <w:rPr>
          <w:rFonts w:hint="eastAsia" w:ascii="宋体" w:hAnsi="宋体" w:eastAsia="宋体" w:cs="宋体"/>
          <w:color w:val="auto"/>
          <w:sz w:val="21"/>
          <w:szCs w:val="21"/>
          <w:highlight w:val="none"/>
        </w:rPr>
      </w:pPr>
      <w:bookmarkStart w:id="375" w:name="_Toc388974316"/>
      <w:bookmarkStart w:id="376" w:name="_Toc5505"/>
      <w:bookmarkStart w:id="377" w:name="_Toc415077913"/>
      <w:bookmarkStart w:id="378" w:name="_Toc30937"/>
      <w:bookmarkStart w:id="379" w:name="_Toc399178347"/>
      <w:bookmarkStart w:id="380" w:name="_Toc412788182"/>
      <w:bookmarkStart w:id="381" w:name="_Toc32262"/>
      <w:r>
        <w:rPr>
          <w:rFonts w:hint="eastAsia" w:ascii="宋体" w:hAnsi="宋体" w:eastAsia="宋体" w:cs="宋体"/>
          <w:color w:val="auto"/>
          <w:sz w:val="21"/>
          <w:szCs w:val="21"/>
          <w:highlight w:val="none"/>
        </w:rPr>
        <w:t>（二）评标组织</w:t>
      </w:r>
      <w:bookmarkEnd w:id="375"/>
      <w:bookmarkEnd w:id="376"/>
      <w:bookmarkEnd w:id="377"/>
      <w:bookmarkEnd w:id="378"/>
      <w:bookmarkEnd w:id="379"/>
      <w:bookmarkEnd w:id="380"/>
      <w:bookmarkEnd w:id="381"/>
    </w:p>
    <w:p w14:paraId="25F52268">
      <w:pPr>
        <w:tabs>
          <w:tab w:val="left" w:pos="9180"/>
        </w:tabs>
        <w:spacing w:line="440" w:lineRule="exact"/>
        <w:ind w:firstLine="420" w:firstLineChars="200"/>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rPr>
        <w:t>评标工作由</w:t>
      </w:r>
      <w:r>
        <w:rPr>
          <w:rFonts w:hint="eastAsia" w:ascii="宋体" w:hAnsi="宋体" w:eastAsia="宋体" w:cs="宋体"/>
          <w:snapToGrid w:val="0"/>
          <w:color w:val="auto"/>
          <w:kern w:val="0"/>
          <w:szCs w:val="21"/>
          <w:highlight w:val="none"/>
          <w:lang w:eastAsia="zh-CN"/>
        </w:rPr>
        <w:t>采购人</w:t>
      </w:r>
      <w:r>
        <w:rPr>
          <w:rFonts w:hint="eastAsia" w:ascii="宋体" w:hAnsi="宋体" w:eastAsia="宋体" w:cs="宋体"/>
          <w:snapToGrid w:val="0"/>
          <w:color w:val="auto"/>
          <w:kern w:val="0"/>
          <w:szCs w:val="21"/>
          <w:highlight w:val="none"/>
        </w:rPr>
        <w:t>依法组建的评标委员会（评标专家组）负责，评标委员会成员为</w:t>
      </w:r>
      <w:r>
        <w:rPr>
          <w:rFonts w:hint="eastAsia" w:ascii="宋体" w:hAnsi="宋体" w:eastAsia="宋体" w:cs="宋体"/>
          <w:snapToGrid w:val="0"/>
          <w:color w:val="auto"/>
          <w:kern w:val="0"/>
          <w:szCs w:val="21"/>
          <w:highlight w:val="none"/>
          <w:lang w:val="en-US" w:eastAsia="zh-CN"/>
        </w:rPr>
        <w:t>5</w:t>
      </w:r>
      <w:r>
        <w:rPr>
          <w:rFonts w:hint="eastAsia" w:ascii="宋体" w:hAnsi="宋体" w:eastAsia="宋体" w:cs="宋体"/>
          <w:snapToGrid w:val="0"/>
          <w:color w:val="auto"/>
          <w:kern w:val="0"/>
          <w:szCs w:val="21"/>
          <w:highlight w:val="none"/>
        </w:rPr>
        <w:t>人及以上单数，其中三分之二以上的成员为技术、经济类专家。评标委员会的决定，应符合有关法律、法规和规章，并按少数服从多数的原则产生。由有关监督部门监督整个开标、评标和决标全过程。</w:t>
      </w:r>
    </w:p>
    <w:p w14:paraId="5CF9EC68">
      <w:pPr>
        <w:pStyle w:val="3"/>
        <w:spacing w:before="160" w:after="160" w:line="240" w:lineRule="auto"/>
        <w:jc w:val="center"/>
        <w:rPr>
          <w:rFonts w:hint="eastAsia" w:ascii="宋体" w:hAnsi="宋体" w:eastAsia="宋体" w:cs="宋体"/>
          <w:color w:val="auto"/>
          <w:sz w:val="21"/>
          <w:szCs w:val="21"/>
          <w:highlight w:val="none"/>
        </w:rPr>
      </w:pPr>
      <w:bookmarkStart w:id="382" w:name="_Toc415077914"/>
      <w:bookmarkStart w:id="383" w:name="_Toc19981"/>
      <w:bookmarkStart w:id="384" w:name="_Toc466"/>
      <w:bookmarkStart w:id="385" w:name="_Toc16609"/>
      <w:bookmarkStart w:id="386" w:name="_Toc399178348"/>
      <w:bookmarkStart w:id="387" w:name="_Toc412788183"/>
      <w:bookmarkStart w:id="388" w:name="_Toc388974317"/>
      <w:r>
        <w:rPr>
          <w:rFonts w:hint="eastAsia" w:ascii="宋体" w:hAnsi="宋体" w:eastAsia="宋体" w:cs="宋体"/>
          <w:color w:val="auto"/>
          <w:sz w:val="21"/>
          <w:szCs w:val="21"/>
          <w:highlight w:val="none"/>
        </w:rPr>
        <w:t>（三）开、评标程序及办法</w:t>
      </w:r>
      <w:bookmarkEnd w:id="382"/>
      <w:bookmarkEnd w:id="383"/>
      <w:bookmarkEnd w:id="384"/>
      <w:bookmarkEnd w:id="385"/>
      <w:bookmarkEnd w:id="386"/>
      <w:bookmarkEnd w:id="387"/>
      <w:bookmarkEnd w:id="388"/>
    </w:p>
    <w:bookmarkEnd w:id="297"/>
    <w:bookmarkEnd w:id="298"/>
    <w:p w14:paraId="77BCD4E5">
      <w:pPr>
        <w:pStyle w:val="20"/>
        <w:widowControl/>
        <w:numPr>
          <w:ilvl w:val="0"/>
          <w:numId w:val="19"/>
        </w:numPr>
        <w:autoSpaceDE w:val="0"/>
        <w:autoSpaceDN w:val="0"/>
        <w:spacing w:line="440" w:lineRule="exact"/>
        <w:textAlignment w:val="bottom"/>
        <w:rPr>
          <w:rFonts w:hint="eastAsia" w:ascii="宋体" w:hAnsi="宋体" w:eastAsia="宋体" w:cs="宋体"/>
          <w:snapToGrid w:val="0"/>
          <w:color w:val="auto"/>
          <w:kern w:val="0"/>
          <w:sz w:val="21"/>
          <w:szCs w:val="21"/>
          <w:highlight w:val="none"/>
        </w:rPr>
      </w:pPr>
      <w:r>
        <w:rPr>
          <w:rFonts w:hint="eastAsia" w:ascii="宋体" w:hAnsi="宋体" w:eastAsia="宋体" w:cs="宋体"/>
          <w:snapToGrid w:val="0"/>
          <w:color w:val="auto"/>
          <w:kern w:val="0"/>
          <w:sz w:val="21"/>
          <w:szCs w:val="21"/>
          <w:highlight w:val="none"/>
        </w:rPr>
        <w:t>开标程序：</w:t>
      </w:r>
    </w:p>
    <w:p w14:paraId="7073D8E8">
      <w:pPr>
        <w:pStyle w:val="20"/>
        <w:widowControl/>
        <w:numPr>
          <w:ilvl w:val="1"/>
          <w:numId w:val="19"/>
        </w:numPr>
        <w:autoSpaceDE w:val="0"/>
        <w:autoSpaceDN w:val="0"/>
        <w:spacing w:line="440" w:lineRule="exact"/>
        <w:textAlignment w:val="bottom"/>
        <w:rPr>
          <w:rFonts w:hint="eastAsia" w:ascii="宋体" w:hAnsi="宋体" w:eastAsia="宋体" w:cs="宋体"/>
          <w:snapToGrid w:val="0"/>
          <w:color w:val="auto"/>
          <w:kern w:val="0"/>
          <w:sz w:val="21"/>
          <w:szCs w:val="21"/>
          <w:highlight w:val="none"/>
        </w:rPr>
      </w:pPr>
      <w:r>
        <w:rPr>
          <w:rFonts w:hint="eastAsia" w:ascii="宋体" w:hAnsi="宋体" w:eastAsia="宋体" w:cs="宋体"/>
          <w:snapToGrid w:val="0"/>
          <w:color w:val="auto"/>
          <w:kern w:val="0"/>
          <w:sz w:val="21"/>
          <w:szCs w:val="21"/>
          <w:highlight w:val="none"/>
        </w:rPr>
        <w:t>开标后，由</w:t>
      </w:r>
      <w:r>
        <w:rPr>
          <w:rFonts w:hint="eastAsia" w:ascii="宋体" w:hAnsi="宋体" w:eastAsia="宋体" w:cs="宋体"/>
          <w:snapToGrid w:val="0"/>
          <w:color w:val="auto"/>
          <w:kern w:val="0"/>
          <w:sz w:val="21"/>
          <w:szCs w:val="21"/>
          <w:highlight w:val="none"/>
          <w:lang w:eastAsia="zh-CN"/>
        </w:rPr>
        <w:t>资格审查小组</w:t>
      </w:r>
      <w:r>
        <w:rPr>
          <w:rFonts w:hint="eastAsia" w:ascii="宋体" w:hAnsi="宋体" w:eastAsia="宋体" w:cs="宋体"/>
          <w:snapToGrid w:val="0"/>
          <w:color w:val="auto"/>
          <w:kern w:val="0"/>
          <w:sz w:val="21"/>
          <w:szCs w:val="21"/>
          <w:highlight w:val="none"/>
        </w:rPr>
        <w:t>对</w:t>
      </w:r>
      <w:r>
        <w:rPr>
          <w:rFonts w:hint="eastAsia" w:ascii="宋体" w:hAnsi="宋体" w:eastAsia="宋体" w:cs="宋体"/>
          <w:snapToGrid w:val="0"/>
          <w:color w:val="auto"/>
          <w:kern w:val="0"/>
          <w:sz w:val="21"/>
          <w:szCs w:val="21"/>
          <w:highlight w:val="none"/>
          <w:lang w:val="en-US" w:eastAsia="zh-CN"/>
        </w:rPr>
        <w:t>投标</w:t>
      </w:r>
      <w:r>
        <w:rPr>
          <w:rFonts w:hint="eastAsia" w:ascii="宋体" w:hAnsi="宋体" w:eastAsia="宋体" w:cs="宋体"/>
          <w:snapToGrid w:val="0"/>
          <w:color w:val="auto"/>
          <w:kern w:val="0"/>
          <w:sz w:val="21"/>
          <w:szCs w:val="21"/>
          <w:highlight w:val="none"/>
        </w:rPr>
        <w:t>响应文件进行资格性检查，凡</w:t>
      </w:r>
      <w:r>
        <w:rPr>
          <w:rFonts w:hint="eastAsia" w:ascii="宋体" w:hAnsi="宋体" w:eastAsia="宋体" w:cs="宋体"/>
          <w:snapToGrid w:val="0"/>
          <w:color w:val="auto"/>
          <w:kern w:val="0"/>
          <w:sz w:val="21"/>
          <w:szCs w:val="21"/>
          <w:highlight w:val="none"/>
          <w:lang w:val="en-US" w:eastAsia="zh-CN"/>
        </w:rPr>
        <w:t>投标</w:t>
      </w:r>
      <w:r>
        <w:rPr>
          <w:rFonts w:hint="eastAsia" w:ascii="宋体" w:hAnsi="宋体" w:eastAsia="宋体" w:cs="宋体"/>
          <w:snapToGrid w:val="0"/>
          <w:color w:val="auto"/>
          <w:kern w:val="0"/>
          <w:sz w:val="21"/>
          <w:szCs w:val="21"/>
          <w:highlight w:val="none"/>
        </w:rPr>
        <w:t>供应商资格不符合</w:t>
      </w:r>
      <w:r>
        <w:rPr>
          <w:rFonts w:hint="eastAsia" w:ascii="宋体" w:hAnsi="宋体" w:eastAsia="宋体" w:cs="宋体"/>
          <w:snapToGrid w:val="0"/>
          <w:color w:val="auto"/>
          <w:kern w:val="0"/>
          <w:sz w:val="21"/>
          <w:szCs w:val="21"/>
          <w:highlight w:val="none"/>
          <w:lang w:val="en-US" w:eastAsia="zh-CN"/>
        </w:rPr>
        <w:t>招标</w:t>
      </w:r>
      <w:r>
        <w:rPr>
          <w:rFonts w:hint="eastAsia" w:ascii="宋体" w:hAnsi="宋体" w:eastAsia="宋体" w:cs="宋体"/>
          <w:snapToGrid w:val="0"/>
          <w:color w:val="auto"/>
          <w:kern w:val="0"/>
          <w:sz w:val="21"/>
          <w:szCs w:val="21"/>
          <w:highlight w:val="none"/>
        </w:rPr>
        <w:t>文件要求、</w:t>
      </w:r>
      <w:r>
        <w:rPr>
          <w:rFonts w:hint="eastAsia" w:ascii="宋体" w:hAnsi="宋体" w:eastAsia="宋体" w:cs="宋体"/>
          <w:snapToGrid w:val="0"/>
          <w:color w:val="auto"/>
          <w:kern w:val="0"/>
          <w:sz w:val="21"/>
          <w:szCs w:val="21"/>
          <w:highlight w:val="none"/>
          <w:lang w:val="en-US" w:eastAsia="zh-CN"/>
        </w:rPr>
        <w:t>投标</w:t>
      </w:r>
      <w:r>
        <w:rPr>
          <w:rFonts w:hint="eastAsia" w:ascii="宋体" w:hAnsi="宋体" w:eastAsia="宋体" w:cs="宋体"/>
          <w:snapToGrid w:val="0"/>
          <w:color w:val="auto"/>
          <w:kern w:val="0"/>
          <w:sz w:val="21"/>
          <w:szCs w:val="21"/>
          <w:highlight w:val="none"/>
        </w:rPr>
        <w:t>响应文件实质性内容和格式严重不符合有关规定或不响应</w:t>
      </w:r>
      <w:r>
        <w:rPr>
          <w:rFonts w:hint="eastAsia" w:ascii="宋体" w:hAnsi="宋体" w:eastAsia="宋体" w:cs="宋体"/>
          <w:snapToGrid w:val="0"/>
          <w:color w:val="auto"/>
          <w:kern w:val="0"/>
          <w:sz w:val="21"/>
          <w:szCs w:val="21"/>
          <w:highlight w:val="none"/>
          <w:lang w:val="en-US" w:eastAsia="zh-CN"/>
        </w:rPr>
        <w:t>招标</w:t>
      </w:r>
      <w:r>
        <w:rPr>
          <w:rFonts w:hint="eastAsia" w:ascii="宋体" w:hAnsi="宋体" w:eastAsia="宋体" w:cs="宋体"/>
          <w:snapToGrid w:val="0"/>
          <w:color w:val="auto"/>
          <w:kern w:val="0"/>
          <w:sz w:val="21"/>
          <w:szCs w:val="21"/>
          <w:highlight w:val="none"/>
        </w:rPr>
        <w:t>文件要求者，经评标委员会认定作为无效投标，不再进入后续</w:t>
      </w:r>
      <w:r>
        <w:rPr>
          <w:rFonts w:hint="eastAsia" w:ascii="宋体" w:hAnsi="宋体" w:eastAsia="宋体" w:cs="宋体"/>
          <w:snapToGrid w:val="0"/>
          <w:color w:val="auto"/>
          <w:kern w:val="0"/>
          <w:sz w:val="21"/>
          <w:szCs w:val="21"/>
          <w:highlight w:val="none"/>
          <w:lang w:val="en-US" w:eastAsia="zh-CN"/>
        </w:rPr>
        <w:t>评审</w:t>
      </w:r>
      <w:r>
        <w:rPr>
          <w:rFonts w:hint="eastAsia" w:ascii="宋体" w:hAnsi="宋体" w:eastAsia="宋体" w:cs="宋体"/>
          <w:snapToGrid w:val="0"/>
          <w:color w:val="auto"/>
          <w:kern w:val="0"/>
          <w:sz w:val="21"/>
          <w:szCs w:val="21"/>
          <w:highlight w:val="none"/>
        </w:rPr>
        <w:t>。由评标委员会采用综合评分法对供应商的响应文件和报价进行综合评分。</w:t>
      </w:r>
    </w:p>
    <w:p w14:paraId="459E5256">
      <w:pPr>
        <w:pStyle w:val="20"/>
        <w:widowControl/>
        <w:numPr>
          <w:ilvl w:val="0"/>
          <w:numId w:val="19"/>
        </w:numPr>
        <w:autoSpaceDE w:val="0"/>
        <w:autoSpaceDN w:val="0"/>
        <w:spacing w:line="440" w:lineRule="exact"/>
        <w:textAlignment w:val="bottom"/>
        <w:rPr>
          <w:rFonts w:hint="eastAsia" w:ascii="宋体" w:hAnsi="宋体" w:eastAsia="宋体" w:cs="宋体"/>
          <w:snapToGrid w:val="0"/>
          <w:color w:val="auto"/>
          <w:kern w:val="0"/>
          <w:sz w:val="21"/>
          <w:szCs w:val="21"/>
          <w:highlight w:val="none"/>
        </w:rPr>
      </w:pPr>
      <w:r>
        <w:rPr>
          <w:rFonts w:hint="eastAsia" w:ascii="宋体" w:hAnsi="宋体" w:eastAsia="宋体" w:cs="宋体"/>
          <w:snapToGrid w:val="0"/>
          <w:color w:val="auto"/>
          <w:kern w:val="0"/>
          <w:sz w:val="21"/>
          <w:szCs w:val="21"/>
          <w:highlight w:val="none"/>
        </w:rPr>
        <w:t>本次招标评标采用综合评估法，总分为100分，其中商务技术部分占</w:t>
      </w:r>
      <w:r>
        <w:rPr>
          <w:rFonts w:hint="eastAsia" w:ascii="宋体" w:hAnsi="宋体" w:eastAsia="宋体" w:cs="宋体"/>
          <w:snapToGrid w:val="0"/>
          <w:color w:val="auto"/>
          <w:kern w:val="0"/>
          <w:sz w:val="21"/>
          <w:szCs w:val="21"/>
          <w:highlight w:val="none"/>
          <w:lang w:val="en-US" w:eastAsia="zh-CN"/>
        </w:rPr>
        <w:t>70</w:t>
      </w:r>
      <w:r>
        <w:rPr>
          <w:rFonts w:hint="eastAsia" w:ascii="宋体" w:hAnsi="宋体" w:eastAsia="宋体" w:cs="宋体"/>
          <w:snapToGrid w:val="0"/>
          <w:color w:val="auto"/>
          <w:kern w:val="0"/>
          <w:sz w:val="21"/>
          <w:szCs w:val="21"/>
          <w:highlight w:val="none"/>
        </w:rPr>
        <w:t>分，报价部分占</w:t>
      </w:r>
      <w:r>
        <w:rPr>
          <w:rFonts w:hint="eastAsia" w:ascii="宋体" w:hAnsi="宋体" w:eastAsia="宋体" w:cs="宋体"/>
          <w:snapToGrid w:val="0"/>
          <w:color w:val="auto"/>
          <w:kern w:val="0"/>
          <w:sz w:val="21"/>
          <w:szCs w:val="21"/>
          <w:highlight w:val="none"/>
          <w:lang w:val="en-US" w:eastAsia="zh-CN"/>
        </w:rPr>
        <w:t>30</w:t>
      </w:r>
      <w:r>
        <w:rPr>
          <w:rFonts w:hint="eastAsia" w:ascii="宋体" w:hAnsi="宋体" w:eastAsia="宋体" w:cs="宋体"/>
          <w:snapToGrid w:val="0"/>
          <w:color w:val="auto"/>
          <w:kern w:val="0"/>
          <w:sz w:val="21"/>
          <w:szCs w:val="21"/>
          <w:highlight w:val="none"/>
        </w:rPr>
        <w:t>分。评标结束后，评标委员会将根据投标供应商的合计得分（商务技术部分和报价部分得分相加）由高到低确定一个中标候选人（</w:t>
      </w:r>
      <w:r>
        <w:rPr>
          <w:rFonts w:hint="eastAsia" w:ascii="宋体" w:hAnsi="宋体" w:eastAsia="宋体" w:cs="宋体"/>
          <w:snapToGrid w:val="0"/>
          <w:color w:val="auto"/>
          <w:kern w:val="0"/>
          <w:sz w:val="21"/>
          <w:szCs w:val="21"/>
          <w:highlight w:val="none"/>
          <w:lang w:eastAsia="zh-CN"/>
        </w:rPr>
        <w:t>综合</w:t>
      </w:r>
      <w:r>
        <w:rPr>
          <w:rFonts w:hint="eastAsia" w:ascii="宋体" w:hAnsi="宋体" w:eastAsia="宋体" w:cs="宋体"/>
          <w:snapToGrid w:val="0"/>
          <w:color w:val="auto"/>
          <w:kern w:val="0"/>
          <w:sz w:val="21"/>
          <w:szCs w:val="21"/>
          <w:highlight w:val="none"/>
        </w:rPr>
        <w:t>得分</w:t>
      </w:r>
      <w:r>
        <w:rPr>
          <w:rFonts w:hint="eastAsia" w:ascii="宋体" w:hAnsi="宋体" w:eastAsia="宋体" w:cs="宋体"/>
          <w:snapToGrid w:val="0"/>
          <w:color w:val="auto"/>
          <w:kern w:val="0"/>
          <w:sz w:val="21"/>
          <w:szCs w:val="21"/>
          <w:highlight w:val="none"/>
          <w:lang w:eastAsia="zh-CN"/>
        </w:rPr>
        <w:t>最</w:t>
      </w:r>
      <w:r>
        <w:rPr>
          <w:rFonts w:hint="eastAsia" w:ascii="宋体" w:hAnsi="宋体" w:eastAsia="宋体" w:cs="宋体"/>
          <w:snapToGrid w:val="0"/>
          <w:color w:val="auto"/>
          <w:kern w:val="0"/>
          <w:sz w:val="21"/>
          <w:szCs w:val="21"/>
          <w:highlight w:val="none"/>
        </w:rPr>
        <w:t>高），其余为中标备选供应商；</w:t>
      </w:r>
      <w:r>
        <w:rPr>
          <w:rFonts w:hint="eastAsia" w:ascii="宋体" w:hAnsi="宋体" w:eastAsia="宋体" w:cs="宋体"/>
          <w:snapToGrid w:val="0"/>
          <w:color w:val="auto"/>
          <w:kern w:val="0"/>
          <w:sz w:val="21"/>
          <w:szCs w:val="21"/>
          <w:highlight w:val="none"/>
          <w:lang w:eastAsia="zh-CN"/>
        </w:rPr>
        <w:t>综合</w:t>
      </w:r>
      <w:r>
        <w:rPr>
          <w:rFonts w:hint="eastAsia" w:ascii="宋体" w:hAnsi="宋体" w:eastAsia="宋体" w:cs="宋体"/>
          <w:snapToGrid w:val="0"/>
          <w:color w:val="auto"/>
          <w:kern w:val="0"/>
          <w:sz w:val="21"/>
          <w:szCs w:val="21"/>
          <w:highlight w:val="none"/>
        </w:rPr>
        <w:t>得分相同的，按投标报价由低到高顺序排列；若商务技术部分、报价部分得分和投标报价均相同，则由</w:t>
      </w:r>
      <w:r>
        <w:rPr>
          <w:rFonts w:hint="eastAsia" w:ascii="宋体" w:hAnsi="宋体" w:eastAsia="宋体" w:cs="宋体"/>
          <w:snapToGrid w:val="0"/>
          <w:color w:val="auto"/>
          <w:kern w:val="0"/>
          <w:sz w:val="21"/>
          <w:szCs w:val="21"/>
          <w:highlight w:val="none"/>
          <w:lang w:eastAsia="zh-CN"/>
        </w:rPr>
        <w:t>评标委员会</w:t>
      </w:r>
      <w:r>
        <w:rPr>
          <w:rFonts w:hint="eastAsia" w:ascii="宋体" w:hAnsi="宋体" w:eastAsia="宋体" w:cs="宋体"/>
          <w:snapToGrid w:val="0"/>
          <w:color w:val="auto"/>
          <w:kern w:val="0"/>
          <w:sz w:val="21"/>
          <w:szCs w:val="21"/>
          <w:highlight w:val="none"/>
        </w:rPr>
        <w:t>在所有得分均相同者中随机抽取其中一名为名次优先者。若在开、评标期间出现符合条件的投标人或者对采购文件作出实质响应的投标人（有效投标）不足三家，按《温州市市属国有企业采购管理办法》的通知第三十六条：采购响应（指投标或谈判、报价）截止时间止及评审期间，出现有效供应商不足三家的情形，如采购文件事先已在指定媒体公开征求了供应商意见且无重大异议，或经专家论证且出具了“供应商资格条件和项目技术指标等没有歧视性和倾向性”意见的，同时采购信息已在本办法规定的媒体上公告，采购文件的发售和截止时间符合法定或本办法规定，由实质性响应的供应商认可后，可以按原采购方式继续进行采购活动，但采购项目第一次评审活动除外。</w:t>
      </w:r>
    </w:p>
    <w:p w14:paraId="5BCDE384">
      <w:pPr>
        <w:pStyle w:val="20"/>
        <w:widowControl/>
        <w:numPr>
          <w:ilvl w:val="0"/>
          <w:numId w:val="19"/>
        </w:numPr>
        <w:autoSpaceDE w:val="0"/>
        <w:autoSpaceDN w:val="0"/>
        <w:spacing w:line="440" w:lineRule="exact"/>
        <w:textAlignment w:val="bottom"/>
        <w:rPr>
          <w:rFonts w:hint="eastAsia" w:ascii="宋体" w:hAnsi="宋体" w:eastAsia="宋体" w:cs="宋体"/>
          <w:snapToGrid w:val="0"/>
          <w:color w:val="auto"/>
          <w:kern w:val="0"/>
          <w:sz w:val="21"/>
          <w:szCs w:val="21"/>
          <w:highlight w:val="none"/>
        </w:rPr>
      </w:pPr>
      <w:r>
        <w:rPr>
          <w:rFonts w:hint="eastAsia" w:ascii="宋体" w:hAnsi="宋体" w:eastAsia="宋体" w:cs="宋体"/>
          <w:snapToGrid w:val="0"/>
          <w:color w:val="auto"/>
          <w:kern w:val="0"/>
          <w:sz w:val="21"/>
          <w:szCs w:val="21"/>
          <w:highlight w:val="none"/>
          <w:lang w:eastAsia="zh-CN"/>
        </w:rPr>
        <w:t>采购人</w:t>
      </w:r>
      <w:r>
        <w:rPr>
          <w:rFonts w:hint="eastAsia" w:ascii="宋体" w:hAnsi="宋体" w:eastAsia="宋体" w:cs="宋体"/>
          <w:snapToGrid w:val="0"/>
          <w:color w:val="auto"/>
          <w:kern w:val="0"/>
          <w:sz w:val="21"/>
          <w:szCs w:val="21"/>
          <w:highlight w:val="none"/>
        </w:rPr>
        <w:t>根据评标委员会提出的书面评标报告及推荐的中标候选人依法确定排名第一的中标候选人为中标人。排名第一的中标候选人放弃中标；因不可抗力提出不能履行合同；或者招标文件规定应当提交履约保证金而在规定的期限内未能提交的；或未能在规定时间内与</w:t>
      </w:r>
      <w:r>
        <w:rPr>
          <w:rFonts w:hint="eastAsia" w:ascii="宋体" w:hAnsi="宋体" w:eastAsia="宋体" w:cs="宋体"/>
          <w:snapToGrid w:val="0"/>
          <w:color w:val="auto"/>
          <w:kern w:val="0"/>
          <w:sz w:val="21"/>
          <w:szCs w:val="21"/>
          <w:highlight w:val="none"/>
          <w:lang w:eastAsia="zh-CN"/>
        </w:rPr>
        <w:t>采购人</w:t>
      </w:r>
      <w:r>
        <w:rPr>
          <w:rFonts w:hint="eastAsia" w:ascii="宋体" w:hAnsi="宋体" w:eastAsia="宋体" w:cs="宋体"/>
          <w:snapToGrid w:val="0"/>
          <w:color w:val="auto"/>
          <w:kern w:val="0"/>
          <w:sz w:val="21"/>
          <w:szCs w:val="21"/>
          <w:highlight w:val="none"/>
        </w:rPr>
        <w:t>签订合同的；或者经质疑，</w:t>
      </w:r>
      <w:r>
        <w:rPr>
          <w:rFonts w:hint="eastAsia" w:ascii="宋体" w:hAnsi="宋体" w:eastAsia="宋体" w:cs="宋体"/>
          <w:snapToGrid w:val="0"/>
          <w:color w:val="auto"/>
          <w:kern w:val="0"/>
          <w:sz w:val="21"/>
          <w:szCs w:val="21"/>
          <w:highlight w:val="none"/>
          <w:lang w:eastAsia="zh-CN"/>
        </w:rPr>
        <w:t>采购人</w:t>
      </w:r>
      <w:r>
        <w:rPr>
          <w:rFonts w:hint="eastAsia" w:ascii="宋体" w:hAnsi="宋体" w:eastAsia="宋体" w:cs="宋体"/>
          <w:snapToGrid w:val="0"/>
          <w:color w:val="auto"/>
          <w:kern w:val="0"/>
          <w:sz w:val="21"/>
          <w:szCs w:val="21"/>
          <w:highlight w:val="none"/>
        </w:rPr>
        <w:t>审查后，确因排名第一的候选人在本次招标活动中存在违法违规行为或其他原因使质疑成立的，</w:t>
      </w:r>
      <w:r>
        <w:rPr>
          <w:rFonts w:hint="eastAsia" w:ascii="宋体" w:hAnsi="宋体" w:eastAsia="宋体" w:cs="宋体"/>
          <w:snapToGrid w:val="0"/>
          <w:color w:val="auto"/>
          <w:kern w:val="0"/>
          <w:sz w:val="21"/>
          <w:szCs w:val="21"/>
          <w:highlight w:val="none"/>
          <w:lang w:eastAsia="zh-CN"/>
        </w:rPr>
        <w:t>采购人</w:t>
      </w:r>
      <w:r>
        <w:rPr>
          <w:rFonts w:hint="eastAsia" w:ascii="宋体" w:hAnsi="宋体" w:eastAsia="宋体" w:cs="宋体"/>
          <w:snapToGrid w:val="0"/>
          <w:color w:val="auto"/>
          <w:kern w:val="0"/>
          <w:sz w:val="21"/>
          <w:szCs w:val="21"/>
          <w:highlight w:val="none"/>
        </w:rPr>
        <w:t>可视具体情况确定是否由排名第二的中标候选人为中标供应商，以此类推或重新招标。</w:t>
      </w:r>
    </w:p>
    <w:p w14:paraId="2A81B4D9">
      <w:pPr>
        <w:pStyle w:val="3"/>
        <w:spacing w:before="160" w:after="160" w:line="240" w:lineRule="auto"/>
        <w:jc w:val="center"/>
        <w:rPr>
          <w:rFonts w:hint="eastAsia" w:ascii="宋体" w:hAnsi="宋体" w:eastAsia="宋体" w:cs="宋体"/>
          <w:color w:val="auto"/>
          <w:sz w:val="21"/>
          <w:szCs w:val="21"/>
          <w:highlight w:val="none"/>
        </w:rPr>
      </w:pPr>
      <w:bookmarkStart w:id="389" w:name="_Toc17474"/>
      <w:bookmarkStart w:id="390" w:name="_Toc6525"/>
      <w:bookmarkStart w:id="391" w:name="_Toc388974318"/>
      <w:bookmarkStart w:id="392" w:name="_Toc30903"/>
      <w:bookmarkStart w:id="393" w:name="_Toc420077699"/>
      <w:bookmarkStart w:id="394" w:name="_Toc399178349"/>
      <w:r>
        <w:rPr>
          <w:rFonts w:hint="eastAsia" w:ascii="宋体" w:hAnsi="宋体" w:eastAsia="宋体" w:cs="宋体"/>
          <w:color w:val="auto"/>
          <w:sz w:val="21"/>
          <w:szCs w:val="21"/>
          <w:highlight w:val="none"/>
        </w:rPr>
        <w:t>（四）评标细则</w:t>
      </w:r>
      <w:bookmarkEnd w:id="389"/>
      <w:bookmarkEnd w:id="390"/>
      <w:bookmarkEnd w:id="391"/>
      <w:bookmarkEnd w:id="392"/>
      <w:bookmarkEnd w:id="393"/>
      <w:bookmarkEnd w:id="394"/>
    </w:p>
    <w:p w14:paraId="53ED5EAA">
      <w:pPr>
        <w:tabs>
          <w:tab w:val="left" w:pos="9180"/>
        </w:tabs>
        <w:spacing w:line="440" w:lineRule="exact"/>
        <w:ind w:firstLine="420" w:firstLineChars="200"/>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rPr>
        <w:t>评标委员会成员对各投标文件充分审核、评议后，由评标委员会人员按评分细则，进行评判，独立打分。如发现某张评分票的一单项评分超过评分细则规定的分值范围，则该张评分票无效。</w:t>
      </w:r>
      <w:r>
        <w:rPr>
          <w:rFonts w:hint="eastAsia" w:ascii="宋体" w:hAnsi="宋体" w:eastAsia="宋体" w:cs="宋体"/>
          <w:snapToGrid w:val="0"/>
          <w:color w:val="auto"/>
          <w:kern w:val="0"/>
          <w:szCs w:val="21"/>
          <w:highlight w:val="none"/>
          <w:lang w:eastAsia="zh-CN"/>
        </w:rPr>
        <w:t>投标供应商</w:t>
      </w:r>
      <w:r>
        <w:rPr>
          <w:rFonts w:hint="eastAsia" w:ascii="宋体" w:hAnsi="宋体" w:eastAsia="宋体" w:cs="宋体"/>
          <w:snapToGrid w:val="0"/>
          <w:color w:val="auto"/>
          <w:kern w:val="0"/>
          <w:szCs w:val="21"/>
          <w:highlight w:val="none"/>
        </w:rPr>
        <w:t>的综合评分为商务技术评分和报价部分的总和。</w:t>
      </w:r>
    </w:p>
    <w:p w14:paraId="375348EA">
      <w:pPr>
        <w:tabs>
          <w:tab w:val="left" w:pos="9180"/>
        </w:tabs>
        <w:spacing w:line="440" w:lineRule="exact"/>
        <w:ind w:firstLine="420" w:firstLineChars="200"/>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rPr>
        <w:t>在评审时，当评标委员会对某些关键性的条文认定存在不同意见时，在评标委员会范围内按少数服从多数的原则认定。</w:t>
      </w:r>
    </w:p>
    <w:p w14:paraId="20E9C2F6">
      <w:pPr>
        <w:numPr>
          <w:ilvl w:val="0"/>
          <w:numId w:val="20"/>
        </w:numPr>
        <w:tabs>
          <w:tab w:val="left" w:pos="9180"/>
        </w:tabs>
        <w:spacing w:line="440" w:lineRule="exact"/>
        <w:rPr>
          <w:rFonts w:hint="eastAsia" w:ascii="宋体" w:hAnsi="宋体" w:eastAsia="宋体" w:cs="宋体"/>
          <w:snapToGrid w:val="0"/>
          <w:color w:val="auto"/>
          <w:kern w:val="0"/>
          <w:szCs w:val="21"/>
          <w:highlight w:val="none"/>
          <w:lang w:val="en-US" w:eastAsia="zh-CN"/>
        </w:rPr>
      </w:pPr>
      <w:r>
        <w:rPr>
          <w:rFonts w:hint="eastAsia" w:ascii="宋体" w:hAnsi="宋体" w:eastAsia="宋体" w:cs="宋体"/>
          <w:snapToGrid w:val="0"/>
          <w:color w:val="auto"/>
          <w:kern w:val="0"/>
          <w:szCs w:val="21"/>
          <w:highlight w:val="none"/>
          <w:lang w:val="en-US" w:eastAsia="zh-CN"/>
        </w:rPr>
        <w:t>报价部分</w:t>
      </w:r>
    </w:p>
    <w:tbl>
      <w:tblPr>
        <w:tblStyle w:val="49"/>
        <w:tblpPr w:leftFromText="180" w:rightFromText="180" w:vertAnchor="text" w:horzAnchor="page" w:tblpX="1184" w:tblpY="177"/>
        <w:tblOverlap w:val="never"/>
        <w:tblW w:w="99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15"/>
        <w:gridCol w:w="999"/>
        <w:gridCol w:w="8054"/>
      </w:tblGrid>
      <w:tr w14:paraId="240EF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3" w:hRule="atLeast"/>
        </w:trPr>
        <w:tc>
          <w:tcPr>
            <w:tcW w:w="915" w:type="dxa"/>
            <w:noWrap w:val="0"/>
            <w:vAlign w:val="center"/>
          </w:tcPr>
          <w:p w14:paraId="1ECC37A9">
            <w:pPr>
              <w:keepNext w:val="0"/>
              <w:keepLines w:val="0"/>
              <w:pageBreakBefore w:val="0"/>
              <w:kinsoku/>
              <w:overflowPunct/>
              <w:topLinePunct w:val="0"/>
              <w:autoSpaceDE/>
              <w:autoSpaceDN/>
              <w:bidi w:val="0"/>
              <w:adjustRightInd/>
              <w:spacing w:line="400" w:lineRule="exact"/>
              <w:ind w:left="0" w:right="0"/>
              <w:textAlignment w:val="auto"/>
              <w:rPr>
                <w:rFonts w:hint="eastAsia" w:ascii="宋体" w:hAnsi="宋体" w:eastAsia="宋体" w:cs="宋体"/>
                <w:color w:val="auto"/>
                <w:szCs w:val="21"/>
                <w:highlight w:val="none"/>
              </w:rPr>
            </w:pPr>
            <w:r>
              <w:rPr>
                <w:rFonts w:hint="eastAsia" w:ascii="宋体" w:hAnsi="宋体" w:eastAsia="宋体" w:cs="宋体"/>
                <w:b/>
                <w:bCs/>
                <w:color w:val="auto"/>
                <w:sz w:val="8"/>
                <w:szCs w:val="8"/>
                <w:highlight w:val="none"/>
              </w:rPr>
              <w:t xml:space="preserve"> </w:t>
            </w:r>
            <w:r>
              <w:rPr>
                <w:rFonts w:hint="eastAsia" w:ascii="宋体" w:hAnsi="宋体" w:eastAsia="宋体" w:cs="宋体"/>
                <w:color w:val="auto"/>
                <w:szCs w:val="21"/>
                <w:highlight w:val="none"/>
              </w:rPr>
              <w:t>评审因素</w:t>
            </w:r>
          </w:p>
        </w:tc>
        <w:tc>
          <w:tcPr>
            <w:tcW w:w="999" w:type="dxa"/>
            <w:noWrap w:val="0"/>
            <w:vAlign w:val="center"/>
          </w:tcPr>
          <w:p w14:paraId="3679DA96">
            <w:pPr>
              <w:keepNext w:val="0"/>
              <w:keepLines w:val="0"/>
              <w:pageBreakBefore w:val="0"/>
              <w:kinsoku/>
              <w:overflowPunct/>
              <w:topLinePunct w:val="0"/>
              <w:autoSpaceDE/>
              <w:autoSpaceDN/>
              <w:bidi w:val="0"/>
              <w:adjustRightInd/>
              <w:spacing w:line="400" w:lineRule="exact"/>
              <w:ind w:left="0" w:right="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分值</w:t>
            </w:r>
          </w:p>
        </w:tc>
        <w:tc>
          <w:tcPr>
            <w:tcW w:w="8054" w:type="dxa"/>
            <w:noWrap w:val="0"/>
            <w:vAlign w:val="center"/>
          </w:tcPr>
          <w:p w14:paraId="429E3235">
            <w:pPr>
              <w:keepNext w:val="0"/>
              <w:keepLines w:val="0"/>
              <w:pageBreakBefore w:val="0"/>
              <w:kinsoku/>
              <w:overflowPunct/>
              <w:topLinePunct w:val="0"/>
              <w:autoSpaceDE/>
              <w:autoSpaceDN/>
              <w:bidi w:val="0"/>
              <w:adjustRightInd/>
              <w:spacing w:line="400" w:lineRule="exact"/>
              <w:ind w:left="0" w:right="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评分标准</w:t>
            </w:r>
          </w:p>
        </w:tc>
      </w:tr>
      <w:tr w14:paraId="3C239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66" w:hRule="atLeast"/>
        </w:trPr>
        <w:tc>
          <w:tcPr>
            <w:tcW w:w="915" w:type="dxa"/>
            <w:noWrap w:val="0"/>
            <w:vAlign w:val="center"/>
          </w:tcPr>
          <w:p w14:paraId="6B676FF5">
            <w:pPr>
              <w:keepNext w:val="0"/>
              <w:keepLines w:val="0"/>
              <w:pageBreakBefore w:val="0"/>
              <w:kinsoku/>
              <w:overflowPunct/>
              <w:topLinePunct w:val="0"/>
              <w:autoSpaceDE/>
              <w:autoSpaceDN/>
              <w:bidi w:val="0"/>
              <w:adjustRightInd/>
              <w:spacing w:line="400" w:lineRule="exact"/>
              <w:ind w:left="0" w:right="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投标报价</w:t>
            </w:r>
          </w:p>
          <w:p w14:paraId="2DE51DD0">
            <w:pPr>
              <w:keepNext w:val="0"/>
              <w:keepLines w:val="0"/>
              <w:pageBreakBefore w:val="0"/>
              <w:kinsoku/>
              <w:overflowPunct/>
              <w:topLinePunct w:val="0"/>
              <w:autoSpaceDE/>
              <w:autoSpaceDN/>
              <w:bidi w:val="0"/>
              <w:adjustRightInd/>
              <w:spacing w:line="400" w:lineRule="exact"/>
              <w:ind w:left="0" w:right="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0分）</w:t>
            </w:r>
          </w:p>
        </w:tc>
        <w:tc>
          <w:tcPr>
            <w:tcW w:w="999" w:type="dxa"/>
            <w:noWrap w:val="0"/>
            <w:vAlign w:val="center"/>
          </w:tcPr>
          <w:p w14:paraId="0C8B992A">
            <w:pPr>
              <w:keepNext w:val="0"/>
              <w:keepLines w:val="0"/>
              <w:pageBreakBefore w:val="0"/>
              <w:kinsoku/>
              <w:overflowPunct/>
              <w:topLinePunct w:val="0"/>
              <w:autoSpaceDE/>
              <w:autoSpaceDN/>
              <w:bidi w:val="0"/>
              <w:adjustRightInd/>
              <w:spacing w:line="400" w:lineRule="exact"/>
              <w:ind w:left="0" w:right="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0分</w:t>
            </w:r>
          </w:p>
        </w:tc>
        <w:tc>
          <w:tcPr>
            <w:tcW w:w="8054" w:type="dxa"/>
            <w:noWrap w:val="0"/>
            <w:vAlign w:val="top"/>
          </w:tcPr>
          <w:p w14:paraId="65A7DDD4">
            <w:pPr>
              <w:keepNext w:val="0"/>
              <w:keepLines w:val="0"/>
              <w:pageBreakBefore w:val="0"/>
              <w:kinsoku/>
              <w:overflowPunct/>
              <w:topLinePunct w:val="0"/>
              <w:autoSpaceDE/>
              <w:autoSpaceDN/>
              <w:bidi w:val="0"/>
              <w:adjustRightInd/>
              <w:spacing w:line="400" w:lineRule="exact"/>
              <w:ind w:left="0" w:right="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价格分统一采用低价优先法计算，即满足文件要求且投标价格最低的价格为基准价，其价格分为满分。其他供应商的价格分统一按照下列公式计算：报价得分=（基准价/供应商报价）×</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0</w:t>
            </w:r>
          </w:p>
          <w:p w14:paraId="0FF1ADC7">
            <w:pPr>
              <w:keepNext w:val="0"/>
              <w:keepLines w:val="0"/>
              <w:pageBreakBefore w:val="0"/>
              <w:kinsoku/>
              <w:overflowPunct/>
              <w:topLinePunct w:val="0"/>
              <w:autoSpaceDE/>
              <w:autoSpaceDN/>
              <w:bidi w:val="0"/>
              <w:adjustRightInd/>
              <w:spacing w:line="400" w:lineRule="exact"/>
              <w:ind w:left="0" w:right="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1.有效供应商是指通过</w:t>
            </w:r>
            <w:r>
              <w:rPr>
                <w:rFonts w:hint="eastAsia" w:ascii="宋体" w:hAnsi="宋体" w:eastAsia="宋体" w:cs="宋体"/>
                <w:color w:val="auto"/>
                <w:szCs w:val="21"/>
                <w:highlight w:val="none"/>
                <w:lang w:eastAsia="zh-CN"/>
              </w:rPr>
              <w:t>资格审查和</w:t>
            </w:r>
            <w:r>
              <w:rPr>
                <w:rFonts w:hint="eastAsia" w:ascii="宋体" w:hAnsi="宋体" w:eastAsia="宋体" w:cs="宋体"/>
                <w:color w:val="auto"/>
                <w:szCs w:val="21"/>
                <w:highlight w:val="none"/>
              </w:rPr>
              <w:t>符合性审查，未被废除投标资格的供应商；</w:t>
            </w:r>
          </w:p>
          <w:p w14:paraId="383E8CC2">
            <w:pPr>
              <w:keepNext w:val="0"/>
              <w:keepLines w:val="0"/>
              <w:pageBreakBefore w:val="0"/>
              <w:kinsoku/>
              <w:overflowPunct/>
              <w:topLinePunct w:val="0"/>
              <w:autoSpaceDE/>
              <w:autoSpaceDN/>
              <w:bidi w:val="0"/>
              <w:adjustRightInd/>
              <w:spacing w:line="400" w:lineRule="exact"/>
              <w:ind w:left="0" w:right="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cs="宋体"/>
                <w:color w:val="auto"/>
                <w:szCs w:val="21"/>
                <w:highlight w:val="none"/>
                <w:lang w:val="en-US" w:eastAsia="zh-CN"/>
              </w:rPr>
              <w:t>评标委员会</w:t>
            </w:r>
            <w:r>
              <w:rPr>
                <w:rFonts w:hint="eastAsia" w:ascii="宋体" w:hAnsi="宋体" w:eastAsia="宋体" w:cs="宋体"/>
                <w:color w:val="auto"/>
                <w:szCs w:val="21"/>
                <w:highlight w:val="none"/>
              </w:rPr>
              <w:t>认为供应商的报价明显低于其他通过符合性审查供应商的报价，有可能影响产品质量或者不能诚信履约的，应当要求其在评标现场合理的时间内提供书面说明，必要时提交相关证明材料;供应商不能证明其报价合理性的，</w:t>
            </w:r>
            <w:r>
              <w:rPr>
                <w:rFonts w:hint="eastAsia" w:ascii="宋体" w:hAnsi="宋体" w:cs="宋体"/>
                <w:color w:val="auto"/>
                <w:szCs w:val="21"/>
                <w:highlight w:val="none"/>
                <w:lang w:val="en-US" w:eastAsia="zh-CN"/>
              </w:rPr>
              <w:t>评标委员会</w:t>
            </w:r>
            <w:r>
              <w:rPr>
                <w:rFonts w:hint="eastAsia" w:ascii="宋体" w:hAnsi="宋体" w:eastAsia="宋体" w:cs="宋体"/>
                <w:color w:val="auto"/>
                <w:szCs w:val="21"/>
                <w:highlight w:val="none"/>
              </w:rPr>
              <w:t>应当将其作为无效投标处理。</w:t>
            </w:r>
          </w:p>
        </w:tc>
      </w:tr>
    </w:tbl>
    <w:p w14:paraId="14402F14">
      <w:pPr>
        <w:numPr>
          <w:ilvl w:val="0"/>
          <w:numId w:val="0"/>
        </w:numPr>
        <w:tabs>
          <w:tab w:val="left" w:pos="9180"/>
        </w:tabs>
        <w:spacing w:line="440" w:lineRule="exact"/>
        <w:rPr>
          <w:rFonts w:hint="eastAsia" w:ascii="宋体" w:hAnsi="宋体" w:eastAsia="宋体" w:cs="宋体"/>
          <w:snapToGrid w:val="0"/>
          <w:color w:val="auto"/>
          <w:kern w:val="0"/>
          <w:szCs w:val="21"/>
          <w:highlight w:val="none"/>
          <w:lang w:val="en-US" w:eastAsia="zh-CN"/>
        </w:rPr>
      </w:pPr>
      <w:r>
        <w:rPr>
          <w:rFonts w:hint="eastAsia" w:ascii="宋体" w:hAnsi="宋体" w:eastAsia="宋体" w:cs="宋体"/>
          <w:snapToGrid w:val="0"/>
          <w:color w:val="auto"/>
          <w:kern w:val="0"/>
          <w:szCs w:val="21"/>
          <w:highlight w:val="none"/>
          <w:lang w:val="en-US" w:eastAsia="zh-CN"/>
        </w:rPr>
        <w:t>2、商务技术部分</w:t>
      </w:r>
    </w:p>
    <w:p w14:paraId="163207AC">
      <w:pPr>
        <w:tabs>
          <w:tab w:val="left" w:pos="9180"/>
        </w:tabs>
        <w:spacing w:line="440" w:lineRule="exact"/>
        <w:ind w:firstLine="420" w:firstLineChars="200"/>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rPr>
        <w:t>各评委成员按下列评分项目进行评定，每人一张评分计算表，由评标委员会成员各自评定打分并记实名。如任何一张表的一项评分内容分值超过规定的范围，则该张表无效。评标委员会成员对各供应商的各项评分内容评分合计的算术平均值为该供应商商务技术部分的最终得分（四舍五入，保留小数点后保留二位）。</w:t>
      </w:r>
    </w:p>
    <w:tbl>
      <w:tblPr>
        <w:tblStyle w:val="49"/>
        <w:tblpPr w:leftFromText="180" w:rightFromText="180" w:vertAnchor="text" w:horzAnchor="page" w:tblpX="1184" w:tblpY="177"/>
        <w:tblOverlap w:val="never"/>
        <w:tblW w:w="99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15"/>
        <w:gridCol w:w="999"/>
        <w:gridCol w:w="8054"/>
      </w:tblGrid>
      <w:tr w14:paraId="4ADA4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3" w:hRule="atLeast"/>
        </w:trPr>
        <w:tc>
          <w:tcPr>
            <w:tcW w:w="915" w:type="dxa"/>
            <w:noWrap w:val="0"/>
            <w:vAlign w:val="center"/>
          </w:tcPr>
          <w:p w14:paraId="05898B32">
            <w:pPr>
              <w:spacing w:before="10"/>
              <w:rPr>
                <w:rFonts w:hint="eastAsia" w:ascii="宋体" w:hAnsi="宋体" w:eastAsia="宋体" w:cs="宋体"/>
                <w:color w:val="auto"/>
                <w:szCs w:val="21"/>
                <w:highlight w:val="none"/>
              </w:rPr>
            </w:pPr>
            <w:r>
              <w:rPr>
                <w:rFonts w:hint="eastAsia" w:ascii="宋体" w:hAnsi="宋体" w:eastAsia="宋体" w:cs="宋体"/>
                <w:b/>
                <w:bCs/>
                <w:color w:val="auto"/>
                <w:sz w:val="8"/>
                <w:szCs w:val="8"/>
                <w:highlight w:val="none"/>
              </w:rPr>
              <w:t xml:space="preserve"> </w:t>
            </w:r>
            <w:r>
              <w:rPr>
                <w:rFonts w:hint="eastAsia" w:ascii="宋体" w:hAnsi="宋体" w:eastAsia="宋体" w:cs="宋体"/>
                <w:color w:val="auto"/>
                <w:szCs w:val="21"/>
                <w:highlight w:val="none"/>
              </w:rPr>
              <w:t>评审因素</w:t>
            </w:r>
          </w:p>
        </w:tc>
        <w:tc>
          <w:tcPr>
            <w:tcW w:w="999" w:type="dxa"/>
            <w:noWrap w:val="0"/>
            <w:vAlign w:val="center"/>
          </w:tcPr>
          <w:p w14:paraId="20355F03">
            <w:pPr>
              <w:spacing w:before="3"/>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分值</w:t>
            </w:r>
          </w:p>
        </w:tc>
        <w:tc>
          <w:tcPr>
            <w:tcW w:w="8054" w:type="dxa"/>
            <w:noWrap w:val="0"/>
            <w:vAlign w:val="center"/>
          </w:tcPr>
          <w:p w14:paraId="14258140">
            <w:pPr>
              <w:spacing w:before="3"/>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评分标准</w:t>
            </w:r>
          </w:p>
        </w:tc>
      </w:tr>
      <w:tr w14:paraId="0E4E9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915" w:type="dxa"/>
            <w:vMerge w:val="restart"/>
            <w:noWrap w:val="0"/>
            <w:vAlign w:val="center"/>
          </w:tcPr>
          <w:p w14:paraId="1708E5C6">
            <w:pPr>
              <w:spacing w:before="3"/>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技术部分（</w:t>
            </w:r>
            <w:r>
              <w:rPr>
                <w:rFonts w:hint="eastAsia" w:ascii="宋体" w:hAnsi="宋体" w:cs="宋体"/>
                <w:color w:val="auto"/>
                <w:szCs w:val="21"/>
                <w:highlight w:val="none"/>
                <w:lang w:val="en-US" w:eastAsia="zh-CN"/>
              </w:rPr>
              <w:t>50</w:t>
            </w:r>
            <w:r>
              <w:rPr>
                <w:rFonts w:hint="eastAsia" w:ascii="宋体" w:hAnsi="宋体" w:eastAsia="宋体" w:cs="宋体"/>
                <w:color w:val="auto"/>
                <w:szCs w:val="21"/>
                <w:highlight w:val="none"/>
                <w:lang w:val="en-US" w:eastAsia="zh-CN"/>
              </w:rPr>
              <w:t>分）</w:t>
            </w:r>
          </w:p>
        </w:tc>
        <w:tc>
          <w:tcPr>
            <w:tcW w:w="999" w:type="dxa"/>
            <w:noWrap w:val="0"/>
            <w:vAlign w:val="center"/>
          </w:tcPr>
          <w:p w14:paraId="69BA44D8">
            <w:pPr>
              <w:pStyle w:val="239"/>
              <w:spacing w:before="35" w:line="248" w:lineRule="auto"/>
              <w:ind w:left="24" w:leftChars="0" w:right="31" w:rightChars="0" w:firstLine="116"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技术参数及响应</w:t>
            </w:r>
          </w:p>
          <w:p w14:paraId="423092B9">
            <w:pPr>
              <w:pStyle w:val="239"/>
              <w:spacing w:before="35" w:line="248" w:lineRule="auto"/>
              <w:ind w:left="24" w:leftChars="0" w:right="31" w:rightChars="0" w:firstLine="116"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cs="宋体"/>
                <w:color w:val="auto"/>
                <w:kern w:val="2"/>
                <w:sz w:val="21"/>
                <w:szCs w:val="21"/>
                <w:highlight w:val="none"/>
                <w:lang w:val="en-US" w:eastAsia="zh-CN" w:bidi="ar-SA"/>
              </w:rPr>
              <w:t>17</w:t>
            </w:r>
            <w:r>
              <w:rPr>
                <w:rFonts w:hint="eastAsia" w:ascii="宋体" w:hAnsi="宋体" w:eastAsia="宋体" w:cs="宋体"/>
                <w:color w:val="auto"/>
                <w:kern w:val="2"/>
                <w:sz w:val="21"/>
                <w:szCs w:val="21"/>
                <w:highlight w:val="none"/>
                <w:lang w:val="en-US" w:eastAsia="zh-CN" w:bidi="ar-SA"/>
              </w:rPr>
              <w:t>分）</w:t>
            </w:r>
          </w:p>
        </w:tc>
        <w:tc>
          <w:tcPr>
            <w:tcW w:w="8054" w:type="dxa"/>
            <w:noWrap w:val="0"/>
            <w:vAlign w:val="top"/>
          </w:tcPr>
          <w:p w14:paraId="13338508">
            <w:pPr>
              <w:widowControl w:val="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根据投标文件对招标文件要求的技术指标响应情况，判断所投货物技术指标是否满足招标文件的要求，全部满足招标文件技术指标的得满分</w:t>
            </w:r>
            <w:r>
              <w:rPr>
                <w:rFonts w:hint="eastAsia" w:ascii="宋体" w:hAnsi="宋体" w:cs="宋体"/>
                <w:color w:val="auto"/>
                <w:kern w:val="2"/>
                <w:sz w:val="21"/>
                <w:szCs w:val="21"/>
                <w:highlight w:val="none"/>
                <w:lang w:val="en-US" w:eastAsia="zh-CN" w:bidi="ar-SA"/>
              </w:rPr>
              <w:t>17</w:t>
            </w:r>
            <w:r>
              <w:rPr>
                <w:rFonts w:hint="eastAsia" w:ascii="宋体" w:hAnsi="宋体" w:eastAsia="宋体" w:cs="宋体"/>
                <w:color w:val="auto"/>
                <w:kern w:val="2"/>
                <w:sz w:val="21"/>
                <w:szCs w:val="21"/>
                <w:highlight w:val="none"/>
                <w:lang w:val="en-US" w:eastAsia="zh-CN" w:bidi="ar-SA"/>
              </w:rPr>
              <w:t>分，每有一条不满足扣0.5分，在</w:t>
            </w:r>
            <w:r>
              <w:rPr>
                <w:rFonts w:hint="eastAsia" w:ascii="宋体" w:hAnsi="宋体" w:cs="宋体"/>
                <w:color w:val="auto"/>
                <w:kern w:val="2"/>
                <w:sz w:val="21"/>
                <w:szCs w:val="21"/>
                <w:highlight w:val="none"/>
                <w:lang w:val="en-US" w:eastAsia="zh-CN" w:bidi="ar-SA"/>
              </w:rPr>
              <w:t>17</w:t>
            </w:r>
            <w:r>
              <w:rPr>
                <w:rFonts w:hint="eastAsia" w:ascii="宋体" w:hAnsi="宋体" w:eastAsia="宋体" w:cs="宋体"/>
                <w:color w:val="auto"/>
                <w:kern w:val="2"/>
                <w:sz w:val="21"/>
                <w:szCs w:val="21"/>
                <w:highlight w:val="none"/>
                <w:lang w:val="en-US" w:eastAsia="zh-CN" w:bidi="ar-SA"/>
              </w:rPr>
              <w:t>分基础上扣完为止。</w:t>
            </w:r>
          </w:p>
          <w:p w14:paraId="47EAE374">
            <w:pPr>
              <w:spacing w:before="3"/>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szCs w:val="21"/>
                <w:highlight w:val="none"/>
                <w:lang w:eastAsia="zh-CN"/>
              </w:rPr>
              <w:t>评分依据：投标人如实填写《技术要求偏离表》</w:t>
            </w:r>
            <w:r>
              <w:rPr>
                <w:rFonts w:hint="eastAsia" w:ascii="宋体" w:hAnsi="宋体" w:eastAsia="宋体" w:cs="宋体"/>
                <w:b/>
                <w:bCs/>
                <w:color w:val="auto"/>
                <w:szCs w:val="21"/>
                <w:highlight w:val="none"/>
                <w:lang w:val="en-US" w:eastAsia="zh-CN"/>
              </w:rPr>
              <w:t>未响应或负偏离</w:t>
            </w:r>
            <w:r>
              <w:rPr>
                <w:rFonts w:hint="eastAsia" w:ascii="宋体" w:hAnsi="宋体" w:eastAsia="宋体" w:cs="宋体"/>
                <w:b/>
                <w:bCs/>
                <w:color w:val="auto"/>
                <w:szCs w:val="21"/>
                <w:highlight w:val="none"/>
                <w:lang w:eastAsia="zh-CN"/>
              </w:rPr>
              <w:t>该项参数扣除相应分值。</w:t>
            </w:r>
          </w:p>
        </w:tc>
      </w:tr>
      <w:tr w14:paraId="3D93B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915" w:type="dxa"/>
            <w:vMerge w:val="continue"/>
            <w:noWrap w:val="0"/>
            <w:vAlign w:val="center"/>
          </w:tcPr>
          <w:p w14:paraId="4A69D8ED">
            <w:pPr>
              <w:spacing w:before="3"/>
              <w:rPr>
                <w:rFonts w:hint="eastAsia" w:ascii="宋体" w:hAnsi="宋体" w:eastAsia="宋体" w:cs="宋体"/>
                <w:color w:val="auto"/>
                <w:szCs w:val="21"/>
                <w:highlight w:val="none"/>
              </w:rPr>
            </w:pPr>
          </w:p>
        </w:tc>
        <w:tc>
          <w:tcPr>
            <w:tcW w:w="999" w:type="dxa"/>
            <w:noWrap w:val="0"/>
            <w:vAlign w:val="center"/>
          </w:tcPr>
          <w:p w14:paraId="2C7AB1A0">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光固化打印机</w:t>
            </w:r>
          </w:p>
          <w:p w14:paraId="0681C08B">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分）</w:t>
            </w:r>
          </w:p>
        </w:tc>
        <w:tc>
          <w:tcPr>
            <w:tcW w:w="8054" w:type="dxa"/>
            <w:noWrap w:val="0"/>
            <w:vAlign w:val="center"/>
          </w:tcPr>
          <w:p w14:paraId="557D7762">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配套同品牌云端三维渲染引擎平台，对3D数据在云端进行轻量化（轻量最高可达91%）、云渲染及三维分享，开放标准的SDK，不需要安装任何客户端。支持多种材质系统和多属性材质，以及各种类型光源与开合动画系统，实现对产品的快速三维渲染和展示。</w:t>
            </w:r>
          </w:p>
          <w:p w14:paraId="685A024A">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评审依据：投标供应商投标文件中需提供加盖制造商（或厂商）公章产品彩页的得</w:t>
            </w:r>
            <w:r>
              <w:rPr>
                <w:rFonts w:hint="eastAsia" w:ascii="宋体" w:hAnsi="宋体" w:cs="宋体"/>
                <w:b/>
                <w:bCs/>
                <w:color w:val="auto"/>
                <w:kern w:val="2"/>
                <w:sz w:val="21"/>
                <w:szCs w:val="21"/>
                <w:highlight w:val="none"/>
                <w:lang w:val="en-US" w:eastAsia="zh-CN" w:bidi="ar-SA"/>
              </w:rPr>
              <w:t>1</w:t>
            </w:r>
            <w:r>
              <w:rPr>
                <w:rFonts w:hint="eastAsia" w:ascii="宋体" w:hAnsi="宋体" w:eastAsia="宋体" w:cs="宋体"/>
                <w:b/>
                <w:bCs/>
                <w:color w:val="auto"/>
                <w:kern w:val="2"/>
                <w:sz w:val="21"/>
                <w:szCs w:val="21"/>
                <w:highlight w:val="none"/>
                <w:lang w:val="en-US" w:eastAsia="zh-CN" w:bidi="ar-SA"/>
              </w:rPr>
              <w:t>分，未提供或不符的不得分。</w:t>
            </w:r>
          </w:p>
        </w:tc>
      </w:tr>
      <w:tr w14:paraId="1A5E3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 w:hRule="atLeast"/>
        </w:trPr>
        <w:tc>
          <w:tcPr>
            <w:tcW w:w="915" w:type="dxa"/>
            <w:vMerge w:val="continue"/>
            <w:noWrap w:val="0"/>
            <w:vAlign w:val="center"/>
          </w:tcPr>
          <w:p w14:paraId="61A2F6A8">
            <w:pPr>
              <w:spacing w:before="3"/>
              <w:jc w:val="center"/>
              <w:rPr>
                <w:rFonts w:hint="eastAsia" w:ascii="宋体" w:hAnsi="宋体" w:eastAsia="宋体" w:cs="宋体"/>
                <w:color w:val="auto"/>
                <w:szCs w:val="21"/>
                <w:highlight w:val="none"/>
              </w:rPr>
            </w:pPr>
          </w:p>
        </w:tc>
        <w:tc>
          <w:tcPr>
            <w:tcW w:w="999" w:type="dxa"/>
            <w:noWrap w:val="0"/>
            <w:vAlign w:val="center"/>
          </w:tcPr>
          <w:p w14:paraId="57D94EB3">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陶瓷3D打印机</w:t>
            </w:r>
          </w:p>
          <w:p w14:paraId="19896111">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分）</w:t>
            </w:r>
          </w:p>
        </w:tc>
        <w:tc>
          <w:tcPr>
            <w:tcW w:w="8054" w:type="dxa"/>
            <w:noWrap w:val="0"/>
            <w:vAlign w:val="center"/>
          </w:tcPr>
          <w:p w14:paraId="6F6E46D0">
            <w:pPr>
              <w:keepNext w:val="0"/>
              <w:keepLines w:val="0"/>
              <w:pageBreakBefore w:val="0"/>
              <w:widowControl w:val="0"/>
              <w:numPr>
                <w:ilvl w:val="0"/>
                <w:numId w:val="21"/>
              </w:numPr>
              <w:kinsoku/>
              <w:wordWrap/>
              <w:overflowPunct/>
              <w:topLinePunct w:val="0"/>
              <w:autoSpaceDE/>
              <w:autoSpaceDN/>
              <w:bidi w:val="0"/>
              <w:adjustRightInd/>
              <w:snapToGrid w:val="0"/>
              <w:spacing w:line="400" w:lineRule="exact"/>
              <w:ind w:left="0" w:leftChars="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配套云端三维渲染引擎平台，对3D数据在云端进行轻量化（轻量最高可达91%）、云渲染及三维分享，开放标准的SDK，不需要安装任何客户端，兼容Windows、MacOS、iOS、Android、Linux等系统，以及Chrome/Safari/Firefox /Edge/IE/QQ等浏览器。支持多种材质系统和多属性材质，以及各种类型光源与开合动画系统，引擎适配VRPN协议，驱动VR/AR硬件； 支持HTML5 WebGL平台，实现对产品的快速三维渲染和展示。</w:t>
            </w:r>
          </w:p>
          <w:p w14:paraId="49786852">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ind w:left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评审依据：投标供应商投标文件中需提供加盖软件厂家公章的产品彩页得1分，未提供或不符的不得分。</w:t>
            </w:r>
          </w:p>
        </w:tc>
      </w:tr>
      <w:tr w14:paraId="739AA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 w:hRule="atLeast"/>
        </w:trPr>
        <w:tc>
          <w:tcPr>
            <w:tcW w:w="915" w:type="dxa"/>
            <w:vMerge w:val="continue"/>
            <w:noWrap w:val="0"/>
            <w:vAlign w:val="center"/>
          </w:tcPr>
          <w:p w14:paraId="117FBDFD">
            <w:pPr>
              <w:spacing w:before="3"/>
              <w:jc w:val="center"/>
              <w:rPr>
                <w:rFonts w:hint="eastAsia" w:ascii="宋体" w:hAnsi="宋体" w:eastAsia="宋体" w:cs="宋体"/>
                <w:color w:val="auto"/>
                <w:szCs w:val="21"/>
                <w:highlight w:val="none"/>
              </w:rPr>
            </w:pPr>
          </w:p>
        </w:tc>
        <w:tc>
          <w:tcPr>
            <w:tcW w:w="999" w:type="dxa"/>
            <w:noWrap w:val="0"/>
            <w:vAlign w:val="center"/>
          </w:tcPr>
          <w:p w14:paraId="4D60567E">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安全防护用品标准柜</w:t>
            </w:r>
          </w:p>
          <w:p w14:paraId="47CE4189">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分）</w:t>
            </w:r>
          </w:p>
        </w:tc>
        <w:tc>
          <w:tcPr>
            <w:tcW w:w="8054" w:type="dxa"/>
            <w:noWrap w:val="0"/>
            <w:vAlign w:val="center"/>
          </w:tcPr>
          <w:p w14:paraId="684BCE13">
            <w:pPr>
              <w:keepNext w:val="0"/>
              <w:keepLines w:val="0"/>
              <w:pageBreakBefore w:val="0"/>
              <w:widowControl w:val="0"/>
              <w:numPr>
                <w:ilvl w:val="0"/>
                <w:numId w:val="22"/>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柜体表面酸洗磷化处理，黄色环氧树脂漆静电喷涂，覆有防化无铅涂层，耐腐蚀，</w:t>
            </w:r>
          </w:p>
          <w:p w14:paraId="0219ACF5">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甲醛报告限值≤5mg/kg，甲苯报告限值≤0.1%，苯报告限值≤0.002%；满足GB/T23990-2009标准并符合上述要求的得2分；</w:t>
            </w:r>
          </w:p>
          <w:p w14:paraId="5FD09F58">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评审依据：投标供应商投标文件中需提供具有CMA或CNAS标识的第三方检测机构出具的检测报告复印件并加盖制造商（或厂商）公章，未提供或不符的不得分。</w:t>
            </w:r>
          </w:p>
        </w:tc>
      </w:tr>
      <w:tr w14:paraId="566D4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 w:hRule="atLeast"/>
        </w:trPr>
        <w:tc>
          <w:tcPr>
            <w:tcW w:w="915" w:type="dxa"/>
            <w:vMerge w:val="continue"/>
            <w:noWrap w:val="0"/>
            <w:vAlign w:val="center"/>
          </w:tcPr>
          <w:p w14:paraId="535BB2A7">
            <w:pPr>
              <w:spacing w:before="3"/>
              <w:jc w:val="center"/>
              <w:rPr>
                <w:rFonts w:hint="eastAsia" w:ascii="宋体" w:hAnsi="宋体" w:eastAsia="宋体" w:cs="宋体"/>
                <w:color w:val="auto"/>
                <w:szCs w:val="21"/>
                <w:highlight w:val="none"/>
              </w:rPr>
            </w:pPr>
          </w:p>
        </w:tc>
        <w:tc>
          <w:tcPr>
            <w:tcW w:w="999" w:type="dxa"/>
            <w:noWrap w:val="0"/>
            <w:vAlign w:val="center"/>
          </w:tcPr>
          <w:p w14:paraId="5B7A66A0">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拉坯机</w:t>
            </w:r>
          </w:p>
          <w:p w14:paraId="395E99AA">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分）</w:t>
            </w:r>
          </w:p>
        </w:tc>
        <w:tc>
          <w:tcPr>
            <w:tcW w:w="8054" w:type="dxa"/>
            <w:noWrap w:val="0"/>
            <w:vAlign w:val="center"/>
          </w:tcPr>
          <w:p w14:paraId="795FFBB1">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ind w:left="0" w:leftChars="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脚踏板：霍尔脚踏板符合GB/T 4208-2017标准，浸水试验:高度小于 850mm 的外壳最低点，应低于水面 1000mm，试验时间 30min。经浸水试验后，通电后能正常运行</w:t>
            </w:r>
            <w:r>
              <w:rPr>
                <w:rFonts w:hint="eastAsia" w:ascii="宋体" w:hAnsi="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满足上述要求的得</w:t>
            </w:r>
            <w:r>
              <w:rPr>
                <w:rFonts w:hint="eastAsia" w:ascii="宋体" w:hAnsi="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分。</w:t>
            </w:r>
          </w:p>
          <w:p w14:paraId="0BA24F1F">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评审依据：投标供应商投标文件中需提供满足上述要求的带有CNAS及CMA标识的检测报告原件扫描件，未提供或不符的不得分。</w:t>
            </w:r>
          </w:p>
          <w:p w14:paraId="6C9D0068">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ind w:left="0" w:leftChars="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安全性：电控部份采用国标防漏电保护插头绝缘电阻满足GB/T 2099.1-2021标准，其中三级插孔-本体(外壳)≥7.1*10^5MΩ、接地-L≥1.07*10^4MΩ、接地-N≥1.05*10^4MΩ，满足上述要求的得</w:t>
            </w:r>
            <w:r>
              <w:rPr>
                <w:rFonts w:hint="eastAsia" w:ascii="宋体" w:hAnsi="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分。</w:t>
            </w:r>
          </w:p>
          <w:p w14:paraId="54D05ED2">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ind w:leftChars="0"/>
              <w:jc w:val="left"/>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评审依据：投标供应商投标文件中需提供满足上述要求的带有CNAS及CMA标识的检测报告原件扫描件，未提供或不符的不得分。</w:t>
            </w:r>
          </w:p>
        </w:tc>
      </w:tr>
      <w:tr w14:paraId="5DBC0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 w:hRule="atLeast"/>
        </w:trPr>
        <w:tc>
          <w:tcPr>
            <w:tcW w:w="915" w:type="dxa"/>
            <w:vMerge w:val="continue"/>
            <w:noWrap w:val="0"/>
            <w:vAlign w:val="center"/>
          </w:tcPr>
          <w:p w14:paraId="3634F85C">
            <w:pPr>
              <w:spacing w:before="3"/>
              <w:jc w:val="center"/>
              <w:rPr>
                <w:rFonts w:hint="eastAsia" w:ascii="宋体" w:hAnsi="宋体" w:eastAsia="宋体" w:cs="宋体"/>
                <w:color w:val="auto"/>
                <w:szCs w:val="21"/>
                <w:highlight w:val="none"/>
              </w:rPr>
            </w:pPr>
          </w:p>
        </w:tc>
        <w:tc>
          <w:tcPr>
            <w:tcW w:w="999" w:type="dxa"/>
            <w:noWrap w:val="0"/>
            <w:vAlign w:val="center"/>
          </w:tcPr>
          <w:p w14:paraId="1FADFC9E">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高温电窑（3分）</w:t>
            </w:r>
          </w:p>
        </w:tc>
        <w:tc>
          <w:tcPr>
            <w:tcW w:w="8054" w:type="dxa"/>
            <w:noWrap w:val="0"/>
            <w:vAlign w:val="center"/>
          </w:tcPr>
          <w:p w14:paraId="26B8DA55">
            <w:pPr>
              <w:keepNext w:val="0"/>
              <w:keepLines w:val="0"/>
              <w:pageBreakBefore w:val="0"/>
              <w:widowControl w:val="0"/>
              <w:numPr>
                <w:ilvl w:val="0"/>
                <w:numId w:val="23"/>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莫来石轻质砖(Al₂O₃)/%≥48、(Fe₂O₃)/%≤2.0</w:t>
            </w:r>
            <w:r>
              <w:rPr>
                <w:rFonts w:hint="eastAsia" w:ascii="宋体" w:hAnsi="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符合GB/T6900-2016</w:t>
            </w:r>
            <w:r>
              <w:rPr>
                <w:rFonts w:hint="eastAsia" w:ascii="宋体" w:hAnsi="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体积密度≤1.3 g/cm³符合GB/T2998-2015、常温耐压强度≥1.0MPa符合GB/T5072-2023、加热永久线变化试验温度（1250℃x12h）：-1.0%~0.5%符合GB/T5988-2022、导热系数热面温度 1200℃≤0.20W/m.k符合YB/T4130-2005，满足上述要求的得1分。</w:t>
            </w:r>
          </w:p>
          <w:p w14:paraId="47D6FDBF">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评审依据：投标供应商投标文件中需提供满足上述要求的带有CNAS及CMA标识的检测报告原件扫描件，未提供或不符的不得分。</w:t>
            </w:r>
          </w:p>
          <w:p w14:paraId="2B751D6B">
            <w:pPr>
              <w:keepNext w:val="0"/>
              <w:keepLines w:val="0"/>
              <w:pageBreakBefore w:val="0"/>
              <w:widowControl w:val="0"/>
              <w:numPr>
                <w:ilvl w:val="0"/>
                <w:numId w:val="23"/>
              </w:numPr>
              <w:kinsoku/>
              <w:wordWrap/>
              <w:overflowPunct/>
              <w:topLinePunct w:val="0"/>
              <w:autoSpaceDE/>
              <w:autoSpaceDN/>
              <w:bidi w:val="0"/>
              <w:adjustRightInd/>
              <w:snapToGrid w:val="0"/>
              <w:spacing w:line="400" w:lineRule="exact"/>
              <w:ind w:left="0" w:leftChars="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钢材成分符合GB/T5213-2019标准；其中C≤0.04%、Mn≤0.15%、Ai≤0.035%、P≤0.02%、S≤0.01%，满足上述要求的得1分。</w:t>
            </w:r>
          </w:p>
          <w:p w14:paraId="78B9051A">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ind w:left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评审依据：投标供应商投标文件中需提供满足上述要求的带有CNAS及CMA标识的检测报告原件扫描件，未提供或不符的不得分。</w:t>
            </w:r>
          </w:p>
          <w:p w14:paraId="0C45708A">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3.钢材拉伸性能符合GB/T228.1-2021和GB/T5213-2019标准；其中抗拉强度Rm在270-410MPa范围内、屈服强度Rp0.2≤230 MPa、断后伸长率A80mm≥37%；钢材耐腐蚀性能符合GB/T9274-1988-浸泡法并能通过不低于（72h、5%氢氧化钠）、（72h、10%硫酸）检测，检测后无起泡无开裂无剥落等现象，满足上述要求的得1分；</w:t>
            </w:r>
          </w:p>
          <w:p w14:paraId="0247E94D">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评审依据：投标供应商投标文件中需提供满足上述要求的带有CNAS及CMA标识的检测报告原件扫描件，未提供或不符的不得分。</w:t>
            </w:r>
          </w:p>
        </w:tc>
      </w:tr>
      <w:tr w14:paraId="0E15A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 w:hRule="atLeast"/>
        </w:trPr>
        <w:tc>
          <w:tcPr>
            <w:tcW w:w="915" w:type="dxa"/>
            <w:vMerge w:val="continue"/>
            <w:noWrap w:val="0"/>
            <w:vAlign w:val="center"/>
          </w:tcPr>
          <w:p w14:paraId="6038BFB6">
            <w:pPr>
              <w:spacing w:before="3"/>
              <w:jc w:val="center"/>
              <w:rPr>
                <w:rFonts w:hint="eastAsia" w:ascii="宋体" w:hAnsi="宋体" w:eastAsia="宋体" w:cs="宋体"/>
                <w:color w:val="auto"/>
                <w:szCs w:val="21"/>
                <w:highlight w:val="none"/>
              </w:rPr>
            </w:pPr>
          </w:p>
        </w:tc>
        <w:tc>
          <w:tcPr>
            <w:tcW w:w="999" w:type="dxa"/>
            <w:noWrap w:val="0"/>
            <w:vAlign w:val="center"/>
          </w:tcPr>
          <w:p w14:paraId="65CCB47D">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五层置</w:t>
            </w:r>
          </w:p>
          <w:p w14:paraId="5010A7EB">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物架</w:t>
            </w:r>
          </w:p>
          <w:p w14:paraId="5D6F1024">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（2分）</w:t>
            </w:r>
          </w:p>
        </w:tc>
        <w:tc>
          <w:tcPr>
            <w:tcW w:w="8054" w:type="dxa"/>
            <w:noWrap w:val="0"/>
            <w:vAlign w:val="center"/>
          </w:tcPr>
          <w:p w14:paraId="60EBABF8">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采用云杉木材质，木材材质满足GB/T 29894-2013和 GB/T16734-1997国家标准，并能通过此标准检测出木材科属，满足上述要求的得2分；</w:t>
            </w:r>
          </w:p>
          <w:p w14:paraId="0C9D5E6A">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评审依据：投标供应商投标文件中需提供满足上述要求的带有CNAS及CMA标识的检测报告原件扫描件，未提供或不符的不得分。</w:t>
            </w:r>
          </w:p>
        </w:tc>
      </w:tr>
      <w:tr w14:paraId="2A33A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 w:hRule="atLeast"/>
        </w:trPr>
        <w:tc>
          <w:tcPr>
            <w:tcW w:w="915" w:type="dxa"/>
            <w:vMerge w:val="continue"/>
            <w:noWrap w:val="0"/>
            <w:vAlign w:val="center"/>
          </w:tcPr>
          <w:p w14:paraId="129F496B">
            <w:pPr>
              <w:spacing w:before="3"/>
              <w:jc w:val="center"/>
              <w:rPr>
                <w:rFonts w:hint="eastAsia" w:ascii="宋体" w:hAnsi="宋体" w:eastAsia="宋体" w:cs="宋体"/>
                <w:color w:val="auto"/>
                <w:szCs w:val="21"/>
                <w:highlight w:val="none"/>
              </w:rPr>
            </w:pPr>
          </w:p>
        </w:tc>
        <w:tc>
          <w:tcPr>
            <w:tcW w:w="999" w:type="dxa"/>
            <w:noWrap w:val="0"/>
            <w:vAlign w:val="center"/>
          </w:tcPr>
          <w:p w14:paraId="26867A5E">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釉料配比工作台</w:t>
            </w:r>
          </w:p>
          <w:p w14:paraId="78694D9C">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（4分）</w:t>
            </w:r>
          </w:p>
        </w:tc>
        <w:tc>
          <w:tcPr>
            <w:tcW w:w="8054" w:type="dxa"/>
            <w:noWrap w:val="0"/>
            <w:vAlign w:val="center"/>
          </w:tcPr>
          <w:p w14:paraId="0A4701FB">
            <w:pPr>
              <w:keepNext w:val="0"/>
              <w:keepLines w:val="0"/>
              <w:pageBreakBefore w:val="0"/>
              <w:widowControl w:val="0"/>
              <w:numPr>
                <w:ilvl w:val="0"/>
                <w:numId w:val="24"/>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钢管成分符合 GB/T 700-2006 标准</w:t>
            </w:r>
            <w:r>
              <w:rPr>
                <w:rFonts w:hint="eastAsia" w:ascii="宋体" w:hAnsi="宋体" w:eastAsia="宋体" w:cs="宋体"/>
                <w:color w:val="auto"/>
                <w:kern w:val="2"/>
                <w:sz w:val="21"/>
                <w:szCs w:val="21"/>
                <w:highlight w:val="none"/>
                <w:lang w:val="en-US" w:eastAsia="zh-CN" w:bidi="ar-SA"/>
              </w:rPr>
              <w:t>，C≤0.15%、Si≤0.14%、Mn≤0.3%、P≤0.014%、S≤0.005%，满足上述要求的得2分；</w:t>
            </w:r>
          </w:p>
          <w:p w14:paraId="01D91966">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评审依据：投标供应商投标文件中需提供满足上述要求的带有CNAS及CMA标识的检测报告原件扫描件，未提供或不符的不得分。</w:t>
            </w:r>
          </w:p>
          <w:p w14:paraId="590A373F">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 xml:space="preserve">采用检测标准 GB/T10125-2021，钢管通过不低于 24h 中性盐雾检测等级不低于10，满足上述要求的得2分； </w:t>
            </w:r>
          </w:p>
          <w:p w14:paraId="42F92707">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评审依据：投标供应商投标文件中需提供满足上述要求的带有CNAS及CMA标识的检测报告原件扫描件，未提供或不符的不得分。</w:t>
            </w:r>
          </w:p>
        </w:tc>
      </w:tr>
      <w:tr w14:paraId="5D512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 w:hRule="atLeast"/>
        </w:trPr>
        <w:tc>
          <w:tcPr>
            <w:tcW w:w="915" w:type="dxa"/>
            <w:vMerge w:val="continue"/>
            <w:noWrap w:val="0"/>
            <w:vAlign w:val="center"/>
          </w:tcPr>
          <w:p w14:paraId="3ACF3B64">
            <w:pPr>
              <w:spacing w:before="3"/>
              <w:jc w:val="center"/>
              <w:rPr>
                <w:rFonts w:hint="eastAsia" w:ascii="宋体" w:hAnsi="宋体" w:eastAsia="宋体" w:cs="宋体"/>
                <w:color w:val="auto"/>
                <w:szCs w:val="21"/>
                <w:highlight w:val="none"/>
              </w:rPr>
            </w:pPr>
          </w:p>
        </w:tc>
        <w:tc>
          <w:tcPr>
            <w:tcW w:w="999" w:type="dxa"/>
            <w:noWrap w:val="0"/>
            <w:vAlign w:val="center"/>
          </w:tcPr>
          <w:p w14:paraId="11B7945B">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冷热水池（2分）</w:t>
            </w:r>
          </w:p>
        </w:tc>
        <w:tc>
          <w:tcPr>
            <w:tcW w:w="8054" w:type="dxa"/>
            <w:noWrap w:val="0"/>
            <w:vAlign w:val="center"/>
          </w:tcPr>
          <w:p w14:paraId="038B3DD3">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不锈钢拉伸性能满足GB/T 228.1-2021和GB/T 3280-2015：其中不锈钢抗拉强度Rm≥700mPa、屈服强度Rp0.2≥330MPa、断后伸长率A≥54%；不锈钢耐腐蚀性能符合GB/T 9274-1988-浸泡法并能通过不低于（72h、5%氢氧化钠）、（72h、10%硫酸）检测，检测后无起泡无开裂无剥落等现象，满足上述要求的得2分；</w:t>
            </w:r>
          </w:p>
          <w:p w14:paraId="5FC0588C">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评审依据：投标供应商投标文件中需提供满足上述要求的带有CNAS及CMA标识的检测报告原件扫描件，未提供或不符的不得分。</w:t>
            </w:r>
          </w:p>
        </w:tc>
      </w:tr>
      <w:tr w14:paraId="054FA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 w:hRule="atLeast"/>
        </w:trPr>
        <w:tc>
          <w:tcPr>
            <w:tcW w:w="915" w:type="dxa"/>
            <w:vMerge w:val="continue"/>
            <w:noWrap w:val="0"/>
            <w:vAlign w:val="center"/>
          </w:tcPr>
          <w:p w14:paraId="6F83FA0E">
            <w:pPr>
              <w:spacing w:before="3"/>
              <w:jc w:val="center"/>
              <w:rPr>
                <w:rFonts w:hint="eastAsia" w:ascii="宋体" w:hAnsi="宋体" w:eastAsia="宋体" w:cs="宋体"/>
                <w:color w:val="auto"/>
                <w:szCs w:val="21"/>
                <w:highlight w:val="none"/>
              </w:rPr>
            </w:pPr>
          </w:p>
        </w:tc>
        <w:tc>
          <w:tcPr>
            <w:tcW w:w="999" w:type="dxa"/>
            <w:noWrap w:val="0"/>
            <w:vAlign w:val="center"/>
          </w:tcPr>
          <w:p w14:paraId="71751FB3">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水帘式吹釉柜（带转台）（4分）</w:t>
            </w:r>
          </w:p>
        </w:tc>
        <w:tc>
          <w:tcPr>
            <w:tcW w:w="8054" w:type="dxa"/>
            <w:noWrap w:val="0"/>
            <w:vAlign w:val="center"/>
          </w:tcPr>
          <w:p w14:paraId="6BEFF803">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1.转盘材质：铝合金成分符合GB/T3190-2020标准，其中Si≤0.40%、Fe≤0.18%、Mg≤0.65%、Cu≤0.01%、Zn≤0.02%、Mn≤0.01%、Cr≤0.01%、Ti≤0.011%，满足上述要求的得2分；</w:t>
            </w:r>
          </w:p>
          <w:p w14:paraId="6FBDDE3B">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color w:val="auto"/>
                <w:kern w:val="2"/>
                <w:sz w:val="21"/>
                <w:szCs w:val="21"/>
                <w:highlight w:val="none"/>
                <w:lang w:val="en-US" w:eastAsia="zh-CN" w:bidi="ar-SA"/>
              </w:rPr>
              <w:t>评审依据：投标供应商投标文件中需提供满足上述要求的带有CNAS及CMA标识的检测报告原件扫描件，未提供或不符的不得分。</w:t>
            </w:r>
          </w:p>
          <w:p w14:paraId="730497A2">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2.铝合金耐腐蚀性能符合GB/T9274-1988-浸泡法并能通过不低于（72h、5%氢氧化钠）、（72h、10%硫酸）检测，检测后无起泡无开裂无剥落等现象，满足上述要求的得2分；</w:t>
            </w:r>
          </w:p>
          <w:p w14:paraId="4F0ED79A">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color w:val="auto"/>
                <w:kern w:val="2"/>
                <w:sz w:val="21"/>
                <w:szCs w:val="21"/>
                <w:highlight w:val="none"/>
                <w:lang w:val="en-US" w:eastAsia="zh-CN" w:bidi="ar-SA"/>
              </w:rPr>
              <w:t>评审依据：投标供应商投标文件中需提供满足上述要求的带有CNAS及CMA标识的检测报告原件扫描件，未提供或不符的不得分。</w:t>
            </w:r>
          </w:p>
        </w:tc>
      </w:tr>
      <w:tr w14:paraId="5B9E5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915" w:type="dxa"/>
            <w:vMerge w:val="continue"/>
            <w:noWrap w:val="0"/>
            <w:vAlign w:val="center"/>
          </w:tcPr>
          <w:p w14:paraId="09794A8E">
            <w:pPr>
              <w:spacing w:before="3"/>
              <w:rPr>
                <w:rFonts w:hint="eastAsia" w:ascii="宋体" w:hAnsi="宋体" w:eastAsia="宋体" w:cs="宋体"/>
                <w:color w:val="auto"/>
                <w:szCs w:val="21"/>
                <w:highlight w:val="none"/>
              </w:rPr>
            </w:pPr>
          </w:p>
        </w:tc>
        <w:tc>
          <w:tcPr>
            <w:tcW w:w="999" w:type="dxa"/>
            <w:noWrap w:val="0"/>
            <w:vAlign w:val="center"/>
          </w:tcPr>
          <w:p w14:paraId="564E0000">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项目实施</w:t>
            </w:r>
          </w:p>
          <w:p w14:paraId="291F0DFB">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方案</w:t>
            </w:r>
          </w:p>
          <w:p w14:paraId="4E1C0A44">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6</w:t>
            </w:r>
            <w:r>
              <w:rPr>
                <w:rFonts w:hint="eastAsia" w:ascii="宋体" w:hAnsi="宋体" w:eastAsia="宋体" w:cs="宋体"/>
                <w:color w:val="auto"/>
                <w:kern w:val="2"/>
                <w:sz w:val="21"/>
                <w:szCs w:val="21"/>
                <w:highlight w:val="none"/>
                <w:lang w:val="en-US" w:eastAsia="zh-CN" w:bidi="ar-SA"/>
              </w:rPr>
              <w:t>分）</w:t>
            </w:r>
          </w:p>
        </w:tc>
        <w:tc>
          <w:tcPr>
            <w:tcW w:w="8054" w:type="dxa"/>
            <w:noWrap w:val="0"/>
            <w:vAlign w:val="top"/>
          </w:tcPr>
          <w:p w14:paraId="3CE76E03">
            <w:pPr>
              <w:keepNext w:val="0"/>
              <w:keepLines w:val="0"/>
              <w:pageBreakBefore w:val="0"/>
              <w:widowControl w:val="0"/>
              <w:kinsoku/>
              <w:wordWrap/>
              <w:overflowPunct/>
              <w:topLinePunct w:val="0"/>
              <w:autoSpaceDE/>
              <w:autoSpaceDN/>
              <w:bidi w:val="0"/>
              <w:adjustRightInd/>
              <w:snapToGrid w:val="0"/>
              <w:spacing w:line="400" w:lineRule="exact"/>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xml:space="preserve">供应商针对本项目制定项目项目实施方案，方案包含但不限于1、实施供货计划方案、2、项目质量控制方案、3、货物运输方案、4、应急保障措施方案、5、项目服务措施方案； </w:t>
            </w:r>
          </w:p>
          <w:p w14:paraId="63F6D64F">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评审依据：由评审委员进行评价：</w:t>
            </w:r>
          </w:p>
          <w:p w14:paraId="7ECCA48F">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（1）方案整体科学合理、针对性强、可操作性强，评审为优，得</w:t>
            </w:r>
            <w:r>
              <w:rPr>
                <w:rFonts w:hint="eastAsia" w:ascii="宋体" w:hAnsi="宋体" w:cs="宋体"/>
                <w:b/>
                <w:bCs/>
                <w:color w:val="auto"/>
                <w:kern w:val="2"/>
                <w:sz w:val="21"/>
                <w:szCs w:val="21"/>
                <w:highlight w:val="none"/>
                <w:lang w:val="en-US" w:eastAsia="zh-CN" w:bidi="ar-SA"/>
              </w:rPr>
              <w:t>6</w:t>
            </w:r>
            <w:r>
              <w:rPr>
                <w:rFonts w:hint="eastAsia" w:ascii="宋体" w:hAnsi="宋体" w:eastAsia="宋体" w:cs="宋体"/>
                <w:b/>
                <w:bCs/>
                <w:color w:val="auto"/>
                <w:kern w:val="2"/>
                <w:sz w:val="21"/>
                <w:szCs w:val="21"/>
                <w:highlight w:val="none"/>
                <w:lang w:val="en-US" w:eastAsia="zh-CN" w:bidi="ar-SA"/>
              </w:rPr>
              <w:t>分；</w:t>
            </w:r>
          </w:p>
          <w:p w14:paraId="57DD3759">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（2）方案较合理、有一定针对性、一定可操作性，评审为良，得</w:t>
            </w:r>
            <w:r>
              <w:rPr>
                <w:rFonts w:hint="eastAsia" w:ascii="宋体" w:hAnsi="宋体" w:cs="宋体"/>
                <w:b/>
                <w:bCs/>
                <w:color w:val="auto"/>
                <w:kern w:val="2"/>
                <w:sz w:val="21"/>
                <w:szCs w:val="21"/>
                <w:highlight w:val="none"/>
                <w:lang w:val="en-US" w:eastAsia="zh-CN" w:bidi="ar-SA"/>
              </w:rPr>
              <w:t>4</w:t>
            </w:r>
            <w:r>
              <w:rPr>
                <w:rFonts w:hint="eastAsia" w:ascii="宋体" w:hAnsi="宋体" w:eastAsia="宋体" w:cs="宋体"/>
                <w:b/>
                <w:bCs/>
                <w:color w:val="auto"/>
                <w:kern w:val="2"/>
                <w:sz w:val="21"/>
                <w:szCs w:val="21"/>
                <w:highlight w:val="none"/>
                <w:lang w:val="en-US" w:eastAsia="zh-CN" w:bidi="ar-SA"/>
              </w:rPr>
              <w:t>分；</w:t>
            </w:r>
          </w:p>
          <w:p w14:paraId="03D9466B">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（3）方案不尽合理、针对性一般、可操作性一般，评审为中，得</w:t>
            </w:r>
            <w:r>
              <w:rPr>
                <w:rFonts w:hint="eastAsia" w:ascii="宋体" w:hAnsi="宋体" w:cs="宋体"/>
                <w:b/>
                <w:bCs/>
                <w:color w:val="auto"/>
                <w:kern w:val="2"/>
                <w:sz w:val="21"/>
                <w:szCs w:val="21"/>
                <w:highlight w:val="none"/>
                <w:lang w:val="en-US" w:eastAsia="zh-CN" w:bidi="ar-SA"/>
              </w:rPr>
              <w:t>2</w:t>
            </w:r>
            <w:r>
              <w:rPr>
                <w:rFonts w:hint="eastAsia" w:ascii="宋体" w:hAnsi="宋体" w:eastAsia="宋体" w:cs="宋体"/>
                <w:b/>
                <w:bCs/>
                <w:color w:val="auto"/>
                <w:kern w:val="2"/>
                <w:sz w:val="21"/>
                <w:szCs w:val="21"/>
                <w:highlight w:val="none"/>
                <w:lang w:val="en-US" w:eastAsia="zh-CN" w:bidi="ar-SA"/>
              </w:rPr>
              <w:t>分；</w:t>
            </w:r>
          </w:p>
          <w:p w14:paraId="0A4DADA8">
            <w:pPr>
              <w:wordWrap w:val="0"/>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（4）方案不合理、无针对性、无可操作性或未提供，评审为差，不加分。</w:t>
            </w:r>
          </w:p>
        </w:tc>
      </w:tr>
      <w:tr w14:paraId="0BA10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trPr>
        <w:tc>
          <w:tcPr>
            <w:tcW w:w="915" w:type="dxa"/>
            <w:vMerge w:val="continue"/>
            <w:noWrap w:val="0"/>
            <w:vAlign w:val="center"/>
          </w:tcPr>
          <w:p w14:paraId="751324B5">
            <w:pPr>
              <w:spacing w:before="3"/>
              <w:rPr>
                <w:rFonts w:hint="eastAsia" w:ascii="宋体" w:hAnsi="宋体" w:eastAsia="宋体" w:cs="宋体"/>
                <w:color w:val="auto"/>
                <w:szCs w:val="21"/>
                <w:highlight w:val="none"/>
              </w:rPr>
            </w:pPr>
          </w:p>
        </w:tc>
        <w:tc>
          <w:tcPr>
            <w:tcW w:w="999" w:type="dxa"/>
            <w:noWrap w:val="0"/>
            <w:vAlign w:val="center"/>
          </w:tcPr>
          <w:p w14:paraId="7AD72889">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供货安装调试方案</w:t>
            </w:r>
          </w:p>
          <w:p w14:paraId="266D6059">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6</w:t>
            </w:r>
            <w:r>
              <w:rPr>
                <w:rFonts w:hint="eastAsia" w:ascii="宋体" w:hAnsi="宋体" w:eastAsia="宋体" w:cs="宋体"/>
                <w:color w:val="auto"/>
                <w:kern w:val="2"/>
                <w:sz w:val="21"/>
                <w:szCs w:val="21"/>
                <w:highlight w:val="none"/>
                <w:lang w:val="en-US" w:eastAsia="zh-CN" w:bidi="ar-SA"/>
              </w:rPr>
              <w:t>分）</w:t>
            </w:r>
          </w:p>
        </w:tc>
        <w:tc>
          <w:tcPr>
            <w:tcW w:w="8054" w:type="dxa"/>
            <w:noWrap w:val="0"/>
            <w:vAlign w:val="top"/>
          </w:tcPr>
          <w:p w14:paraId="0B6E4AAB">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供应商针对本项目制定供货安装调试方案，方案包含但不限于1、供货安装进度安排、2、供货保障方案、3、设备安装方案、4、系统调试方案、5、应急方案；</w:t>
            </w:r>
          </w:p>
          <w:p w14:paraId="54DFF5BE">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评审依据：由评审委员进行评价：</w:t>
            </w:r>
          </w:p>
          <w:p w14:paraId="1642C7A4">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（1）方案整体科学合理、针对性强、可操作性强，评审为优，得</w:t>
            </w:r>
            <w:r>
              <w:rPr>
                <w:rFonts w:hint="eastAsia" w:ascii="宋体" w:hAnsi="宋体" w:cs="宋体"/>
                <w:b/>
                <w:bCs/>
                <w:color w:val="auto"/>
                <w:kern w:val="2"/>
                <w:sz w:val="21"/>
                <w:szCs w:val="21"/>
                <w:highlight w:val="none"/>
                <w:lang w:val="en-US" w:eastAsia="zh-CN" w:bidi="ar-SA"/>
              </w:rPr>
              <w:t>6</w:t>
            </w:r>
            <w:r>
              <w:rPr>
                <w:rFonts w:hint="eastAsia" w:ascii="宋体" w:hAnsi="宋体" w:eastAsia="宋体" w:cs="宋体"/>
                <w:b/>
                <w:bCs/>
                <w:color w:val="auto"/>
                <w:kern w:val="2"/>
                <w:sz w:val="21"/>
                <w:szCs w:val="21"/>
                <w:highlight w:val="none"/>
                <w:lang w:val="en-US" w:eastAsia="zh-CN" w:bidi="ar-SA"/>
              </w:rPr>
              <w:t>分；</w:t>
            </w:r>
          </w:p>
          <w:p w14:paraId="5D84FC01">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（2）方案较合理、有一定针对性、一定可操作性，评审为良，得</w:t>
            </w:r>
            <w:r>
              <w:rPr>
                <w:rFonts w:hint="eastAsia" w:ascii="宋体" w:hAnsi="宋体" w:cs="宋体"/>
                <w:b/>
                <w:bCs/>
                <w:color w:val="auto"/>
                <w:kern w:val="2"/>
                <w:sz w:val="21"/>
                <w:szCs w:val="21"/>
                <w:highlight w:val="none"/>
                <w:lang w:val="en-US" w:eastAsia="zh-CN" w:bidi="ar-SA"/>
              </w:rPr>
              <w:t>4</w:t>
            </w:r>
            <w:r>
              <w:rPr>
                <w:rFonts w:hint="eastAsia" w:ascii="宋体" w:hAnsi="宋体" w:eastAsia="宋体" w:cs="宋体"/>
                <w:b/>
                <w:bCs/>
                <w:color w:val="auto"/>
                <w:kern w:val="2"/>
                <w:sz w:val="21"/>
                <w:szCs w:val="21"/>
                <w:highlight w:val="none"/>
                <w:lang w:val="en-US" w:eastAsia="zh-CN" w:bidi="ar-SA"/>
              </w:rPr>
              <w:t>分；</w:t>
            </w:r>
          </w:p>
          <w:p w14:paraId="66E40F7C">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（3）方案不尽合理、针对性一般、可操作性一般，评审为中，得</w:t>
            </w:r>
            <w:r>
              <w:rPr>
                <w:rFonts w:hint="eastAsia" w:ascii="宋体" w:hAnsi="宋体" w:cs="宋体"/>
                <w:b/>
                <w:bCs/>
                <w:color w:val="auto"/>
                <w:kern w:val="2"/>
                <w:sz w:val="21"/>
                <w:szCs w:val="21"/>
                <w:highlight w:val="none"/>
                <w:lang w:val="en-US" w:eastAsia="zh-CN" w:bidi="ar-SA"/>
              </w:rPr>
              <w:t>2</w:t>
            </w:r>
            <w:r>
              <w:rPr>
                <w:rFonts w:hint="eastAsia" w:ascii="宋体" w:hAnsi="宋体" w:eastAsia="宋体" w:cs="宋体"/>
                <w:b/>
                <w:bCs/>
                <w:color w:val="auto"/>
                <w:kern w:val="2"/>
                <w:sz w:val="21"/>
                <w:szCs w:val="21"/>
                <w:highlight w:val="none"/>
                <w:lang w:val="en-US" w:eastAsia="zh-CN" w:bidi="ar-SA"/>
              </w:rPr>
              <w:t>分；</w:t>
            </w:r>
          </w:p>
          <w:p w14:paraId="739F2A0B">
            <w:pPr>
              <w:wordWrap w:val="0"/>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（4）方案不合理、无针对性、无可操作性或未提供，评审为差，不加分。</w:t>
            </w:r>
          </w:p>
        </w:tc>
      </w:tr>
      <w:tr w14:paraId="4E423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47" w:hRule="atLeast"/>
        </w:trPr>
        <w:tc>
          <w:tcPr>
            <w:tcW w:w="915" w:type="dxa"/>
            <w:vMerge w:val="restart"/>
            <w:noWrap w:val="0"/>
            <w:vAlign w:val="center"/>
          </w:tcPr>
          <w:p w14:paraId="11F4FA6A">
            <w:pPr>
              <w:spacing w:before="3"/>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商务部分</w:t>
            </w:r>
          </w:p>
          <w:p w14:paraId="049794B1">
            <w:pPr>
              <w:spacing w:before="3"/>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w:t>
            </w:r>
            <w:r>
              <w:rPr>
                <w:rFonts w:hint="eastAsia" w:ascii="宋体" w:hAnsi="宋体" w:cs="宋体"/>
                <w:color w:val="auto"/>
                <w:szCs w:val="21"/>
                <w:highlight w:val="none"/>
                <w:lang w:val="en-US" w:eastAsia="zh-CN"/>
              </w:rPr>
              <w:t>20</w:t>
            </w:r>
            <w:r>
              <w:rPr>
                <w:rFonts w:hint="eastAsia" w:ascii="宋体" w:hAnsi="宋体" w:eastAsia="宋体" w:cs="宋体"/>
                <w:color w:val="auto"/>
                <w:szCs w:val="21"/>
                <w:highlight w:val="none"/>
                <w:lang w:val="en-US" w:eastAsia="zh-CN"/>
              </w:rPr>
              <w:t>分）</w:t>
            </w:r>
          </w:p>
        </w:tc>
        <w:tc>
          <w:tcPr>
            <w:tcW w:w="999" w:type="dxa"/>
            <w:noWrap w:val="0"/>
            <w:vAlign w:val="center"/>
          </w:tcPr>
          <w:p w14:paraId="3DC8C416">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运维及售后服务方案</w:t>
            </w:r>
          </w:p>
          <w:p w14:paraId="0E23A009">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6</w:t>
            </w:r>
            <w:r>
              <w:rPr>
                <w:rFonts w:hint="eastAsia" w:ascii="宋体" w:hAnsi="宋体" w:eastAsia="宋体" w:cs="宋体"/>
                <w:color w:val="auto"/>
                <w:kern w:val="2"/>
                <w:sz w:val="21"/>
                <w:szCs w:val="21"/>
                <w:highlight w:val="none"/>
                <w:lang w:val="en-US" w:eastAsia="zh-CN" w:bidi="ar-SA"/>
              </w:rPr>
              <w:t>分）</w:t>
            </w:r>
          </w:p>
        </w:tc>
        <w:tc>
          <w:tcPr>
            <w:tcW w:w="8054" w:type="dxa"/>
            <w:noWrap w:val="0"/>
            <w:vAlign w:val="top"/>
          </w:tcPr>
          <w:p w14:paraId="72237781">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供应商针对本项目制定运维及售后服务方案，包含但不限于以下：</w:t>
            </w:r>
          </w:p>
          <w:p w14:paraId="78C87E52">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1.日常巡查与维护方案、2质量控制方案、3、培训计划、4售后方案；</w:t>
            </w:r>
          </w:p>
          <w:p w14:paraId="2E2883C9">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评审依据：由评审委员进行评价：</w:t>
            </w:r>
          </w:p>
          <w:p w14:paraId="48BF548A">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（1）方案整体科学合理、针对性强、可操作性强，评审为优，得</w:t>
            </w:r>
            <w:r>
              <w:rPr>
                <w:rFonts w:hint="eastAsia" w:ascii="宋体" w:hAnsi="宋体" w:cs="宋体"/>
                <w:b/>
                <w:bCs/>
                <w:color w:val="auto"/>
                <w:kern w:val="2"/>
                <w:sz w:val="21"/>
                <w:szCs w:val="21"/>
                <w:highlight w:val="none"/>
                <w:lang w:val="en-US" w:eastAsia="zh-CN" w:bidi="ar-SA"/>
              </w:rPr>
              <w:t>6</w:t>
            </w:r>
            <w:r>
              <w:rPr>
                <w:rFonts w:hint="eastAsia" w:ascii="宋体" w:hAnsi="宋体" w:eastAsia="宋体" w:cs="宋体"/>
                <w:b/>
                <w:bCs/>
                <w:color w:val="auto"/>
                <w:kern w:val="2"/>
                <w:sz w:val="21"/>
                <w:szCs w:val="21"/>
                <w:highlight w:val="none"/>
                <w:lang w:val="en-US" w:eastAsia="zh-CN" w:bidi="ar-SA"/>
              </w:rPr>
              <w:t>分；</w:t>
            </w:r>
          </w:p>
          <w:p w14:paraId="24FA97CA">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（2）方案较合理、有一定针对性、一定可操作性，评审为良，得</w:t>
            </w:r>
            <w:r>
              <w:rPr>
                <w:rFonts w:hint="eastAsia" w:ascii="宋体" w:hAnsi="宋体" w:cs="宋体"/>
                <w:b/>
                <w:bCs/>
                <w:color w:val="auto"/>
                <w:kern w:val="2"/>
                <w:sz w:val="21"/>
                <w:szCs w:val="21"/>
                <w:highlight w:val="none"/>
                <w:lang w:val="en-US" w:eastAsia="zh-CN" w:bidi="ar-SA"/>
              </w:rPr>
              <w:t>4</w:t>
            </w:r>
            <w:r>
              <w:rPr>
                <w:rFonts w:hint="eastAsia" w:ascii="宋体" w:hAnsi="宋体" w:eastAsia="宋体" w:cs="宋体"/>
                <w:b/>
                <w:bCs/>
                <w:color w:val="auto"/>
                <w:kern w:val="2"/>
                <w:sz w:val="21"/>
                <w:szCs w:val="21"/>
                <w:highlight w:val="none"/>
                <w:lang w:val="en-US" w:eastAsia="zh-CN" w:bidi="ar-SA"/>
              </w:rPr>
              <w:t>分；</w:t>
            </w:r>
          </w:p>
          <w:p w14:paraId="1F57219F">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（3）方案不尽合理、针对性一般、可操作性一般，评审为中，得</w:t>
            </w:r>
            <w:r>
              <w:rPr>
                <w:rFonts w:hint="eastAsia" w:ascii="宋体" w:hAnsi="宋体" w:cs="宋体"/>
                <w:b/>
                <w:bCs/>
                <w:color w:val="auto"/>
                <w:kern w:val="2"/>
                <w:sz w:val="21"/>
                <w:szCs w:val="21"/>
                <w:highlight w:val="none"/>
                <w:lang w:val="en-US" w:eastAsia="zh-CN" w:bidi="ar-SA"/>
              </w:rPr>
              <w:t>2</w:t>
            </w:r>
            <w:r>
              <w:rPr>
                <w:rFonts w:hint="eastAsia" w:ascii="宋体" w:hAnsi="宋体" w:eastAsia="宋体" w:cs="宋体"/>
                <w:b/>
                <w:bCs/>
                <w:color w:val="auto"/>
                <w:kern w:val="2"/>
                <w:sz w:val="21"/>
                <w:szCs w:val="21"/>
                <w:highlight w:val="none"/>
                <w:lang w:val="en-US" w:eastAsia="zh-CN" w:bidi="ar-SA"/>
              </w:rPr>
              <w:t>分；</w:t>
            </w:r>
          </w:p>
          <w:p w14:paraId="62059E86">
            <w:pPr>
              <w:wordWrap w:val="0"/>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（4）方案不合理、无针对性、无可操作性或未提供，评审为差，不加分。</w:t>
            </w:r>
          </w:p>
        </w:tc>
      </w:tr>
      <w:tr w14:paraId="34468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3" w:hRule="atLeast"/>
        </w:trPr>
        <w:tc>
          <w:tcPr>
            <w:tcW w:w="915" w:type="dxa"/>
            <w:vMerge w:val="continue"/>
            <w:noWrap w:val="0"/>
            <w:vAlign w:val="center"/>
          </w:tcPr>
          <w:p w14:paraId="66C978BC">
            <w:pPr>
              <w:spacing w:before="3"/>
              <w:rPr>
                <w:rFonts w:hint="eastAsia" w:ascii="宋体" w:hAnsi="宋体" w:eastAsia="宋体" w:cs="宋体"/>
                <w:color w:val="auto"/>
                <w:szCs w:val="21"/>
                <w:highlight w:val="none"/>
              </w:rPr>
            </w:pPr>
          </w:p>
        </w:tc>
        <w:tc>
          <w:tcPr>
            <w:tcW w:w="999" w:type="dxa"/>
            <w:noWrap w:val="0"/>
            <w:vAlign w:val="center"/>
          </w:tcPr>
          <w:p w14:paraId="6F8858E6">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企业认证</w:t>
            </w:r>
          </w:p>
          <w:p w14:paraId="5AB54C57">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zh-CN" w:eastAsia="zh-CN" w:bidi="ar-SA"/>
              </w:rPr>
              <w:t>（</w:t>
            </w:r>
            <w:r>
              <w:rPr>
                <w:rFonts w:hint="eastAsia" w:ascii="宋体" w:hAnsi="宋体" w:eastAsia="宋体" w:cs="宋体"/>
                <w:color w:val="auto"/>
                <w:kern w:val="2"/>
                <w:sz w:val="21"/>
                <w:szCs w:val="21"/>
                <w:highlight w:val="none"/>
                <w:lang w:val="en-US" w:eastAsia="zh-CN" w:bidi="ar-SA"/>
              </w:rPr>
              <w:t>8分</w:t>
            </w:r>
            <w:r>
              <w:rPr>
                <w:rFonts w:hint="eastAsia" w:ascii="宋体" w:hAnsi="宋体" w:eastAsia="宋体" w:cs="宋体"/>
                <w:color w:val="auto"/>
                <w:kern w:val="2"/>
                <w:sz w:val="21"/>
                <w:szCs w:val="21"/>
                <w:highlight w:val="none"/>
                <w:lang w:val="zh-CN" w:eastAsia="zh-CN" w:bidi="ar-SA"/>
              </w:rPr>
              <w:t>）</w:t>
            </w:r>
          </w:p>
        </w:tc>
        <w:tc>
          <w:tcPr>
            <w:tcW w:w="8054" w:type="dxa"/>
            <w:noWrap w:val="0"/>
            <w:vAlign w:val="center"/>
          </w:tcPr>
          <w:p w14:paraId="21DA1873">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投标单位具备以下认证证书：1.质量管理体系认证证书；2.环境管理体系认证证书；3.职业健康安全管理体系认证证书；4.售后服务认证证书；以上证书</w:t>
            </w:r>
            <w:r>
              <w:rPr>
                <w:rFonts w:hint="eastAsia"/>
                <w:color w:val="auto"/>
                <w:lang w:eastAsia="zh-CN"/>
              </w:rPr>
              <w:t>每具备一项得</w:t>
            </w:r>
            <w:r>
              <w:rPr>
                <w:rFonts w:hint="eastAsia"/>
                <w:color w:val="auto"/>
                <w:lang w:val="en-US" w:eastAsia="zh-CN"/>
              </w:rPr>
              <w:t>2分</w:t>
            </w:r>
            <w:r>
              <w:rPr>
                <w:rFonts w:hint="eastAsia" w:ascii="宋体" w:hAnsi="宋体" w:eastAsia="宋体" w:cs="宋体"/>
                <w:color w:val="auto"/>
                <w:kern w:val="2"/>
                <w:sz w:val="21"/>
                <w:szCs w:val="21"/>
                <w:highlight w:val="none"/>
                <w:lang w:val="en-US" w:eastAsia="zh-CN" w:bidi="ar-SA"/>
              </w:rPr>
              <w:t>。</w:t>
            </w:r>
          </w:p>
          <w:p w14:paraId="07676477">
            <w:pPr>
              <w:numPr>
                <w:ilvl w:val="0"/>
                <w:numId w:val="0"/>
              </w:numPr>
              <w:wordWrap w:val="0"/>
              <w:jc w:val="left"/>
              <w:textAlignment w:val="auto"/>
              <w:rPr>
                <w:rFonts w:hint="eastAsia" w:ascii="宋体" w:hAnsi="宋体" w:eastAsia="宋体" w:cs="宋体"/>
                <w:color w:val="auto"/>
                <w:highlight w:val="none"/>
                <w:lang w:val="en-US" w:eastAsia="zh-CN"/>
              </w:rPr>
            </w:pPr>
            <w:r>
              <w:rPr>
                <w:rFonts w:hint="eastAsia" w:ascii="宋体" w:hAnsi="宋体" w:eastAsia="宋体" w:cs="宋体"/>
                <w:b/>
                <w:bCs/>
                <w:color w:val="auto"/>
                <w:kern w:val="2"/>
                <w:sz w:val="21"/>
                <w:szCs w:val="21"/>
                <w:highlight w:val="none"/>
                <w:lang w:val="en-US" w:eastAsia="zh-CN" w:bidi="ar-SA"/>
              </w:rPr>
              <w:t>评审依据：1、投标文件内提供认证证书原件扫描件，同时提供在全国认证认可信息公共服务平台（认e云）查询截图且显示有效（http://cx.cnca.cn）及编号一致；按要求提供以上资料，评分中出现无证明资料或专家无法凭所提供资料判断是否得分的情况，一律作不得分处理。</w:t>
            </w:r>
          </w:p>
        </w:tc>
      </w:tr>
      <w:tr w14:paraId="47307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 w:hRule="atLeast"/>
        </w:trPr>
        <w:tc>
          <w:tcPr>
            <w:tcW w:w="915" w:type="dxa"/>
            <w:vMerge w:val="continue"/>
            <w:noWrap w:val="0"/>
            <w:vAlign w:val="center"/>
          </w:tcPr>
          <w:p w14:paraId="6C628542">
            <w:pPr>
              <w:spacing w:before="3"/>
              <w:rPr>
                <w:rFonts w:hint="eastAsia" w:ascii="宋体" w:hAnsi="宋体" w:eastAsia="宋体" w:cs="宋体"/>
                <w:color w:val="auto"/>
                <w:szCs w:val="21"/>
                <w:highlight w:val="none"/>
              </w:rPr>
            </w:pPr>
          </w:p>
        </w:tc>
        <w:tc>
          <w:tcPr>
            <w:tcW w:w="999" w:type="dxa"/>
            <w:noWrap w:val="0"/>
            <w:vAlign w:val="center"/>
          </w:tcPr>
          <w:p w14:paraId="33FA94D6">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项目设计</w:t>
            </w:r>
          </w:p>
          <w:p w14:paraId="41967A95">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效果</w:t>
            </w:r>
          </w:p>
          <w:p w14:paraId="053C325F">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（3分）</w:t>
            </w:r>
          </w:p>
        </w:tc>
        <w:tc>
          <w:tcPr>
            <w:tcW w:w="8054" w:type="dxa"/>
            <w:noWrap w:val="0"/>
            <w:vAlign w:val="center"/>
          </w:tcPr>
          <w:p w14:paraId="09B90B86">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zh-CN" w:eastAsia="zh-CN" w:bidi="ar-SA"/>
              </w:rPr>
            </w:pPr>
            <w:r>
              <w:rPr>
                <w:rFonts w:hint="eastAsia" w:ascii="宋体" w:hAnsi="宋体" w:eastAsia="宋体" w:cs="宋体"/>
                <w:color w:val="auto"/>
                <w:kern w:val="2"/>
                <w:sz w:val="21"/>
                <w:szCs w:val="21"/>
                <w:highlight w:val="none"/>
                <w:lang w:val="zh-CN" w:eastAsia="zh-CN" w:bidi="ar-SA"/>
              </w:rPr>
              <w:t>投标供应商能提供本项目设计图包含：</w:t>
            </w:r>
          </w:p>
          <w:p w14:paraId="1969CDB1">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zh-CN" w:eastAsia="zh-CN" w:bidi="ar-SA"/>
              </w:rPr>
            </w:pPr>
            <w:r>
              <w:rPr>
                <w:rFonts w:hint="eastAsia" w:ascii="宋体" w:hAnsi="宋体" w:eastAsia="宋体" w:cs="宋体"/>
                <w:color w:val="auto"/>
                <w:kern w:val="2"/>
                <w:sz w:val="21"/>
                <w:szCs w:val="21"/>
                <w:highlight w:val="none"/>
                <w:lang w:val="en-US" w:eastAsia="zh-CN" w:bidi="ar-SA"/>
              </w:rPr>
              <w:t>1、投标单位</w:t>
            </w:r>
            <w:r>
              <w:rPr>
                <w:rFonts w:hint="eastAsia" w:ascii="宋体" w:hAnsi="宋体" w:eastAsia="宋体" w:cs="宋体"/>
                <w:color w:val="auto"/>
                <w:kern w:val="2"/>
                <w:sz w:val="21"/>
                <w:szCs w:val="21"/>
                <w:highlight w:val="none"/>
                <w:lang w:val="zh-CN" w:eastAsia="zh-CN" w:bidi="ar-SA"/>
              </w:rPr>
              <w:t>需提供</w:t>
            </w:r>
            <w:r>
              <w:rPr>
                <w:rFonts w:hint="eastAsia" w:ascii="宋体" w:hAnsi="宋体" w:eastAsia="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zh-CN" w:eastAsia="zh-CN" w:bidi="ar-SA"/>
              </w:rPr>
              <w:t>张全比例标注版整体平面</w:t>
            </w:r>
            <w:r>
              <w:rPr>
                <w:rFonts w:hint="eastAsia" w:ascii="宋体" w:hAnsi="宋体" w:eastAsia="宋体" w:cs="宋体"/>
                <w:color w:val="auto"/>
                <w:kern w:val="2"/>
                <w:sz w:val="21"/>
                <w:szCs w:val="21"/>
                <w:highlight w:val="none"/>
                <w:lang w:val="en-US" w:eastAsia="zh-CN" w:bidi="ar-SA"/>
              </w:rPr>
              <w:t>布局</w:t>
            </w:r>
            <w:r>
              <w:rPr>
                <w:rFonts w:hint="eastAsia" w:ascii="宋体" w:hAnsi="宋体" w:eastAsia="宋体" w:cs="宋体"/>
                <w:color w:val="auto"/>
                <w:kern w:val="2"/>
                <w:sz w:val="21"/>
                <w:szCs w:val="21"/>
                <w:highlight w:val="none"/>
                <w:lang w:val="zh-CN" w:eastAsia="zh-CN" w:bidi="ar-SA"/>
              </w:rPr>
              <w:t>图，</w:t>
            </w:r>
            <w:r>
              <w:rPr>
                <w:rFonts w:hint="eastAsia" w:ascii="宋体" w:hAnsi="宋体" w:eastAsia="宋体" w:cs="宋体"/>
                <w:color w:val="auto"/>
                <w:kern w:val="2"/>
                <w:sz w:val="21"/>
                <w:szCs w:val="21"/>
                <w:highlight w:val="none"/>
                <w:lang w:val="en-US" w:eastAsia="zh-CN" w:bidi="ar-SA"/>
              </w:rPr>
              <w:t>能</w:t>
            </w:r>
            <w:r>
              <w:rPr>
                <w:rFonts w:hint="eastAsia" w:ascii="宋体" w:hAnsi="宋体" w:eastAsia="宋体" w:cs="宋体"/>
                <w:color w:val="auto"/>
                <w:kern w:val="2"/>
                <w:sz w:val="21"/>
                <w:szCs w:val="21"/>
                <w:highlight w:val="none"/>
                <w:lang w:val="zh-CN" w:eastAsia="zh-CN" w:bidi="ar-SA"/>
              </w:rPr>
              <w:t>满足以下技术标准：全比例绘制，尺寸标注精确 ，无缩放误差，图中实体信息</w:t>
            </w:r>
            <w:r>
              <w:rPr>
                <w:rFonts w:hint="eastAsia" w:ascii="宋体" w:hAnsi="宋体" w:eastAsia="宋体" w:cs="宋体"/>
                <w:color w:val="auto"/>
                <w:kern w:val="2"/>
                <w:sz w:val="21"/>
                <w:szCs w:val="21"/>
                <w:highlight w:val="none"/>
                <w:lang w:val="en-US" w:eastAsia="zh-CN" w:bidi="ar-SA"/>
              </w:rPr>
              <w:t>能够反映出：①基础功能设施：卫生间、电梯（含无障碍无机房电梯）、楼梯（1# 楼梯）等是否标注齐全且位置合理。②实验室设备（陶艺设备）标注清晰度：标注文字清晰、布局合理、图例对应准确，视觉设计简洁大方</w:t>
            </w:r>
            <w:r>
              <w:rPr>
                <w:rFonts w:hint="eastAsia" w:ascii="宋体" w:hAnsi="宋体" w:eastAsia="宋体" w:cs="宋体"/>
                <w:color w:val="auto"/>
                <w:kern w:val="2"/>
                <w:sz w:val="21"/>
                <w:szCs w:val="21"/>
                <w:highlight w:val="none"/>
                <w:lang w:val="zh-CN" w:eastAsia="zh-CN" w:bidi="ar-SA"/>
              </w:rPr>
              <w:t>。</w:t>
            </w:r>
          </w:p>
          <w:p w14:paraId="69E2498D">
            <w:pPr>
              <w:numPr>
                <w:ilvl w:val="0"/>
                <w:numId w:val="0"/>
              </w:numPr>
              <w:wordWrap w:val="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zh-CN" w:eastAsia="zh-CN" w:bidi="ar-SA"/>
              </w:rPr>
              <w:t>评分依据：</w:t>
            </w:r>
            <w:r>
              <w:rPr>
                <w:rFonts w:hint="eastAsia" w:ascii="宋体" w:hAnsi="宋体" w:eastAsia="宋体" w:cs="宋体"/>
                <w:b/>
                <w:bCs/>
                <w:color w:val="auto"/>
                <w:kern w:val="2"/>
                <w:sz w:val="21"/>
                <w:szCs w:val="21"/>
                <w:highlight w:val="none"/>
                <w:lang w:val="en-US" w:eastAsia="zh-CN" w:bidi="ar-SA"/>
              </w:rPr>
              <w:t>1、</w:t>
            </w:r>
            <w:r>
              <w:rPr>
                <w:rFonts w:hint="eastAsia" w:ascii="宋体" w:hAnsi="宋体" w:eastAsia="宋体" w:cs="宋体"/>
                <w:b/>
                <w:bCs/>
                <w:color w:val="auto"/>
                <w:kern w:val="2"/>
                <w:sz w:val="21"/>
                <w:szCs w:val="21"/>
                <w:highlight w:val="none"/>
                <w:lang w:val="zh-CN" w:eastAsia="zh-CN" w:bidi="ar-SA"/>
              </w:rPr>
              <w:t>图纸完整准确规范：响应文件中提供符合上述要求的图纸（图纸需备注项目名称及图纸名称），图纸绘制符合行业规范，线条清晰、图例明确、比例准确，标注方式统一规范，整体排版合理；同时图纸内容符合现场实际情况，无乱写乱画现象，得</w:t>
            </w:r>
            <w:r>
              <w:rPr>
                <w:rFonts w:hint="eastAsia" w:ascii="宋体" w:hAnsi="宋体" w:eastAsia="宋体" w:cs="宋体"/>
                <w:b/>
                <w:bCs/>
                <w:color w:val="auto"/>
                <w:kern w:val="2"/>
                <w:sz w:val="21"/>
                <w:szCs w:val="21"/>
                <w:highlight w:val="none"/>
                <w:lang w:val="en-US" w:eastAsia="zh-CN" w:bidi="ar-SA"/>
              </w:rPr>
              <w:t>3</w:t>
            </w:r>
            <w:r>
              <w:rPr>
                <w:rFonts w:hint="eastAsia" w:ascii="宋体" w:hAnsi="宋体" w:eastAsia="宋体" w:cs="宋体"/>
                <w:b/>
                <w:bCs/>
                <w:color w:val="auto"/>
                <w:kern w:val="2"/>
                <w:sz w:val="21"/>
                <w:szCs w:val="21"/>
                <w:highlight w:val="none"/>
                <w:lang w:val="zh-CN" w:eastAsia="zh-CN" w:bidi="ar-SA"/>
              </w:rPr>
              <w:t>分。未提供</w:t>
            </w:r>
            <w:r>
              <w:rPr>
                <w:rFonts w:hint="eastAsia" w:ascii="宋体" w:hAnsi="宋体" w:eastAsia="宋体" w:cs="宋体"/>
                <w:b/>
                <w:bCs/>
                <w:color w:val="auto"/>
                <w:kern w:val="2"/>
                <w:sz w:val="21"/>
                <w:szCs w:val="21"/>
                <w:highlight w:val="none"/>
                <w:lang w:val="en-US" w:eastAsia="zh-CN" w:bidi="ar-SA"/>
              </w:rPr>
              <w:t>或未按</w:t>
            </w:r>
            <w:r>
              <w:rPr>
                <w:rFonts w:hint="eastAsia" w:ascii="宋体" w:hAnsi="宋体" w:eastAsia="宋体" w:cs="宋体"/>
                <w:b/>
                <w:bCs/>
                <w:color w:val="auto"/>
                <w:kern w:val="2"/>
                <w:sz w:val="21"/>
                <w:szCs w:val="21"/>
                <w:highlight w:val="none"/>
                <w:lang w:val="zh-CN" w:eastAsia="zh-CN" w:bidi="ar-SA"/>
              </w:rPr>
              <w:t>上述要求</w:t>
            </w:r>
            <w:r>
              <w:rPr>
                <w:rFonts w:hint="eastAsia" w:ascii="宋体" w:hAnsi="宋体" w:eastAsia="宋体" w:cs="宋体"/>
                <w:b/>
                <w:bCs/>
                <w:color w:val="auto"/>
                <w:kern w:val="2"/>
                <w:sz w:val="21"/>
                <w:szCs w:val="21"/>
                <w:highlight w:val="none"/>
                <w:lang w:val="en-US" w:eastAsia="zh-CN" w:bidi="ar-SA"/>
              </w:rPr>
              <w:t>提供</w:t>
            </w:r>
            <w:r>
              <w:rPr>
                <w:rFonts w:hint="eastAsia" w:ascii="宋体" w:hAnsi="宋体" w:eastAsia="宋体" w:cs="宋体"/>
                <w:b/>
                <w:bCs/>
                <w:color w:val="auto"/>
                <w:kern w:val="2"/>
                <w:sz w:val="21"/>
                <w:szCs w:val="21"/>
                <w:highlight w:val="none"/>
                <w:lang w:val="zh-CN" w:eastAsia="zh-CN" w:bidi="ar-SA"/>
              </w:rPr>
              <w:t>图纸，不得分。</w:t>
            </w:r>
          </w:p>
        </w:tc>
      </w:tr>
      <w:tr w14:paraId="08A53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 w:hRule="atLeast"/>
        </w:trPr>
        <w:tc>
          <w:tcPr>
            <w:tcW w:w="915" w:type="dxa"/>
            <w:vMerge w:val="continue"/>
            <w:noWrap w:val="0"/>
            <w:vAlign w:val="center"/>
          </w:tcPr>
          <w:p w14:paraId="6D0708A4">
            <w:pPr>
              <w:spacing w:before="3"/>
              <w:rPr>
                <w:rFonts w:hint="eastAsia" w:ascii="宋体" w:hAnsi="宋体" w:eastAsia="宋体" w:cs="宋体"/>
                <w:color w:val="auto"/>
                <w:szCs w:val="21"/>
                <w:highlight w:val="none"/>
              </w:rPr>
            </w:pPr>
          </w:p>
        </w:tc>
        <w:tc>
          <w:tcPr>
            <w:tcW w:w="999" w:type="dxa"/>
            <w:noWrap w:val="0"/>
            <w:vAlign w:val="center"/>
          </w:tcPr>
          <w:p w14:paraId="2B38A0BF">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投标人的类似业绩</w:t>
            </w:r>
            <w:r>
              <w:rPr>
                <w:rFonts w:hint="eastAsia" w:ascii="宋体" w:hAnsi="宋体" w:eastAsia="宋体" w:cs="宋体"/>
                <w:color w:val="auto"/>
                <w:kern w:val="2"/>
                <w:sz w:val="21"/>
                <w:szCs w:val="21"/>
                <w:highlight w:val="none"/>
                <w:lang w:val="en-US" w:eastAsia="zh-CN" w:bidi="ar-SA"/>
              </w:rPr>
              <w:t>（3分）</w:t>
            </w:r>
          </w:p>
        </w:tc>
        <w:tc>
          <w:tcPr>
            <w:tcW w:w="8054" w:type="dxa"/>
            <w:noWrap w:val="0"/>
            <w:vAlign w:val="center"/>
          </w:tcPr>
          <w:p w14:paraId="0B0F995E">
            <w:pPr>
              <w:numPr>
                <w:ilvl w:val="0"/>
                <w:numId w:val="0"/>
              </w:numPr>
              <w:wordWrap w:val="0"/>
              <w:jc w:val="left"/>
              <w:textAlignment w:val="auto"/>
              <w:rPr>
                <w:rFonts w:hint="default" w:ascii="宋体" w:hAnsi="宋体" w:eastAsia="宋体" w:cs="宋体"/>
                <w:b/>
                <w:bCs/>
                <w:color w:val="auto"/>
                <w:kern w:val="2"/>
                <w:sz w:val="21"/>
                <w:szCs w:val="21"/>
                <w:highlight w:val="none"/>
                <w:lang w:val="en-US" w:eastAsia="zh-CN" w:bidi="ar-SA"/>
              </w:rPr>
            </w:pPr>
            <w:r>
              <w:rPr>
                <w:rFonts w:hint="eastAsia" w:ascii="宋体" w:hAnsi="宋体" w:cs="宋体"/>
                <w:b w:val="0"/>
                <w:bCs w:val="0"/>
                <w:color w:val="auto"/>
                <w:kern w:val="2"/>
                <w:sz w:val="21"/>
                <w:szCs w:val="21"/>
                <w:highlight w:val="none"/>
                <w:lang w:val="zh-CN" w:eastAsia="zh-CN" w:bidi="ar-SA"/>
              </w:rPr>
              <w:t>根据投标人202</w:t>
            </w:r>
            <w:r>
              <w:rPr>
                <w:rFonts w:hint="eastAsia" w:ascii="宋体" w:hAnsi="宋体" w:cs="宋体"/>
                <w:b w:val="0"/>
                <w:bCs w:val="0"/>
                <w:color w:val="auto"/>
                <w:kern w:val="2"/>
                <w:sz w:val="21"/>
                <w:szCs w:val="21"/>
                <w:highlight w:val="none"/>
                <w:lang w:val="en-US" w:eastAsia="zh-CN" w:bidi="ar-SA"/>
              </w:rPr>
              <w:t>2</w:t>
            </w:r>
            <w:r>
              <w:rPr>
                <w:rFonts w:hint="eastAsia" w:ascii="宋体" w:hAnsi="宋体" w:cs="宋体"/>
                <w:b w:val="0"/>
                <w:bCs w:val="0"/>
                <w:color w:val="auto"/>
                <w:kern w:val="2"/>
                <w:sz w:val="21"/>
                <w:szCs w:val="21"/>
                <w:highlight w:val="none"/>
                <w:lang w:val="zh-CN" w:eastAsia="zh-CN" w:bidi="ar-SA"/>
              </w:rPr>
              <w:t>年1月1日以来的同类项目业绩打分（时间以合同签订日期为准），每提供一个业绩得1分；最多得</w:t>
            </w:r>
            <w:r>
              <w:rPr>
                <w:rFonts w:hint="eastAsia" w:ascii="宋体" w:hAnsi="宋体" w:cs="宋体"/>
                <w:b w:val="0"/>
                <w:bCs w:val="0"/>
                <w:color w:val="auto"/>
                <w:kern w:val="2"/>
                <w:sz w:val="21"/>
                <w:szCs w:val="21"/>
                <w:highlight w:val="none"/>
                <w:lang w:val="en-US" w:eastAsia="zh-CN" w:bidi="ar-SA"/>
              </w:rPr>
              <w:t>3</w:t>
            </w:r>
            <w:r>
              <w:rPr>
                <w:rFonts w:hint="eastAsia" w:ascii="宋体" w:hAnsi="宋体" w:cs="宋体"/>
                <w:b w:val="0"/>
                <w:bCs w:val="0"/>
                <w:color w:val="auto"/>
                <w:kern w:val="2"/>
                <w:sz w:val="21"/>
                <w:szCs w:val="21"/>
                <w:highlight w:val="none"/>
                <w:lang w:val="zh-CN" w:eastAsia="zh-CN" w:bidi="ar-SA"/>
              </w:rPr>
              <w:t>分。每个业绩需提供中标通知书或合同扫描件，不提供或不符合要求的不得分。</w:t>
            </w:r>
          </w:p>
        </w:tc>
      </w:tr>
    </w:tbl>
    <w:p w14:paraId="3E333C3A">
      <w:pPr>
        <w:pStyle w:val="39"/>
        <w:spacing w:line="440" w:lineRule="exact"/>
        <w:ind w:left="0" w:leftChars="0" w:firstLine="0" w:firstLineChars="0"/>
        <w:rPr>
          <w:rFonts w:hint="eastAsia" w:ascii="宋体" w:hAnsi="宋体" w:eastAsia="宋体" w:cs="宋体"/>
          <w:bCs/>
          <w:color w:val="auto"/>
          <w:sz w:val="21"/>
          <w:szCs w:val="21"/>
          <w:highlight w:val="none"/>
        </w:rPr>
      </w:pPr>
      <w:r>
        <w:rPr>
          <w:rFonts w:hint="eastAsia" w:ascii="宋体" w:hAnsi="宋体" w:eastAsia="宋体" w:cs="宋体"/>
          <w:b/>
          <w:bCs/>
          <w:color w:val="auto"/>
          <w:sz w:val="21"/>
          <w:szCs w:val="21"/>
          <w:highlight w:val="none"/>
        </w:rPr>
        <w:t>注：</w:t>
      </w:r>
      <w:r>
        <w:rPr>
          <w:rFonts w:hint="eastAsia" w:ascii="宋体" w:hAnsi="宋体" w:eastAsia="宋体" w:cs="宋体"/>
          <w:b/>
          <w:bCs/>
          <w:color w:val="auto"/>
          <w:sz w:val="21"/>
          <w:szCs w:val="21"/>
          <w:highlight w:val="none"/>
          <w:lang w:eastAsia="zh-CN"/>
        </w:rPr>
        <w:t>投标供应商</w:t>
      </w:r>
      <w:r>
        <w:rPr>
          <w:rFonts w:hint="eastAsia" w:ascii="宋体" w:hAnsi="宋体" w:eastAsia="宋体" w:cs="宋体"/>
          <w:b/>
          <w:bCs/>
          <w:color w:val="auto"/>
          <w:sz w:val="21"/>
          <w:szCs w:val="21"/>
          <w:highlight w:val="none"/>
        </w:rPr>
        <w:t>义务</w:t>
      </w:r>
    </w:p>
    <w:p w14:paraId="706C91D3">
      <w:pPr>
        <w:snapToGrid w:val="0"/>
        <w:spacing w:line="44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投标供应商</w:t>
      </w:r>
      <w:r>
        <w:rPr>
          <w:rFonts w:hint="eastAsia" w:ascii="宋体" w:hAnsi="宋体" w:eastAsia="宋体" w:cs="宋体"/>
          <w:color w:val="auto"/>
          <w:sz w:val="21"/>
          <w:szCs w:val="21"/>
          <w:highlight w:val="none"/>
        </w:rPr>
        <w:t>应随时随地答复评标委员会的询标，解答包括有关的商务、技术问题等。评标结束，所有评标资料存</w:t>
      </w:r>
      <w:r>
        <w:rPr>
          <w:rFonts w:hint="eastAsia" w:ascii="宋体" w:hAnsi="宋体" w:eastAsia="宋体" w:cs="宋体"/>
          <w:color w:val="auto"/>
          <w:sz w:val="21"/>
          <w:szCs w:val="21"/>
          <w:highlight w:val="none"/>
          <w:lang w:eastAsia="zh-CN"/>
        </w:rPr>
        <w:t>温州瓯瓷产业发展有限公司</w:t>
      </w:r>
      <w:r>
        <w:rPr>
          <w:rFonts w:hint="eastAsia" w:ascii="宋体" w:hAnsi="宋体" w:eastAsia="宋体" w:cs="宋体"/>
          <w:color w:val="auto"/>
          <w:sz w:val="21"/>
          <w:szCs w:val="21"/>
          <w:highlight w:val="none"/>
        </w:rPr>
        <w:t>备查。</w:t>
      </w:r>
    </w:p>
    <w:p w14:paraId="0A844C2C">
      <w:pPr>
        <w:snapToGrid w:val="0"/>
        <w:spacing w:line="440" w:lineRule="exact"/>
        <w:ind w:firstLine="422" w:firstLineChars="200"/>
        <w:rPr>
          <w:rFonts w:hint="eastAsia" w:ascii="宋体" w:hAnsi="宋体" w:eastAsia="宋体" w:cs="宋体"/>
          <w:b/>
          <w:bCs/>
          <w:snapToGrid w:val="0"/>
          <w:color w:val="auto"/>
          <w:sz w:val="21"/>
          <w:szCs w:val="21"/>
          <w:highlight w:val="none"/>
        </w:rPr>
      </w:pPr>
      <w:r>
        <w:rPr>
          <w:rFonts w:hint="eastAsia" w:ascii="宋体" w:hAnsi="宋体" w:eastAsia="宋体" w:cs="宋体"/>
          <w:b/>
          <w:bCs/>
          <w:snapToGrid w:val="0"/>
          <w:color w:val="auto"/>
          <w:sz w:val="21"/>
          <w:szCs w:val="21"/>
          <w:highlight w:val="none"/>
        </w:rPr>
        <w:t>未尽事宜按有关法律法规规定执行。</w:t>
      </w:r>
    </w:p>
    <w:sectPr>
      <w:headerReference r:id="rId10" w:type="default"/>
      <w:footerReference r:id="rId11" w:type="default"/>
      <w:pgSz w:w="11906" w:h="16838"/>
      <w:pgMar w:top="1244" w:right="1418" w:bottom="1134" w:left="1418" w:header="680" w:footer="992" w:gutter="0"/>
      <w:pgBorders>
        <w:top w:val="none" w:sz="0" w:space="0"/>
        <w:left w:val="none" w:sz="0" w:space="0"/>
        <w:bottom w:val="none" w:sz="0" w:space="0"/>
        <w:right w:val="none" w:sz="0" w:space="0"/>
      </w:pgBorders>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0"/>
    <w:family w:val="auto"/>
    <w:pitch w:val="default"/>
    <w:sig w:usb0="00000000" w:usb1="00000000" w:usb2="00000009" w:usb3="00000000" w:csb0="400001FF" w:csb1="FFFF0000"/>
  </w:font>
  <w:font w:name="宋体">
    <w:altName w:val="方正书宋_GBK"/>
    <w:panose1 w:val="02010600030101010101"/>
    <w:charset w:val="80"/>
    <w:family w:val="auto"/>
    <w:pitch w:val="default"/>
    <w:sig w:usb0="00000000" w:usb1="0000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综艺简体">
    <w:altName w:val="华文仿宋"/>
    <w:panose1 w:val="02010601030101010101"/>
    <w:charset w:val="86"/>
    <w:family w:val="auto"/>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Cambria">
    <w:altName w:val="FreeSerif"/>
    <w:panose1 w:val="02040503050406030204"/>
    <w:charset w:val="00"/>
    <w:family w:val="roman"/>
    <w:pitch w:val="default"/>
    <w:sig w:usb0="00000000" w:usb1="00000000" w:usb2="00000000" w:usb3="00000000" w:csb0="2000019F" w:csb1="00000000"/>
  </w:font>
  <w:font w:name="FreeSerif">
    <w:panose1 w:val="02020603050405020304"/>
    <w:charset w:val="00"/>
    <w:family w:val="auto"/>
    <w:pitch w:val="default"/>
    <w:sig w:usb0="E59FAFFF" w:usb1="C200FDFF" w:usb2="43501B29" w:usb3="04000043" w:csb0="600101FF" w:csb1="FFFF0000"/>
  </w:font>
  <w:font w:name="Arial Unicode MS">
    <w:altName w:val="DejaVu Sans"/>
    <w:panose1 w:val="020B0604020202020204"/>
    <w:charset w:val="86"/>
    <w:family w:val="roman"/>
    <w:pitch w:val="default"/>
    <w:sig w:usb0="00000000" w:usb1="00000000" w:usb2="0000007F" w:usb3="00000000" w:csb0="203F01FF" w:csb1="DFFF0000"/>
  </w:font>
  <w:font w:name="Arial Black">
    <w:altName w:val="DejaVu Sans"/>
    <w:panose1 w:val="020B0A04020102020204"/>
    <w:charset w:val="00"/>
    <w:family w:val="swiss"/>
    <w:pitch w:val="default"/>
    <w:sig w:usb0="00000000" w:usb1="00000000" w:usb2="00000000" w:usb3="00000000" w:csb0="2000009F" w:csb1="DFD70000"/>
  </w:font>
  <w:font w:name="Calibri Light">
    <w:altName w:val="DejaVu Sans"/>
    <w:panose1 w:val="020F0302020204030204"/>
    <w:charset w:val="00"/>
    <w:family w:val="swiss"/>
    <w:pitch w:val="default"/>
    <w:sig w:usb0="00000000" w:usb1="00000000" w:usb2="00000000" w:usb3="00000000" w:csb0="2000019F" w:csb1="00000000"/>
  </w:font>
  <w:font w:name="Arial Narrow">
    <w:altName w:val="DejaVu Sans"/>
    <w:panose1 w:val="020B0606020202030204"/>
    <w:charset w:val="00"/>
    <w:family w:val="swiss"/>
    <w:pitch w:val="default"/>
    <w:sig w:usb0="00000000" w:usb1="00000000" w:usb2="00000000" w:usb3="00000000" w:csb0="2000009F" w:csb1="DFD7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Verdana">
    <w:altName w:val="Ubuntu Light"/>
    <w:panose1 w:val="020B0604030504040204"/>
    <w:charset w:val="00"/>
    <w:family w:val="swiss"/>
    <w:pitch w:val="default"/>
    <w:sig w:usb0="00000000" w:usb1="00000000" w:usb2="00000010" w:usb3="00000000" w:csb0="2000019F" w:csb1="00000000"/>
  </w:font>
  <w:font w:name="Ubuntu Light">
    <w:panose1 w:val="020B0604030602030204"/>
    <w:charset w:val="00"/>
    <w:family w:val="auto"/>
    <w:pitch w:val="default"/>
    <w:sig w:usb0="E00002FF" w:usb1="5000205B" w:usb2="00000000" w:usb3="00000000" w:csb0="2000009F" w:csb1="56010000"/>
  </w:font>
  <w:font w:name="Tahoma">
    <w:altName w:val="DejaVu Sans"/>
    <w:panose1 w:val="020B0604030504040204"/>
    <w:charset w:val="00"/>
    <w:family w:val="swiss"/>
    <w:pitch w:val="default"/>
    <w:sig w:usb0="00000000" w:usb1="00000000" w:usb2="00000029" w:usb3="00000000" w:csb0="200101FF" w:csb1="20280000"/>
  </w:font>
  <w:font w:name="MathJax_Vector">
    <w:panose1 w:val="02000603000000000000"/>
    <w:charset w:val="00"/>
    <w:family w:val="auto"/>
    <w:pitch w:val="default"/>
    <w:sig w:usb0="00000001" w:usb1="00000020" w:usb2="00000000" w:usb3="00000000" w:csb0="00000001" w:csb1="00000000"/>
  </w:font>
  <w:font w:name="华文行楷">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2BB4A5">
    <w:pPr>
      <w:rPr>
        <w:rFonts w:hint="eastAsia"/>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7C12D2B">
                          <w:pPr>
                            <w:pStyle w:val="31"/>
                          </w:pPr>
                          <w:r>
                            <w:fldChar w:fldCharType="begin"/>
                          </w:r>
                          <w:r>
                            <w:instrText xml:space="preserve"> PAGE  \* MERGEFORMAT </w:instrText>
                          </w:r>
                          <w:r>
                            <w:fldChar w:fldCharType="separate"/>
                          </w:r>
                          <w:r>
                            <w:t>- 1 -</w:t>
                          </w:r>
                          <w:r>
                            <w:fldChar w:fldCharType="end"/>
                          </w:r>
                        </w:p>
                      </w:txbxContent>
                    </wps:txbx>
                    <wps:bodyPr vert="horz" wrap="none" lIns="0" tIns="0" rIns="0" bIns="0" anchor="t" anchorCtr="0" upright="0">
                      <a:spAutoFit/>
                    </wps:bodyPr>
                  </wps:wsp>
                </a:graphicData>
              </a:graphic>
            </wp:anchor>
          </w:drawing>
        </mc:Choice>
        <mc:Fallback>
          <w:pict>
            <v:shape id="文本框 41"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JOAL7N8BAAC/AwAADgAAAAAA&#10;AAABACAAAAAeAQAAZHJzL2Uyb0RvYy54bWxQSwUGAAAAAAYABgBZAQAAbwUAAAAA&#10;">
              <v:fill on="f" focussize="0,0"/>
              <v:stroke on="f"/>
              <v:imagedata o:title=""/>
              <o:lock v:ext="edit" aspectratio="f"/>
              <v:textbox inset="0mm,0mm,0mm,0mm" style="mso-fit-shape-to-text:t;">
                <w:txbxContent>
                  <w:p w14:paraId="17C12D2B">
                    <w:pPr>
                      <w:pStyle w:val="31"/>
                    </w:pPr>
                    <w:r>
                      <w:fldChar w:fldCharType="begin"/>
                    </w:r>
                    <w:r>
                      <w:instrText xml:space="preserve"> PAGE  \* MERGEFORMAT </w:instrText>
                    </w:r>
                    <w:r>
                      <w:fldChar w:fldCharType="separate"/>
                    </w:r>
                    <w:r>
                      <w:t>- 1 -</w:t>
                    </w:r>
                    <w: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D2F8F5">
    <w:pPr>
      <w:spacing w:line="184" w:lineRule="auto"/>
      <w:ind w:left="4718"/>
      <w:rPr>
        <w:rFonts w:ascii="Arial" w:hAnsi="Arial" w:eastAsia="Arial" w:cs="Arial"/>
        <w:sz w:val="18"/>
        <w:szCs w:val="18"/>
      </w:rPr>
    </w:pPr>
    <w:r>
      <w:rPr>
        <w:sz w:val="18"/>
      </w:rPr>
      <mc:AlternateContent>
        <mc:Choice Requires="wps">
          <w:drawing>
            <wp:anchor distT="0" distB="0" distL="114300" distR="114300" simplePos="0" relativeHeight="251664384" behindDoc="0" locked="0" layoutInCell="1" allowOverlap="1">
              <wp:simplePos x="0" y="0"/>
              <wp:positionH relativeFrom="margin">
                <wp:posOffset>2908935</wp:posOffset>
              </wp:positionH>
              <wp:positionV relativeFrom="paragraph">
                <wp:posOffset>-23495</wp:posOffset>
              </wp:positionV>
              <wp:extent cx="1828800" cy="1828800"/>
              <wp:effectExtent l="0" t="0" r="0" b="0"/>
              <wp:wrapNone/>
              <wp:docPr id="8"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414E030">
                          <w:pPr>
                            <w:pStyle w:val="31"/>
                          </w:pPr>
                          <w:r>
                            <w:t xml:space="preserve">第 </w:t>
                          </w:r>
                          <w:r>
                            <w:fldChar w:fldCharType="begin"/>
                          </w:r>
                          <w:r>
                            <w:instrText xml:space="preserve"> PAGE  \* MERGEFORMAT </w:instrText>
                          </w:r>
                          <w:r>
                            <w:fldChar w:fldCharType="separate"/>
                          </w:r>
                          <w:r>
                            <w:t>23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5" o:spid="_x0000_s1026" o:spt="202" type="#_x0000_t202" style="position:absolute;left:0pt;margin-left:229.05pt;margin-top:-1.85pt;height:144pt;width:144pt;mso-position-horizontal-relative:margin;mso-wrap-style:none;z-index:251664384;mso-width-relative:page;mso-height-relative:page;" filled="f" stroked="f" coordsize="21600,21600" o:gfxdata="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FtrSinYAAAACgEAAA8AAAAAAAAAAQAgAAAAIgAAAGRycy9kb3du&#10;cmV2LnhtbFBLAQIUABQAAAAIAIdO4kA0UJwYOAIAAG8EAAAOAAAAAAAAAAEAIAAAACcBAABkcnMv&#10;ZTJvRG9jLnhtbFBLBQYAAAAABgAGAFkBAADRBQAAAAA=&#10;">
              <v:fill on="f" focussize="0,0"/>
              <v:stroke on="f" weight="0.5pt"/>
              <v:imagedata o:title=""/>
              <o:lock v:ext="edit" aspectratio="f"/>
              <v:textbox inset="0mm,0mm,0mm,0mm" style="mso-fit-shape-to-text:t;">
                <w:txbxContent>
                  <w:p w14:paraId="4414E030">
                    <w:pPr>
                      <w:pStyle w:val="31"/>
                    </w:pPr>
                    <w:r>
                      <w:t xml:space="preserve">第 </w:t>
                    </w:r>
                    <w:r>
                      <w:fldChar w:fldCharType="begin"/>
                    </w:r>
                    <w:r>
                      <w:instrText xml:space="preserve"> PAGE  \* MERGEFORMAT </w:instrText>
                    </w:r>
                    <w:r>
                      <w:fldChar w:fldCharType="separate"/>
                    </w:r>
                    <w:r>
                      <w:t>23</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31E0D5">
    <w:pPr>
      <w:spacing w:line="205" w:lineRule="auto"/>
      <w:ind w:left="4565"/>
      <w:rPr>
        <w:rFonts w:ascii="Arial" w:hAnsi="Arial" w:eastAsia="Arial" w:cs="Arial"/>
        <w:sz w:val="17"/>
        <w:szCs w:val="17"/>
      </w:rPr>
    </w:pPr>
    <w:r>
      <w:rPr>
        <w:sz w:val="17"/>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F79278">
                          <w:pPr>
                            <w:pStyle w:val="31"/>
                          </w:pPr>
                          <w:r>
                            <w:fldChar w:fldCharType="begin"/>
                          </w:r>
                          <w:r>
                            <w:instrText xml:space="preserve"> PAGE  \* MERGEFORMAT </w:instrText>
                          </w:r>
                          <w:r>
                            <w:fldChar w:fldCharType="separate"/>
                          </w:r>
                          <w:r>
                            <w:t>- 2 -</w:t>
                          </w:r>
                          <w:r>
                            <w:fldChar w:fldCharType="end"/>
                          </w:r>
                        </w:p>
                      </w:txbxContent>
                    </wps:txbx>
                    <wps:bodyPr vert="horz" wrap="none" lIns="0" tIns="0" rIns="0" bIns="0" anchor="t" anchorCtr="0" upright="0">
                      <a:spAutoFit/>
                    </wps:bodyPr>
                  </wps:wsp>
                </a:graphicData>
              </a:graphic>
            </wp:anchor>
          </w:drawing>
        </mc:Choice>
        <mc:Fallback>
          <w:pict>
            <v:shape id="文本框 42"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7QFljt8BAAC/AwAADgAAAAAA&#10;AAABACAAAAAeAQAAZHJzL2Uyb0RvYy54bWxQSwUGAAAAAAYABgBZAQAAbwUAAAAA&#10;">
              <v:fill on="f" focussize="0,0"/>
              <v:stroke on="f"/>
              <v:imagedata o:title=""/>
              <o:lock v:ext="edit" aspectratio="f"/>
              <v:textbox inset="0mm,0mm,0mm,0mm" style="mso-fit-shape-to-text:t;">
                <w:txbxContent>
                  <w:p w14:paraId="63F79278">
                    <w:pPr>
                      <w:pStyle w:val="31"/>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1E2342">
    <w:pPr>
      <w:rPr>
        <w:rFonts w:hint="eastAsia" w:ascii="华文行楷" w:eastAsia="华文行楷"/>
      </w:rPr>
    </w:pPr>
    <w:r>
      <w:rPr>
        <w:sz w:val="24"/>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AE02970">
                          <w:pPr>
                            <w:pStyle w:val="31"/>
                          </w:pPr>
                          <w:r>
                            <w:fldChar w:fldCharType="begin"/>
                          </w:r>
                          <w:r>
                            <w:instrText xml:space="preserve"> PAGE  \* MERGEFORMAT </w:instrText>
                          </w:r>
                          <w:r>
                            <w:fldChar w:fldCharType="separate"/>
                          </w:r>
                          <w:r>
                            <w:t>- 56 -</w:t>
                          </w:r>
                          <w:r>
                            <w:fldChar w:fldCharType="end"/>
                          </w:r>
                        </w:p>
                      </w:txbxContent>
                    </wps:txbx>
                    <wps:bodyPr vert="horz" wrap="none" lIns="0" tIns="0" rIns="0" bIns="0" anchor="t" anchorCtr="0" upright="0">
                      <a:spAutoFit/>
                    </wps:bodyPr>
                  </wps:wsp>
                </a:graphicData>
              </a:graphic>
            </wp:anchor>
          </w:drawing>
        </mc:Choice>
        <mc:Fallback>
          <w:pict>
            <v:shape id="文本框 43"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qXr+v3gEAAL8DAAAOAAAAAAAA&#10;AAEAIAAAAB4BAABkcnMvZTJvRG9jLnhtbFBLBQYAAAAABgAGAFkBAABuBQAAAAA=&#10;">
              <v:fill on="f" focussize="0,0"/>
              <v:stroke on="f"/>
              <v:imagedata o:title=""/>
              <o:lock v:ext="edit" aspectratio="f"/>
              <v:textbox inset="0mm,0mm,0mm,0mm" style="mso-fit-shape-to-text:t;">
                <w:txbxContent>
                  <w:p w14:paraId="7AE02970">
                    <w:pPr>
                      <w:pStyle w:val="31"/>
                    </w:pPr>
                    <w:r>
                      <w:fldChar w:fldCharType="begin"/>
                    </w:r>
                    <w:r>
                      <w:instrText xml:space="preserve"> PAGE  \* MERGEFORMAT </w:instrText>
                    </w:r>
                    <w:r>
                      <w:fldChar w:fldCharType="separate"/>
                    </w:r>
                    <w:r>
                      <w:t>- 56 -</w:t>
                    </w:r>
                    <w:r>
                      <w:fldChar w:fldCharType="end"/>
                    </w:r>
                  </w:p>
                </w:txbxContent>
              </v:textbox>
            </v:shape>
          </w:pict>
        </mc:Fallback>
      </mc:AlternateContent>
    </w:r>
    <w:r>
      <w:rPr>
        <w:rFonts w:hint="eastAsia" w:ascii="华文行楷" w:eastAsia="华文行楷"/>
        <w:sz w:val="24"/>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57048C">
    <w:pPr>
      <w:rPr>
        <w:b/>
      </w:rPr>
    </w:pPr>
    <w:r>
      <w:rPr>
        <w:sz w:val="24"/>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D36A4A3">
                          <w:pPr>
                            <w:pStyle w:val="31"/>
                          </w:pPr>
                          <w:r>
                            <w:fldChar w:fldCharType="begin"/>
                          </w:r>
                          <w:r>
                            <w:instrText xml:space="preserve"> PAGE  \* MERGEFORMAT </w:instrText>
                          </w:r>
                          <w:r>
                            <w:fldChar w:fldCharType="separate"/>
                          </w:r>
                          <w:r>
                            <w:t>- 55 -</w:t>
                          </w:r>
                          <w:r>
                            <w:fldChar w:fldCharType="end"/>
                          </w:r>
                        </w:p>
                      </w:txbxContent>
                    </wps:txbx>
                    <wps:bodyPr vert="horz" wrap="none" lIns="0" tIns="0" rIns="0" bIns="0" anchor="t" anchorCtr="0" upright="0">
                      <a:spAutoFit/>
                    </wps:bodyPr>
                  </wps:wsp>
                </a:graphicData>
              </a:graphic>
            </wp:anchor>
          </w:drawing>
        </mc:Choice>
        <mc:Fallback>
          <w:pict>
            <v:shape id="文本框 44"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39Saot8BAAC/AwAADgAAAAAA&#10;AAABACAAAAAeAQAAZHJzL2Uyb0RvYy54bWxQSwUGAAAAAAYABgBZAQAAbwUAAAAA&#10;">
              <v:fill on="f" focussize="0,0"/>
              <v:stroke on="f"/>
              <v:imagedata o:title=""/>
              <o:lock v:ext="edit" aspectratio="f"/>
              <v:textbox inset="0mm,0mm,0mm,0mm" style="mso-fit-shape-to-text:t;">
                <w:txbxContent>
                  <w:p w14:paraId="5D36A4A3">
                    <w:pPr>
                      <w:pStyle w:val="31"/>
                    </w:pPr>
                    <w:r>
                      <w:fldChar w:fldCharType="begin"/>
                    </w:r>
                    <w:r>
                      <w:instrText xml:space="preserve"> PAGE  \* MERGEFORMAT </w:instrText>
                    </w:r>
                    <w:r>
                      <w:fldChar w:fldCharType="separate"/>
                    </w:r>
                    <w:r>
                      <w:t>- 55 -</w:t>
                    </w:r>
                    <w:r>
                      <w:fldChar w:fldCharType="end"/>
                    </w:r>
                  </w:p>
                </w:txbxContent>
              </v:textbox>
            </v:shape>
          </w:pict>
        </mc:Fallback>
      </mc:AlternateContent>
    </w:r>
    <w:r>
      <w:rPr>
        <w:rFonts w:ascii="华文行楷" w:eastAsia="华文行楷"/>
        <w:sz w:val="24"/>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9EBC51">
    <w:pPr>
      <w:spacing w:line="205" w:lineRule="auto"/>
      <w:ind w:left="4565"/>
      <w:rPr>
        <w:rFonts w:ascii="Arial" w:hAnsi="Arial" w:eastAsia="Arial" w:cs="Arial"/>
        <w:sz w:val="17"/>
        <w:szCs w:val="17"/>
      </w:rPr>
    </w:pPr>
    <w:r>
      <w:rPr>
        <w:sz w:val="17"/>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E5E89AB">
                          <w:pPr>
                            <w:pStyle w:val="31"/>
                          </w:pPr>
                          <w:r>
                            <w:fldChar w:fldCharType="begin"/>
                          </w:r>
                          <w:r>
                            <w:instrText xml:space="preserve"> PAGE  \* MERGEFORMAT </w:instrText>
                          </w:r>
                          <w:r>
                            <w:fldChar w:fldCharType="separate"/>
                          </w:r>
                          <w:r>
                            <w:t>- 59 -</w:t>
                          </w:r>
                          <w:r>
                            <w:fldChar w:fldCharType="end"/>
                          </w:r>
                        </w:p>
                      </w:txbxContent>
                    </wps:txbx>
                    <wps:bodyPr vert="horz" wrap="none" lIns="0" tIns="0" rIns="0" bIns="0" anchor="t" anchorCtr="0" upright="0">
                      <a:spAutoFit/>
                    </wps:bodyPr>
                  </wps:wsp>
                </a:graphicData>
              </a:graphic>
            </wp:anchor>
          </w:drawing>
        </mc:Choice>
        <mc:Fallback>
          <w:pict>
            <v:shape id="文本框 45"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Bhesu13gEAAMADAAAOAAAAAAAA&#10;AAEAIAAAAB4BAABkcnMvZTJvRG9jLnhtbFBLBQYAAAAABgAGAFkBAABuBQAAAAA=&#10;">
              <v:fill on="f" focussize="0,0"/>
              <v:stroke on="f"/>
              <v:imagedata o:title=""/>
              <o:lock v:ext="edit" aspectratio="f"/>
              <v:textbox inset="0mm,0mm,0mm,0mm" style="mso-fit-shape-to-text:t;">
                <w:txbxContent>
                  <w:p w14:paraId="1E5E89AB">
                    <w:pPr>
                      <w:pStyle w:val="31"/>
                    </w:pPr>
                    <w:r>
                      <w:fldChar w:fldCharType="begin"/>
                    </w:r>
                    <w:r>
                      <w:instrText xml:space="preserve"> PAGE  \* MERGEFORMAT </w:instrText>
                    </w:r>
                    <w:r>
                      <w:fldChar w:fldCharType="separate"/>
                    </w:r>
                    <w:r>
                      <w:t>- 59 -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A6FF6C">
    <w:pPr>
      <w:spacing w:line="230" w:lineRule="auto"/>
      <w:ind w:left="0"/>
      <w:rPr>
        <w:rFonts w:ascii="宋体" w:hAnsi="宋体" w:eastAsia="宋体" w:cs="宋体"/>
        <w:spacing w:val="9"/>
        <w:sz w:val="17"/>
        <w:szCs w:val="17"/>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10BB4A">
    <w:pPr>
      <w:pStyle w:val="32"/>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EBCF73">
    <w:pPr>
      <w:spacing w:line="230" w:lineRule="auto"/>
      <w:ind w:left="129"/>
      <w:rPr>
        <w:rFonts w:ascii="宋体" w:hAnsi="宋体" w:eastAsia="宋体" w:cs="宋体"/>
        <w:spacing w:val="9"/>
        <w:sz w:val="17"/>
        <w:szCs w:val="17"/>
      </w:rPr>
    </w:pPr>
    <w:r>
      <w:rPr>
        <w:rFonts w:ascii="宋体" w:hAnsi="宋体" w:eastAsia="宋体" w:cs="宋体"/>
        <w:spacing w:val="9"/>
        <w:sz w:val="17"/>
        <w:szCs w:val="17"/>
      </w:rPr>
      <mc:AlternateContent>
        <mc:Choice Requires="wps">
          <w:drawing>
            <wp:anchor distT="0" distB="0" distL="114300" distR="114300" simplePos="0" relativeHeight="251660288" behindDoc="0" locked="0" layoutInCell="0" allowOverlap="1">
              <wp:simplePos x="0" y="0"/>
              <wp:positionH relativeFrom="page">
                <wp:posOffset>900430</wp:posOffset>
              </wp:positionH>
              <wp:positionV relativeFrom="page">
                <wp:posOffset>688340</wp:posOffset>
              </wp:positionV>
              <wp:extent cx="5760085" cy="9525"/>
              <wp:effectExtent l="0" t="0" r="0" b="0"/>
              <wp:wrapNone/>
              <wp:docPr id="3" name="任意多边形 39"/>
              <wp:cNvGraphicFramePr/>
              <a:graphic xmlns:a="http://schemas.openxmlformats.org/drawingml/2006/main">
                <a:graphicData uri="http://schemas.microsoft.com/office/word/2010/wordprocessingShape">
                  <wps:wsp>
                    <wps:cNvSpPr/>
                    <wps:spPr>
                      <a:xfrm>
                        <a:off x="0" y="0"/>
                        <a:ext cx="5760085" cy="9525"/>
                      </a:xfrm>
                      <a:custGeom>
                        <a:avLst/>
                        <a:gdLst/>
                        <a:ahLst/>
                        <a:cxnLst/>
                        <a:pathLst>
                          <a:path w="9070" h="15">
                            <a:moveTo>
                              <a:pt x="0" y="0"/>
                            </a:moveTo>
                            <a:lnTo>
                              <a:pt x="9070" y="0"/>
                            </a:lnTo>
                            <a:lnTo>
                              <a:pt x="9070" y="14"/>
                            </a:lnTo>
                            <a:lnTo>
                              <a:pt x="0" y="14"/>
                            </a:lnTo>
                            <a:lnTo>
                              <a:pt x="0" y="0"/>
                            </a:lnTo>
                            <a:close/>
                          </a:path>
                        </a:pathLst>
                      </a:custGeom>
                      <a:solidFill>
                        <a:srgbClr val="000000"/>
                      </a:solidFill>
                      <a:ln>
                        <a:noFill/>
                      </a:ln>
                    </wps:spPr>
                    <wps:bodyPr wrap="square" upright="1"/>
                  </wps:wsp>
                </a:graphicData>
              </a:graphic>
            </wp:anchor>
          </w:drawing>
        </mc:Choice>
        <mc:Fallback>
          <w:pict>
            <v:shape id="任意多边形 39" o:spid="_x0000_s1026" o:spt="100" style="position:absolute;left:0pt;margin-left:70.9pt;margin-top:54.2pt;height:0.75pt;width:453.55pt;mso-position-horizontal-relative:page;mso-position-vertical-relative:page;z-index:251660288;mso-width-relative:page;mso-height-relative:page;" fillcolor="#000000" filled="t" stroked="f" coordsize="9070,15" o:allowincell="f" o:gfxdata="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ll1RddcAAAAM&#10;AQAADwAAAAAAAAABACAAAAAiAAAAZHJzL2Rvd25yZXYueG1sUEsBAhQAFAAAAAgAh07iQFoJgPcd&#10;AgAAigQAAA4AAAAAAAAAAQAgAAAAJgEAAGRycy9lMm9Eb2MueG1sUEsFBgAAAAAGAAYAWQEAALUF&#10;AAAAAA==&#10;" path="m0,0l9070,0,9070,14,0,14,0,0xe">
              <v:fill on="t" focussize="0,0"/>
              <v:stroke on="f"/>
              <v:imagedata o:title=""/>
              <o:lock v:ext="edit" aspectratio="f"/>
            </v:shape>
          </w:pict>
        </mc:Fallback>
      </mc:AlternateContent>
    </w:r>
    <w:r>
      <w:rPr>
        <w:rFonts w:hint="eastAsia" w:ascii="宋体" w:hAnsi="宋体" w:eastAsia="宋体" w:cs="宋体"/>
        <w:spacing w:val="9"/>
        <w:sz w:val="17"/>
        <w:szCs w:val="17"/>
        <w:lang w:eastAsia="zh-CN"/>
      </w:rPr>
      <w:t>温州</w:t>
    </w:r>
    <w:r>
      <w:rPr>
        <w:rFonts w:ascii="宋体" w:hAnsi="宋体" w:eastAsia="宋体" w:cs="宋体"/>
        <w:spacing w:val="9"/>
        <w:sz w:val="17"/>
        <w:szCs w:val="17"/>
      </w:rPr>
      <w:t>市国有企业采购文件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0D61EA"/>
    <w:multiLevelType w:val="singleLevel"/>
    <w:tmpl w:val="890D61EA"/>
    <w:lvl w:ilvl="0" w:tentative="0">
      <w:start w:val="9"/>
      <w:numFmt w:val="decimal"/>
      <w:lvlText w:val="%1."/>
      <w:lvlJc w:val="left"/>
      <w:pPr>
        <w:tabs>
          <w:tab w:val="left" w:pos="312"/>
        </w:tabs>
      </w:pPr>
    </w:lvl>
  </w:abstractNum>
  <w:abstractNum w:abstractNumId="1">
    <w:nsid w:val="927CC044"/>
    <w:multiLevelType w:val="singleLevel"/>
    <w:tmpl w:val="927CC044"/>
    <w:lvl w:ilvl="0" w:tentative="0">
      <w:start w:val="1"/>
      <w:numFmt w:val="decimal"/>
      <w:suff w:val="nothing"/>
      <w:lvlText w:val="%1、"/>
      <w:lvlJc w:val="left"/>
    </w:lvl>
  </w:abstractNum>
  <w:abstractNum w:abstractNumId="2">
    <w:nsid w:val="BDCAE982"/>
    <w:multiLevelType w:val="singleLevel"/>
    <w:tmpl w:val="BDCAE982"/>
    <w:lvl w:ilvl="0" w:tentative="0">
      <w:start w:val="1"/>
      <w:numFmt w:val="decimal"/>
      <w:lvlText w:val="%1."/>
      <w:lvlJc w:val="left"/>
      <w:pPr>
        <w:tabs>
          <w:tab w:val="left" w:pos="312"/>
        </w:tabs>
      </w:pPr>
    </w:lvl>
  </w:abstractNum>
  <w:abstractNum w:abstractNumId="3">
    <w:nsid w:val="D1808BBF"/>
    <w:multiLevelType w:val="singleLevel"/>
    <w:tmpl w:val="D1808BBF"/>
    <w:lvl w:ilvl="0" w:tentative="0">
      <w:start w:val="1"/>
      <w:numFmt w:val="decimal"/>
      <w:lvlText w:val="%1."/>
      <w:lvlJc w:val="left"/>
      <w:pPr>
        <w:tabs>
          <w:tab w:val="left" w:pos="312"/>
        </w:tabs>
      </w:pPr>
    </w:lvl>
  </w:abstractNum>
  <w:abstractNum w:abstractNumId="4">
    <w:nsid w:val="D65F80D0"/>
    <w:multiLevelType w:val="singleLevel"/>
    <w:tmpl w:val="D65F80D0"/>
    <w:lvl w:ilvl="0" w:tentative="0">
      <w:start w:val="1"/>
      <w:numFmt w:val="decimal"/>
      <w:lvlText w:val="%1."/>
      <w:lvlJc w:val="left"/>
      <w:pPr>
        <w:tabs>
          <w:tab w:val="left" w:pos="312"/>
        </w:tabs>
      </w:pPr>
    </w:lvl>
  </w:abstractNum>
  <w:abstractNum w:abstractNumId="5">
    <w:nsid w:val="00000013"/>
    <w:multiLevelType w:val="multilevel"/>
    <w:tmpl w:val="00000013"/>
    <w:lvl w:ilvl="0" w:tentative="0">
      <w:start w:val="1"/>
      <w:numFmt w:val="decimal"/>
      <w:lvlText w:val="%1."/>
      <w:lvlJc w:val="left"/>
      <w:pPr>
        <w:tabs>
          <w:tab w:val="left" w:pos="687"/>
        </w:tabs>
        <w:ind w:left="687" w:hanging="567"/>
      </w:pPr>
      <w:rPr>
        <w:rFonts w:hint="default" w:ascii="Arial" w:hAnsi="Arial" w:eastAsia="宋体"/>
        <w:b/>
        <w:i w:val="0"/>
        <w:sz w:val="24"/>
      </w:rPr>
    </w:lvl>
    <w:lvl w:ilvl="1" w:tentative="0">
      <w:start w:val="1"/>
      <w:numFmt w:val="decimal"/>
      <w:lvlText w:val="%1.%2"/>
      <w:lvlJc w:val="left"/>
      <w:pPr>
        <w:tabs>
          <w:tab w:val="left" w:pos="1003"/>
        </w:tabs>
        <w:ind w:left="1003" w:hanging="567"/>
      </w:pPr>
      <w:rPr>
        <w:rFonts w:hint="default" w:ascii="Arial" w:hAnsi="Arial" w:eastAsia="宋体"/>
        <w:b w:val="0"/>
        <w:i w:val="0"/>
        <w:color w:val="auto"/>
        <w:sz w:val="21"/>
      </w:rPr>
    </w:lvl>
    <w:lvl w:ilvl="2" w:tentative="0">
      <w:start w:val="1"/>
      <w:numFmt w:val="decimal"/>
      <w:lvlText w:val="%1.%2.%3"/>
      <w:lvlJc w:val="left"/>
      <w:pPr>
        <w:tabs>
          <w:tab w:val="left" w:pos="720"/>
        </w:tabs>
        <w:ind w:left="420" w:hanging="420"/>
      </w:pPr>
      <w:rPr>
        <w:rFonts w:hint="eastAsia"/>
      </w:rPr>
    </w:lvl>
    <w:lvl w:ilvl="3" w:tentative="0">
      <w:start w:val="1"/>
      <w:numFmt w:val="decimal"/>
      <w:lvlText w:val="%1.%2.%3.%4"/>
      <w:lvlJc w:val="left"/>
      <w:pPr>
        <w:tabs>
          <w:tab w:val="left" w:pos="420"/>
        </w:tabs>
        <w:ind w:left="420" w:hanging="420"/>
      </w:pPr>
      <w:rPr>
        <w:rFonts w:hint="eastAsia"/>
      </w:rPr>
    </w:lvl>
    <w:lvl w:ilvl="4" w:tentative="0">
      <w:start w:val="1"/>
      <w:numFmt w:val="decimal"/>
      <w:lvlText w:val="%1.%2.%3.%4.%5"/>
      <w:lvlJc w:val="left"/>
      <w:pPr>
        <w:tabs>
          <w:tab w:val="left" w:pos="420"/>
        </w:tabs>
        <w:ind w:left="420" w:hanging="420"/>
      </w:pPr>
      <w:rPr>
        <w:rFonts w:hint="eastAsia"/>
      </w:rPr>
    </w:lvl>
    <w:lvl w:ilvl="5" w:tentative="0">
      <w:start w:val="1"/>
      <w:numFmt w:val="decimal"/>
      <w:lvlText w:val="%1.%2.%3.%4.%5.%6"/>
      <w:lvlJc w:val="left"/>
      <w:pPr>
        <w:tabs>
          <w:tab w:val="left" w:pos="420"/>
        </w:tabs>
        <w:ind w:left="420" w:hanging="420"/>
      </w:pPr>
      <w:rPr>
        <w:rFonts w:hint="eastAsia"/>
      </w:rPr>
    </w:lvl>
    <w:lvl w:ilvl="6" w:tentative="0">
      <w:start w:val="1"/>
      <w:numFmt w:val="decimal"/>
      <w:lvlText w:val="%1.%2.%3.%4.%5.%6.%7"/>
      <w:lvlJc w:val="left"/>
      <w:pPr>
        <w:tabs>
          <w:tab w:val="left" w:pos="420"/>
        </w:tabs>
        <w:ind w:left="420" w:hanging="420"/>
      </w:pPr>
      <w:rPr>
        <w:rFonts w:hint="eastAsia"/>
      </w:rPr>
    </w:lvl>
    <w:lvl w:ilvl="7" w:tentative="0">
      <w:start w:val="1"/>
      <w:numFmt w:val="decimal"/>
      <w:lvlText w:val="%1.%2.%3.%4.%5.%6.%7.%8"/>
      <w:lvlJc w:val="left"/>
      <w:pPr>
        <w:tabs>
          <w:tab w:val="left" w:pos="420"/>
        </w:tabs>
        <w:ind w:left="420" w:hanging="420"/>
      </w:pPr>
      <w:rPr>
        <w:rFonts w:hint="eastAsia"/>
      </w:rPr>
    </w:lvl>
    <w:lvl w:ilvl="8" w:tentative="0">
      <w:start w:val="1"/>
      <w:numFmt w:val="decimal"/>
      <w:lvlText w:val="%1.%2.%3.%4.%5.%6.%7.%8.%9"/>
      <w:lvlJc w:val="left"/>
      <w:pPr>
        <w:tabs>
          <w:tab w:val="left" w:pos="420"/>
        </w:tabs>
        <w:ind w:left="420" w:hanging="420"/>
      </w:pPr>
      <w:rPr>
        <w:rFonts w:hint="eastAsia"/>
      </w:rPr>
    </w:lvl>
  </w:abstractNum>
  <w:abstractNum w:abstractNumId="6">
    <w:nsid w:val="00000015"/>
    <w:multiLevelType w:val="multilevel"/>
    <w:tmpl w:val="00000015"/>
    <w:lvl w:ilvl="0" w:tentative="0">
      <w:start w:val="1"/>
      <w:numFmt w:val="japaneseCounting"/>
      <w:lvlText w:val="%1、"/>
      <w:lvlJc w:val="left"/>
      <w:pPr>
        <w:tabs>
          <w:tab w:val="left" w:pos="1980"/>
        </w:tabs>
        <w:ind w:left="1980" w:hanging="840"/>
      </w:pPr>
      <w:rPr>
        <w:rFonts w:hint="eastAsia"/>
      </w:rPr>
    </w:lvl>
    <w:lvl w:ilvl="1" w:tentative="0">
      <w:start w:val="1"/>
      <w:numFmt w:val="lowerLetter"/>
      <w:pStyle w:val="171"/>
      <w:lvlText w:val="%2)"/>
      <w:lvlJc w:val="left"/>
      <w:pPr>
        <w:tabs>
          <w:tab w:val="left" w:pos="1980"/>
        </w:tabs>
        <w:ind w:left="1980" w:hanging="420"/>
      </w:pPr>
    </w:lvl>
    <w:lvl w:ilvl="2" w:tentative="0">
      <w:start w:val="1"/>
      <w:numFmt w:val="lowerRoman"/>
      <w:pStyle w:val="150"/>
      <w:lvlText w:val="%3."/>
      <w:lvlJc w:val="right"/>
      <w:pPr>
        <w:tabs>
          <w:tab w:val="left" w:pos="2400"/>
        </w:tabs>
        <w:ind w:left="2400" w:hanging="420"/>
      </w:pPr>
    </w:lvl>
    <w:lvl w:ilvl="3" w:tentative="0">
      <w:start w:val="1"/>
      <w:numFmt w:val="decimal"/>
      <w:lvlText w:val="%4."/>
      <w:lvlJc w:val="left"/>
      <w:pPr>
        <w:tabs>
          <w:tab w:val="left" w:pos="2820"/>
        </w:tabs>
        <w:ind w:left="2820" w:hanging="420"/>
      </w:pPr>
    </w:lvl>
    <w:lvl w:ilvl="4" w:tentative="0">
      <w:start w:val="1"/>
      <w:numFmt w:val="lowerLetter"/>
      <w:lvlText w:val="%5)"/>
      <w:lvlJc w:val="left"/>
      <w:pPr>
        <w:tabs>
          <w:tab w:val="left" w:pos="3240"/>
        </w:tabs>
        <w:ind w:left="3240" w:hanging="420"/>
      </w:pPr>
    </w:lvl>
    <w:lvl w:ilvl="5" w:tentative="0">
      <w:start w:val="1"/>
      <w:numFmt w:val="lowerRoman"/>
      <w:lvlText w:val="%6."/>
      <w:lvlJc w:val="right"/>
      <w:pPr>
        <w:tabs>
          <w:tab w:val="left" w:pos="3660"/>
        </w:tabs>
        <w:ind w:left="3660" w:hanging="420"/>
      </w:pPr>
    </w:lvl>
    <w:lvl w:ilvl="6" w:tentative="0">
      <w:start w:val="1"/>
      <w:numFmt w:val="decimal"/>
      <w:lvlText w:val="%7."/>
      <w:lvlJc w:val="left"/>
      <w:pPr>
        <w:tabs>
          <w:tab w:val="left" w:pos="4080"/>
        </w:tabs>
        <w:ind w:left="4080" w:hanging="420"/>
      </w:pPr>
    </w:lvl>
    <w:lvl w:ilvl="7" w:tentative="0">
      <w:start w:val="1"/>
      <w:numFmt w:val="lowerLetter"/>
      <w:lvlText w:val="%8)"/>
      <w:lvlJc w:val="left"/>
      <w:pPr>
        <w:tabs>
          <w:tab w:val="left" w:pos="4500"/>
        </w:tabs>
        <w:ind w:left="4500" w:hanging="420"/>
      </w:pPr>
    </w:lvl>
    <w:lvl w:ilvl="8" w:tentative="0">
      <w:start w:val="1"/>
      <w:numFmt w:val="lowerRoman"/>
      <w:lvlText w:val="%9."/>
      <w:lvlJc w:val="right"/>
      <w:pPr>
        <w:tabs>
          <w:tab w:val="left" w:pos="4920"/>
        </w:tabs>
        <w:ind w:left="4920" w:hanging="420"/>
      </w:pPr>
    </w:lvl>
  </w:abstractNum>
  <w:abstractNum w:abstractNumId="7">
    <w:nsid w:val="00000026"/>
    <w:multiLevelType w:val="multilevel"/>
    <w:tmpl w:val="00000026"/>
    <w:lvl w:ilvl="0" w:tentative="0">
      <w:start w:val="1"/>
      <w:numFmt w:val="bullet"/>
      <w:lvlText w:val=""/>
      <w:lvlJc w:val="left"/>
      <w:pPr>
        <w:tabs>
          <w:tab w:val="left" w:pos="1140"/>
        </w:tabs>
        <w:ind w:left="1140" w:hanging="420"/>
      </w:pPr>
      <w:rPr>
        <w:rFonts w:hint="default" w:ascii="Wingdings" w:hAnsi="Wingdings"/>
      </w:rPr>
    </w:lvl>
    <w:lvl w:ilvl="1" w:tentative="0">
      <w:start w:val="1"/>
      <w:numFmt w:val="decimal"/>
      <w:lvlText w:val="%2）"/>
      <w:lvlJc w:val="left"/>
      <w:pPr>
        <w:tabs>
          <w:tab w:val="left" w:pos="360"/>
        </w:tabs>
        <w:ind w:left="360" w:hanging="360"/>
      </w:pPr>
      <w:rPr>
        <w:rFonts w:hint="eastAsia"/>
      </w:rPr>
    </w:lvl>
    <w:lvl w:ilvl="2" w:tentative="0">
      <w:start w:val="1"/>
      <w:numFmt w:val="decimalEnclosedCircle"/>
      <w:lvlText w:val="%3"/>
      <w:lvlJc w:val="left"/>
      <w:pPr>
        <w:tabs>
          <w:tab w:val="left" w:pos="780"/>
        </w:tabs>
        <w:ind w:left="780" w:hanging="360"/>
      </w:pPr>
      <w:rPr>
        <w:rFonts w:hint="eastAsia"/>
      </w:rPr>
    </w:lvl>
    <w:lvl w:ilvl="3" w:tentative="0">
      <w:start w:val="1"/>
      <w:numFmt w:val="bullet"/>
      <w:lvlText w:val=""/>
      <w:lvlJc w:val="left"/>
      <w:pPr>
        <w:tabs>
          <w:tab w:val="left" w:pos="1260"/>
        </w:tabs>
        <w:ind w:left="1260" w:hanging="420"/>
      </w:pPr>
      <w:rPr>
        <w:rFonts w:hint="default" w:ascii="Wingdings" w:hAnsi="Wingdings"/>
      </w:rPr>
    </w:lvl>
    <w:lvl w:ilvl="4" w:tentative="0">
      <w:start w:val="1"/>
      <w:numFmt w:val="decimal"/>
      <w:lvlText w:val="%5)"/>
      <w:lvlJc w:val="left"/>
      <w:pPr>
        <w:tabs>
          <w:tab w:val="left" w:pos="1680"/>
        </w:tabs>
        <w:ind w:left="1680" w:hanging="420"/>
      </w:pPr>
    </w:lvl>
    <w:lvl w:ilvl="5" w:tentative="0">
      <w:start w:val="2"/>
      <w:numFmt w:val="decimal"/>
      <w:lvlText w:val="%6、"/>
      <w:lvlJc w:val="left"/>
      <w:pPr>
        <w:tabs>
          <w:tab w:val="left" w:pos="2040"/>
        </w:tabs>
        <w:ind w:left="2040" w:hanging="360"/>
      </w:pPr>
      <w:rPr>
        <w:rFonts w:hint="eastAsia"/>
      </w:rPr>
    </w:lvl>
    <w:lvl w:ilvl="6" w:tentative="0">
      <w:start w:val="1"/>
      <w:numFmt w:val="decimal"/>
      <w:lvlText w:val="%7."/>
      <w:lvlJc w:val="left"/>
      <w:pPr>
        <w:tabs>
          <w:tab w:val="left" w:pos="2520"/>
        </w:tabs>
        <w:ind w:left="2520" w:hanging="420"/>
      </w:pPr>
    </w:lvl>
    <w:lvl w:ilvl="7" w:tentative="0">
      <w:start w:val="1"/>
      <w:numFmt w:val="lowerLetter"/>
      <w:lvlText w:val="%8)"/>
      <w:lvlJc w:val="left"/>
      <w:pPr>
        <w:tabs>
          <w:tab w:val="left" w:pos="2940"/>
        </w:tabs>
        <w:ind w:left="2940" w:hanging="420"/>
      </w:pPr>
    </w:lvl>
    <w:lvl w:ilvl="8" w:tentative="0">
      <w:start w:val="1"/>
      <w:numFmt w:val="lowerRoman"/>
      <w:lvlText w:val="%9."/>
      <w:lvlJc w:val="right"/>
      <w:pPr>
        <w:tabs>
          <w:tab w:val="left" w:pos="3360"/>
        </w:tabs>
        <w:ind w:left="3360" w:hanging="420"/>
      </w:pPr>
    </w:lvl>
  </w:abstractNum>
  <w:abstractNum w:abstractNumId="8">
    <w:nsid w:val="06F7786D"/>
    <w:multiLevelType w:val="multilevel"/>
    <w:tmpl w:val="06F7786D"/>
    <w:lvl w:ilvl="0" w:tentative="0">
      <w:start w:val="1"/>
      <w:numFmt w:val="decimal"/>
      <w:lvlText w:val="（%1）"/>
      <w:lvlJc w:val="left"/>
      <w:pPr>
        <w:ind w:left="1980" w:hanging="720"/>
      </w:pPr>
      <w:rPr>
        <w:rFonts w:hint="default" w:cs="Times New Roman"/>
        <w:color w:val="auto"/>
        <w:sz w:val="21"/>
      </w:rPr>
    </w:lvl>
    <w:lvl w:ilvl="1" w:tentative="0">
      <w:start w:val="1"/>
      <w:numFmt w:val="decimalEnclosedCircle"/>
      <w:lvlText w:val="%2"/>
      <w:lvlJc w:val="left"/>
      <w:pPr>
        <w:tabs>
          <w:tab w:val="left" w:pos="1620"/>
        </w:tabs>
        <w:ind w:left="1620" w:hanging="360"/>
      </w:pPr>
      <w:rPr>
        <w:rFonts w:hint="default"/>
      </w:rPr>
    </w:lvl>
    <w:lvl w:ilvl="2" w:tentative="0">
      <w:start w:val="1"/>
      <w:numFmt w:val="bullet"/>
      <w:lvlText w:val=""/>
      <w:lvlJc w:val="left"/>
      <w:pPr>
        <w:tabs>
          <w:tab w:val="left" w:pos="2100"/>
        </w:tabs>
        <w:ind w:left="2100" w:hanging="420"/>
      </w:pPr>
      <w:rPr>
        <w:rFonts w:hint="default" w:ascii="Wingdings" w:hAnsi="Wingdings"/>
        <w:color w:val="auto"/>
        <w:sz w:val="21"/>
      </w:r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9">
    <w:nsid w:val="0EEC5D74"/>
    <w:multiLevelType w:val="singleLevel"/>
    <w:tmpl w:val="0EEC5D74"/>
    <w:lvl w:ilvl="0" w:tentative="0">
      <w:start w:val="1"/>
      <w:numFmt w:val="decimal"/>
      <w:suff w:val="nothing"/>
      <w:lvlText w:val="%1、"/>
      <w:lvlJc w:val="left"/>
    </w:lvl>
  </w:abstractNum>
  <w:abstractNum w:abstractNumId="10">
    <w:nsid w:val="187DF885"/>
    <w:multiLevelType w:val="singleLevel"/>
    <w:tmpl w:val="187DF885"/>
    <w:lvl w:ilvl="0" w:tentative="0">
      <w:start w:val="1"/>
      <w:numFmt w:val="decimal"/>
      <w:lvlText w:val="(%1)"/>
      <w:lvlJc w:val="left"/>
      <w:pPr>
        <w:ind w:left="1151" w:hanging="425"/>
      </w:pPr>
      <w:rPr>
        <w:rFonts w:hint="default"/>
      </w:rPr>
    </w:lvl>
  </w:abstractNum>
  <w:abstractNum w:abstractNumId="11">
    <w:nsid w:val="1DB84022"/>
    <w:multiLevelType w:val="multilevel"/>
    <w:tmpl w:val="1DB84022"/>
    <w:lvl w:ilvl="0" w:tentative="0">
      <w:start w:val="1"/>
      <w:numFmt w:val="decimal"/>
      <w:lvlText w:val="（%1）"/>
      <w:lvlJc w:val="left"/>
      <w:pPr>
        <w:tabs>
          <w:tab w:val="left" w:pos="1361"/>
        </w:tabs>
        <w:ind w:left="1361" w:hanging="681"/>
      </w:pPr>
      <w:rPr>
        <w:rFonts w:hint="eastAsia"/>
      </w:rPr>
    </w:lvl>
    <w:lvl w:ilvl="1" w:tentative="0">
      <w:start w:val="1"/>
      <w:numFmt w:val="lowerLetter"/>
      <w:pStyle w:val="203"/>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220418F5"/>
    <w:multiLevelType w:val="multilevel"/>
    <w:tmpl w:val="220418F5"/>
    <w:lvl w:ilvl="0" w:tentative="0">
      <w:start w:val="1"/>
      <w:numFmt w:val="decimal"/>
      <w:lvlText w:val="%1."/>
      <w:lvlJc w:val="left"/>
      <w:pPr>
        <w:tabs>
          <w:tab w:val="left" w:pos="567"/>
        </w:tabs>
        <w:ind w:left="567" w:hanging="567"/>
      </w:pPr>
      <w:rPr>
        <w:rFonts w:hint="default" w:ascii="Arial" w:hAnsi="Arial" w:eastAsia="宋体"/>
        <w:b w:val="0"/>
        <w:i w:val="0"/>
        <w:sz w:val="21"/>
      </w:rPr>
    </w:lvl>
    <w:lvl w:ilvl="1" w:tentative="0">
      <w:start w:val="1"/>
      <w:numFmt w:val="decimal"/>
      <w:lvlText w:val="%1.%2"/>
      <w:lvlJc w:val="left"/>
      <w:pPr>
        <w:tabs>
          <w:tab w:val="left" w:pos="567"/>
        </w:tabs>
        <w:ind w:left="567" w:hanging="567"/>
      </w:pPr>
      <w:rPr>
        <w:rFonts w:hint="default" w:ascii="Arial" w:hAnsi="Arial" w:eastAsia="宋体"/>
        <w:b w:val="0"/>
        <w:i w:val="0"/>
        <w:sz w:val="21"/>
      </w:rPr>
    </w:lvl>
    <w:lvl w:ilvl="2" w:tentative="0">
      <w:start w:val="1"/>
      <w:numFmt w:val="decimal"/>
      <w:lvlText w:val="%1.%2.%3"/>
      <w:lvlJc w:val="left"/>
      <w:pPr>
        <w:tabs>
          <w:tab w:val="left" w:pos="720"/>
        </w:tabs>
        <w:ind w:left="420" w:hanging="420"/>
      </w:pPr>
      <w:rPr>
        <w:rFonts w:hint="eastAsia"/>
      </w:rPr>
    </w:lvl>
    <w:lvl w:ilvl="3" w:tentative="0">
      <w:start w:val="1"/>
      <w:numFmt w:val="decimal"/>
      <w:lvlText w:val="%1.%2.%3.%4"/>
      <w:lvlJc w:val="left"/>
      <w:pPr>
        <w:tabs>
          <w:tab w:val="left" w:pos="420"/>
        </w:tabs>
        <w:ind w:left="420" w:hanging="420"/>
      </w:pPr>
      <w:rPr>
        <w:rFonts w:hint="eastAsia"/>
      </w:rPr>
    </w:lvl>
    <w:lvl w:ilvl="4" w:tentative="0">
      <w:start w:val="1"/>
      <w:numFmt w:val="decimal"/>
      <w:lvlText w:val="%1.%2.%3.%4.%5"/>
      <w:lvlJc w:val="left"/>
      <w:pPr>
        <w:tabs>
          <w:tab w:val="left" w:pos="420"/>
        </w:tabs>
        <w:ind w:left="420" w:hanging="420"/>
      </w:pPr>
      <w:rPr>
        <w:rFonts w:hint="eastAsia"/>
      </w:rPr>
    </w:lvl>
    <w:lvl w:ilvl="5" w:tentative="0">
      <w:start w:val="1"/>
      <w:numFmt w:val="decimal"/>
      <w:lvlText w:val="%1.%2.%3.%4.%5.%6"/>
      <w:lvlJc w:val="left"/>
      <w:pPr>
        <w:tabs>
          <w:tab w:val="left" w:pos="420"/>
        </w:tabs>
        <w:ind w:left="420" w:hanging="420"/>
      </w:pPr>
      <w:rPr>
        <w:rFonts w:hint="eastAsia"/>
      </w:rPr>
    </w:lvl>
    <w:lvl w:ilvl="6" w:tentative="0">
      <w:start w:val="1"/>
      <w:numFmt w:val="decimal"/>
      <w:lvlText w:val="%1.%2.%3.%4.%5.%6.%7"/>
      <w:lvlJc w:val="left"/>
      <w:pPr>
        <w:tabs>
          <w:tab w:val="left" w:pos="420"/>
        </w:tabs>
        <w:ind w:left="420" w:hanging="420"/>
      </w:pPr>
      <w:rPr>
        <w:rFonts w:hint="eastAsia"/>
      </w:rPr>
    </w:lvl>
    <w:lvl w:ilvl="7" w:tentative="0">
      <w:start w:val="1"/>
      <w:numFmt w:val="decimal"/>
      <w:lvlText w:val="%1.%2.%3.%4.%5.%6.%7.%8"/>
      <w:lvlJc w:val="left"/>
      <w:pPr>
        <w:tabs>
          <w:tab w:val="left" w:pos="420"/>
        </w:tabs>
        <w:ind w:left="420" w:hanging="420"/>
      </w:pPr>
      <w:rPr>
        <w:rFonts w:hint="eastAsia"/>
      </w:rPr>
    </w:lvl>
    <w:lvl w:ilvl="8" w:tentative="0">
      <w:start w:val="1"/>
      <w:numFmt w:val="decimal"/>
      <w:lvlText w:val="%1.%2.%3.%4.%5.%6.%7.%8.%9"/>
      <w:lvlJc w:val="left"/>
      <w:pPr>
        <w:tabs>
          <w:tab w:val="left" w:pos="420"/>
        </w:tabs>
        <w:ind w:left="420" w:hanging="420"/>
      </w:pPr>
      <w:rPr>
        <w:rFonts w:hint="eastAsia"/>
      </w:rPr>
    </w:lvl>
  </w:abstractNum>
  <w:abstractNum w:abstractNumId="13">
    <w:nsid w:val="22ADAF8E"/>
    <w:multiLevelType w:val="singleLevel"/>
    <w:tmpl w:val="22ADAF8E"/>
    <w:lvl w:ilvl="0" w:tentative="0">
      <w:start w:val="1"/>
      <w:numFmt w:val="decimal"/>
      <w:lvlText w:val="%1."/>
      <w:lvlJc w:val="left"/>
      <w:pPr>
        <w:tabs>
          <w:tab w:val="left" w:pos="312"/>
        </w:tabs>
      </w:pPr>
    </w:lvl>
  </w:abstractNum>
  <w:abstractNum w:abstractNumId="14">
    <w:nsid w:val="24021003"/>
    <w:multiLevelType w:val="singleLevel"/>
    <w:tmpl w:val="24021003"/>
    <w:lvl w:ilvl="0" w:tentative="0">
      <w:start w:val="1"/>
      <w:numFmt w:val="decimal"/>
      <w:lvlText w:val="%1．"/>
      <w:lvlJc w:val="left"/>
      <w:pPr>
        <w:tabs>
          <w:tab w:val="left" w:pos="720"/>
        </w:tabs>
        <w:ind w:left="844" w:hanging="360"/>
      </w:pPr>
      <w:rPr>
        <w:rFonts w:hint="eastAsia"/>
      </w:rPr>
    </w:lvl>
  </w:abstractNum>
  <w:abstractNum w:abstractNumId="15">
    <w:nsid w:val="3590227A"/>
    <w:multiLevelType w:val="multilevel"/>
    <w:tmpl w:val="3590227A"/>
    <w:lvl w:ilvl="0" w:tentative="0">
      <w:start w:val="1"/>
      <w:numFmt w:val="decimal"/>
      <w:pStyle w:val="230"/>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16">
    <w:nsid w:val="3E3A07A7"/>
    <w:multiLevelType w:val="multilevel"/>
    <w:tmpl w:val="3E3A07A7"/>
    <w:lvl w:ilvl="0" w:tentative="0">
      <w:start w:val="1"/>
      <w:numFmt w:val="decimal"/>
      <w:lvlText w:val="（%1）"/>
      <w:lvlJc w:val="left"/>
      <w:pPr>
        <w:ind w:left="1560" w:hanging="720"/>
      </w:pPr>
      <w:rPr>
        <w:rFonts w:hint="default" w:cs="Times New Roman"/>
        <w:color w:val="auto"/>
        <w:sz w:val="21"/>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7">
    <w:nsid w:val="54B1319C"/>
    <w:multiLevelType w:val="singleLevel"/>
    <w:tmpl w:val="54B1319C"/>
    <w:lvl w:ilvl="0" w:tentative="0">
      <w:start w:val="1"/>
      <w:numFmt w:val="chineseCounting"/>
      <w:suff w:val="space"/>
      <w:lvlText w:val="第%1部分"/>
      <w:lvlJc w:val="left"/>
      <w:rPr>
        <w:rFonts w:hint="eastAsia"/>
      </w:rPr>
    </w:lvl>
  </w:abstractNum>
  <w:abstractNum w:abstractNumId="18">
    <w:nsid w:val="54F403B5"/>
    <w:multiLevelType w:val="singleLevel"/>
    <w:tmpl w:val="54F403B5"/>
    <w:lvl w:ilvl="0" w:tentative="0">
      <w:start w:val="1"/>
      <w:numFmt w:val="chineseCounting"/>
      <w:suff w:val="nothing"/>
      <w:lvlText w:val="%1、"/>
      <w:lvlJc w:val="left"/>
    </w:lvl>
  </w:abstractNum>
  <w:abstractNum w:abstractNumId="19">
    <w:nsid w:val="557FD3DA"/>
    <w:multiLevelType w:val="singleLevel"/>
    <w:tmpl w:val="557FD3DA"/>
    <w:lvl w:ilvl="0" w:tentative="0">
      <w:start w:val="3"/>
      <w:numFmt w:val="chineseCounting"/>
      <w:suff w:val="nothing"/>
      <w:lvlText w:val="%1、"/>
      <w:lvlJc w:val="left"/>
    </w:lvl>
  </w:abstractNum>
  <w:abstractNum w:abstractNumId="20">
    <w:nsid w:val="59097FF1"/>
    <w:multiLevelType w:val="multilevel"/>
    <w:tmpl w:val="59097FF1"/>
    <w:lvl w:ilvl="0" w:tentative="0">
      <w:start w:val="1"/>
      <w:numFmt w:val="decimal"/>
      <w:suff w:val="nothing"/>
      <w:lvlText w:val="（%1）"/>
      <w:lvlJc w:val="left"/>
      <w:pPr>
        <w:tabs>
          <w:tab w:val="left" w:pos="128"/>
        </w:tabs>
        <w:ind w:left="913" w:hanging="420"/>
      </w:pPr>
      <w:rPr>
        <w:rFonts w:hint="default" w:ascii="宋体" w:hAnsi="宋体" w:eastAsia="宋体" w:cs="Times New Roman"/>
        <w:color w:val="auto"/>
        <w:sz w:val="21"/>
        <w:szCs w:val="21"/>
        <w:lang w:val="en-US"/>
      </w:rPr>
    </w:lvl>
    <w:lvl w:ilvl="1" w:tentative="0">
      <w:start w:val="1"/>
      <w:numFmt w:val="lowerLetter"/>
      <w:lvlText w:val="%2)"/>
      <w:lvlJc w:val="left"/>
      <w:pPr>
        <w:ind w:left="1333" w:hanging="420"/>
      </w:pPr>
      <w:rPr>
        <w:rFonts w:cs="Times New Roman"/>
      </w:rPr>
    </w:lvl>
    <w:lvl w:ilvl="2" w:tentative="0">
      <w:start w:val="1"/>
      <w:numFmt w:val="lowerRoman"/>
      <w:lvlText w:val="%3."/>
      <w:lvlJc w:val="right"/>
      <w:pPr>
        <w:ind w:left="1753" w:hanging="420"/>
      </w:pPr>
      <w:rPr>
        <w:rFonts w:cs="Times New Roman"/>
      </w:rPr>
    </w:lvl>
    <w:lvl w:ilvl="3" w:tentative="0">
      <w:start w:val="1"/>
      <w:numFmt w:val="decimal"/>
      <w:lvlText w:val="%4."/>
      <w:lvlJc w:val="left"/>
      <w:pPr>
        <w:ind w:left="2173" w:hanging="420"/>
      </w:pPr>
      <w:rPr>
        <w:rFonts w:cs="Times New Roman"/>
      </w:rPr>
    </w:lvl>
    <w:lvl w:ilvl="4" w:tentative="0">
      <w:start w:val="1"/>
      <w:numFmt w:val="lowerLetter"/>
      <w:lvlText w:val="%5)"/>
      <w:lvlJc w:val="left"/>
      <w:pPr>
        <w:ind w:left="2593" w:hanging="420"/>
      </w:pPr>
      <w:rPr>
        <w:rFonts w:cs="Times New Roman"/>
      </w:rPr>
    </w:lvl>
    <w:lvl w:ilvl="5" w:tentative="0">
      <w:start w:val="1"/>
      <w:numFmt w:val="lowerRoman"/>
      <w:lvlText w:val="%6."/>
      <w:lvlJc w:val="right"/>
      <w:pPr>
        <w:ind w:left="3013" w:hanging="420"/>
      </w:pPr>
      <w:rPr>
        <w:rFonts w:cs="Times New Roman"/>
      </w:rPr>
    </w:lvl>
    <w:lvl w:ilvl="6" w:tentative="0">
      <w:start w:val="1"/>
      <w:numFmt w:val="decimal"/>
      <w:lvlText w:val="%7."/>
      <w:lvlJc w:val="left"/>
      <w:pPr>
        <w:ind w:left="3433" w:hanging="420"/>
      </w:pPr>
      <w:rPr>
        <w:rFonts w:cs="Times New Roman"/>
      </w:rPr>
    </w:lvl>
    <w:lvl w:ilvl="7" w:tentative="0">
      <w:start w:val="1"/>
      <w:numFmt w:val="lowerLetter"/>
      <w:lvlText w:val="%8)"/>
      <w:lvlJc w:val="left"/>
      <w:pPr>
        <w:ind w:left="3853" w:hanging="420"/>
      </w:pPr>
      <w:rPr>
        <w:rFonts w:cs="Times New Roman"/>
      </w:rPr>
    </w:lvl>
    <w:lvl w:ilvl="8" w:tentative="0">
      <w:start w:val="1"/>
      <w:numFmt w:val="lowerRoman"/>
      <w:lvlText w:val="%9."/>
      <w:lvlJc w:val="right"/>
      <w:pPr>
        <w:ind w:left="4273" w:hanging="420"/>
      </w:pPr>
      <w:rPr>
        <w:rFonts w:cs="Times New Roman"/>
      </w:rPr>
    </w:lvl>
  </w:abstractNum>
  <w:abstractNum w:abstractNumId="21">
    <w:nsid w:val="59310C99"/>
    <w:multiLevelType w:val="multilevel"/>
    <w:tmpl w:val="59310C99"/>
    <w:lvl w:ilvl="0" w:tentative="0">
      <w:start w:val="1"/>
      <w:numFmt w:val="decimal"/>
      <w:lvlText w:val="（%1）"/>
      <w:lvlJc w:val="left"/>
      <w:pPr>
        <w:tabs>
          <w:tab w:val="left" w:pos="1474"/>
        </w:tabs>
        <w:ind w:left="1474" w:hanging="794"/>
      </w:pPr>
      <w:rPr>
        <w:rFonts w:hint="eastAsia"/>
      </w:rPr>
    </w:lvl>
    <w:lvl w:ilvl="1" w:tentative="0">
      <w:start w:val="1"/>
      <w:numFmt w:val="decimal"/>
      <w:lvlText w:val="（%2）"/>
      <w:lvlJc w:val="left"/>
      <w:pPr>
        <w:tabs>
          <w:tab w:val="left" w:pos="1140"/>
        </w:tabs>
        <w:ind w:left="114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2">
    <w:nsid w:val="6D8DB1F9"/>
    <w:multiLevelType w:val="singleLevel"/>
    <w:tmpl w:val="6D8DB1F9"/>
    <w:lvl w:ilvl="0" w:tentative="0">
      <w:start w:val="1"/>
      <w:numFmt w:val="decimal"/>
      <w:lvlText w:val="(%1)"/>
      <w:lvlJc w:val="left"/>
      <w:pPr>
        <w:ind w:left="425" w:hanging="425"/>
      </w:pPr>
      <w:rPr>
        <w:rFonts w:hint="default"/>
      </w:rPr>
    </w:lvl>
  </w:abstractNum>
  <w:abstractNum w:abstractNumId="23">
    <w:nsid w:val="796204B8"/>
    <w:multiLevelType w:val="multilevel"/>
    <w:tmpl w:val="796204B8"/>
    <w:lvl w:ilvl="0" w:tentative="0">
      <w:start w:val="1"/>
      <w:numFmt w:val="decimal"/>
      <w:lvlText w:val="（%1）"/>
      <w:lvlJc w:val="left"/>
      <w:pPr>
        <w:ind w:left="840" w:hanging="420"/>
      </w:pPr>
      <w:rPr>
        <w:rFonts w:hint="eastAsia"/>
        <w:b w:val="0"/>
        <w:lang w:val="en-U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6"/>
  </w:num>
  <w:num w:numId="2">
    <w:abstractNumId w:val="11"/>
  </w:num>
  <w:num w:numId="3">
    <w:abstractNumId w:val="15"/>
  </w:num>
  <w:num w:numId="4">
    <w:abstractNumId w:val="18"/>
  </w:num>
  <w:num w:numId="5">
    <w:abstractNumId w:val="19"/>
  </w:num>
  <w:num w:numId="6">
    <w:abstractNumId w:val="5"/>
  </w:num>
  <w:num w:numId="7">
    <w:abstractNumId w:val="17"/>
  </w:num>
  <w:num w:numId="8">
    <w:abstractNumId w:val="20"/>
  </w:num>
  <w:num w:numId="9">
    <w:abstractNumId w:val="10"/>
  </w:num>
  <w:num w:numId="10">
    <w:abstractNumId w:val="23"/>
  </w:num>
  <w:num w:numId="11">
    <w:abstractNumId w:val="16"/>
  </w:num>
  <w:num w:numId="12">
    <w:abstractNumId w:val="8"/>
  </w:num>
  <w:num w:numId="13">
    <w:abstractNumId w:val="7"/>
  </w:num>
  <w:num w:numId="14">
    <w:abstractNumId w:val="22"/>
  </w:num>
  <w:num w:numId="15">
    <w:abstractNumId w:val="21"/>
  </w:num>
  <w:num w:numId="16">
    <w:abstractNumId w:val="0"/>
  </w:num>
  <w:num w:numId="17">
    <w:abstractNumId w:val="1"/>
  </w:num>
  <w:num w:numId="18">
    <w:abstractNumId w:val="14"/>
  </w:num>
  <w:num w:numId="19">
    <w:abstractNumId w:val="12"/>
  </w:num>
  <w:num w:numId="20">
    <w:abstractNumId w:val="9"/>
  </w:num>
  <w:num w:numId="21">
    <w:abstractNumId w:val="2"/>
  </w:num>
  <w:num w:numId="22">
    <w:abstractNumId w:val="3"/>
  </w:num>
  <w:num w:numId="23">
    <w:abstractNumId w:val="4"/>
  </w:num>
  <w:num w:numId="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kMTJiMTgyOGU3NGEzOTBmMjJiNzIzNmQ0NDQ1M2QifQ=="/>
  </w:docVars>
  <w:rsids>
    <w:rsidRoot w:val="00172A27"/>
    <w:rsid w:val="00002436"/>
    <w:rsid w:val="00002968"/>
    <w:rsid w:val="00005ED7"/>
    <w:rsid w:val="00006232"/>
    <w:rsid w:val="00007AC6"/>
    <w:rsid w:val="00011466"/>
    <w:rsid w:val="00011562"/>
    <w:rsid w:val="00012740"/>
    <w:rsid w:val="00013701"/>
    <w:rsid w:val="0001778B"/>
    <w:rsid w:val="000178E3"/>
    <w:rsid w:val="00017F50"/>
    <w:rsid w:val="000219F0"/>
    <w:rsid w:val="00023E47"/>
    <w:rsid w:val="00024B0D"/>
    <w:rsid w:val="00026E3B"/>
    <w:rsid w:val="00027170"/>
    <w:rsid w:val="00030566"/>
    <w:rsid w:val="00030BA7"/>
    <w:rsid w:val="00034536"/>
    <w:rsid w:val="00035F0A"/>
    <w:rsid w:val="00042315"/>
    <w:rsid w:val="000504EF"/>
    <w:rsid w:val="0005143D"/>
    <w:rsid w:val="000562C5"/>
    <w:rsid w:val="00060E5B"/>
    <w:rsid w:val="00062107"/>
    <w:rsid w:val="00066480"/>
    <w:rsid w:val="00067E15"/>
    <w:rsid w:val="00070518"/>
    <w:rsid w:val="000717AB"/>
    <w:rsid w:val="000756D6"/>
    <w:rsid w:val="00076C20"/>
    <w:rsid w:val="000779D3"/>
    <w:rsid w:val="0008094C"/>
    <w:rsid w:val="000816A3"/>
    <w:rsid w:val="000826F2"/>
    <w:rsid w:val="0008549E"/>
    <w:rsid w:val="000858D8"/>
    <w:rsid w:val="00085C0B"/>
    <w:rsid w:val="000907B4"/>
    <w:rsid w:val="00091C14"/>
    <w:rsid w:val="00093412"/>
    <w:rsid w:val="000962F3"/>
    <w:rsid w:val="00096803"/>
    <w:rsid w:val="000A1A23"/>
    <w:rsid w:val="000A1AB0"/>
    <w:rsid w:val="000A6254"/>
    <w:rsid w:val="000A64B3"/>
    <w:rsid w:val="000A7558"/>
    <w:rsid w:val="000B3B28"/>
    <w:rsid w:val="000B419A"/>
    <w:rsid w:val="000B60A5"/>
    <w:rsid w:val="000C2F45"/>
    <w:rsid w:val="000C497C"/>
    <w:rsid w:val="000C7EDA"/>
    <w:rsid w:val="000D2714"/>
    <w:rsid w:val="000D31B8"/>
    <w:rsid w:val="000D7327"/>
    <w:rsid w:val="000E1B45"/>
    <w:rsid w:val="000E2028"/>
    <w:rsid w:val="000E568B"/>
    <w:rsid w:val="000E72DA"/>
    <w:rsid w:val="000F357B"/>
    <w:rsid w:val="000F5173"/>
    <w:rsid w:val="00102E92"/>
    <w:rsid w:val="00104DF0"/>
    <w:rsid w:val="0010786C"/>
    <w:rsid w:val="00113354"/>
    <w:rsid w:val="00120EA3"/>
    <w:rsid w:val="00125C1A"/>
    <w:rsid w:val="00125E50"/>
    <w:rsid w:val="001270A4"/>
    <w:rsid w:val="00127630"/>
    <w:rsid w:val="0013487A"/>
    <w:rsid w:val="00141394"/>
    <w:rsid w:val="00141E56"/>
    <w:rsid w:val="0015140C"/>
    <w:rsid w:val="00157685"/>
    <w:rsid w:val="001577AF"/>
    <w:rsid w:val="00157C99"/>
    <w:rsid w:val="0016084B"/>
    <w:rsid w:val="00160968"/>
    <w:rsid w:val="00161763"/>
    <w:rsid w:val="00161E21"/>
    <w:rsid w:val="00162447"/>
    <w:rsid w:val="001668CB"/>
    <w:rsid w:val="001700FF"/>
    <w:rsid w:val="001777C1"/>
    <w:rsid w:val="0018029E"/>
    <w:rsid w:val="00181C83"/>
    <w:rsid w:val="00184330"/>
    <w:rsid w:val="00186AAE"/>
    <w:rsid w:val="001922FC"/>
    <w:rsid w:val="001962F5"/>
    <w:rsid w:val="001A04CA"/>
    <w:rsid w:val="001A08DC"/>
    <w:rsid w:val="001A1D94"/>
    <w:rsid w:val="001A42B5"/>
    <w:rsid w:val="001B29D3"/>
    <w:rsid w:val="001B6CED"/>
    <w:rsid w:val="001C2A6D"/>
    <w:rsid w:val="001C30E0"/>
    <w:rsid w:val="001C5E88"/>
    <w:rsid w:val="001C683C"/>
    <w:rsid w:val="001D0B96"/>
    <w:rsid w:val="001D1DA8"/>
    <w:rsid w:val="001D1E73"/>
    <w:rsid w:val="001D6394"/>
    <w:rsid w:val="001D7856"/>
    <w:rsid w:val="001D79AA"/>
    <w:rsid w:val="001E2F12"/>
    <w:rsid w:val="001E77AA"/>
    <w:rsid w:val="001F1EDF"/>
    <w:rsid w:val="001F2058"/>
    <w:rsid w:val="001F28CA"/>
    <w:rsid w:val="001F2CD1"/>
    <w:rsid w:val="002027F5"/>
    <w:rsid w:val="0020569F"/>
    <w:rsid w:val="0020779D"/>
    <w:rsid w:val="00207FBF"/>
    <w:rsid w:val="00213FAC"/>
    <w:rsid w:val="00213FD4"/>
    <w:rsid w:val="00214251"/>
    <w:rsid w:val="0022317A"/>
    <w:rsid w:val="00223281"/>
    <w:rsid w:val="00223D40"/>
    <w:rsid w:val="00225EAB"/>
    <w:rsid w:val="00227BF3"/>
    <w:rsid w:val="0023089C"/>
    <w:rsid w:val="00230921"/>
    <w:rsid w:val="0023096E"/>
    <w:rsid w:val="00232CCE"/>
    <w:rsid w:val="00232F1C"/>
    <w:rsid w:val="00233330"/>
    <w:rsid w:val="00233D1C"/>
    <w:rsid w:val="00237D4A"/>
    <w:rsid w:val="0024046A"/>
    <w:rsid w:val="002416C8"/>
    <w:rsid w:val="00241826"/>
    <w:rsid w:val="00242995"/>
    <w:rsid w:val="00243749"/>
    <w:rsid w:val="0024466B"/>
    <w:rsid w:val="00244CDD"/>
    <w:rsid w:val="00245024"/>
    <w:rsid w:val="0024564B"/>
    <w:rsid w:val="002513D3"/>
    <w:rsid w:val="0025272C"/>
    <w:rsid w:val="002546BA"/>
    <w:rsid w:val="00260FD7"/>
    <w:rsid w:val="002629D5"/>
    <w:rsid w:val="002654EA"/>
    <w:rsid w:val="00266EB2"/>
    <w:rsid w:val="002777F2"/>
    <w:rsid w:val="00286653"/>
    <w:rsid w:val="00286ABE"/>
    <w:rsid w:val="00287CCE"/>
    <w:rsid w:val="00293507"/>
    <w:rsid w:val="00294761"/>
    <w:rsid w:val="0029560D"/>
    <w:rsid w:val="00297A06"/>
    <w:rsid w:val="00297A3E"/>
    <w:rsid w:val="002A2971"/>
    <w:rsid w:val="002A45F1"/>
    <w:rsid w:val="002A491F"/>
    <w:rsid w:val="002B1B00"/>
    <w:rsid w:val="002B23A1"/>
    <w:rsid w:val="002B38CE"/>
    <w:rsid w:val="002B54D5"/>
    <w:rsid w:val="002B77C5"/>
    <w:rsid w:val="002B7A9A"/>
    <w:rsid w:val="002C09A9"/>
    <w:rsid w:val="002C3617"/>
    <w:rsid w:val="002C560B"/>
    <w:rsid w:val="002C7DFD"/>
    <w:rsid w:val="002D3C00"/>
    <w:rsid w:val="002D53F8"/>
    <w:rsid w:val="002E7DEE"/>
    <w:rsid w:val="002F1EEB"/>
    <w:rsid w:val="002F3EA2"/>
    <w:rsid w:val="00300807"/>
    <w:rsid w:val="003053B0"/>
    <w:rsid w:val="00311EA5"/>
    <w:rsid w:val="00314908"/>
    <w:rsid w:val="003204EC"/>
    <w:rsid w:val="00322773"/>
    <w:rsid w:val="00322825"/>
    <w:rsid w:val="00330114"/>
    <w:rsid w:val="00331101"/>
    <w:rsid w:val="00332312"/>
    <w:rsid w:val="0034526E"/>
    <w:rsid w:val="00345EA7"/>
    <w:rsid w:val="00347663"/>
    <w:rsid w:val="00351669"/>
    <w:rsid w:val="00352439"/>
    <w:rsid w:val="00352A43"/>
    <w:rsid w:val="003540EF"/>
    <w:rsid w:val="00356398"/>
    <w:rsid w:val="00356C3D"/>
    <w:rsid w:val="00361944"/>
    <w:rsid w:val="00363184"/>
    <w:rsid w:val="0036512E"/>
    <w:rsid w:val="003660D0"/>
    <w:rsid w:val="00370C13"/>
    <w:rsid w:val="00371624"/>
    <w:rsid w:val="00372B8D"/>
    <w:rsid w:val="003776FB"/>
    <w:rsid w:val="003808CD"/>
    <w:rsid w:val="003813A0"/>
    <w:rsid w:val="00381D20"/>
    <w:rsid w:val="00383942"/>
    <w:rsid w:val="003842CC"/>
    <w:rsid w:val="003873D4"/>
    <w:rsid w:val="00392057"/>
    <w:rsid w:val="003925EC"/>
    <w:rsid w:val="003A1530"/>
    <w:rsid w:val="003A4EC1"/>
    <w:rsid w:val="003A6191"/>
    <w:rsid w:val="003B09B8"/>
    <w:rsid w:val="003B132B"/>
    <w:rsid w:val="003B53BB"/>
    <w:rsid w:val="003C04DD"/>
    <w:rsid w:val="003C1EAA"/>
    <w:rsid w:val="003C31D4"/>
    <w:rsid w:val="003C3425"/>
    <w:rsid w:val="003C5A35"/>
    <w:rsid w:val="003C77CD"/>
    <w:rsid w:val="003C787F"/>
    <w:rsid w:val="003D14C6"/>
    <w:rsid w:val="003D2A36"/>
    <w:rsid w:val="003D4E62"/>
    <w:rsid w:val="003D54BF"/>
    <w:rsid w:val="003D6327"/>
    <w:rsid w:val="003D6391"/>
    <w:rsid w:val="003D7F14"/>
    <w:rsid w:val="003F0163"/>
    <w:rsid w:val="003F670D"/>
    <w:rsid w:val="00400C02"/>
    <w:rsid w:val="00400E0B"/>
    <w:rsid w:val="00400F6C"/>
    <w:rsid w:val="00402426"/>
    <w:rsid w:val="0040419D"/>
    <w:rsid w:val="004079E2"/>
    <w:rsid w:val="00407F31"/>
    <w:rsid w:val="00407F41"/>
    <w:rsid w:val="00410263"/>
    <w:rsid w:val="00411D30"/>
    <w:rsid w:val="004143B8"/>
    <w:rsid w:val="00416940"/>
    <w:rsid w:val="0041773E"/>
    <w:rsid w:val="00421C26"/>
    <w:rsid w:val="00423AF2"/>
    <w:rsid w:val="0042443C"/>
    <w:rsid w:val="00425020"/>
    <w:rsid w:val="00426687"/>
    <w:rsid w:val="00436814"/>
    <w:rsid w:val="00437F16"/>
    <w:rsid w:val="0044093F"/>
    <w:rsid w:val="004410EF"/>
    <w:rsid w:val="00441550"/>
    <w:rsid w:val="0044256C"/>
    <w:rsid w:val="00445B51"/>
    <w:rsid w:val="0044616A"/>
    <w:rsid w:val="0045187A"/>
    <w:rsid w:val="004539C9"/>
    <w:rsid w:val="00454218"/>
    <w:rsid w:val="004613E8"/>
    <w:rsid w:val="00463F1D"/>
    <w:rsid w:val="004678BC"/>
    <w:rsid w:val="00471D18"/>
    <w:rsid w:val="00473270"/>
    <w:rsid w:val="00475434"/>
    <w:rsid w:val="00475DF3"/>
    <w:rsid w:val="00477F34"/>
    <w:rsid w:val="00477FFD"/>
    <w:rsid w:val="00480584"/>
    <w:rsid w:val="00480FE1"/>
    <w:rsid w:val="004828FC"/>
    <w:rsid w:val="00484B04"/>
    <w:rsid w:val="004859C6"/>
    <w:rsid w:val="00493190"/>
    <w:rsid w:val="00496127"/>
    <w:rsid w:val="004A0A5A"/>
    <w:rsid w:val="004A59DD"/>
    <w:rsid w:val="004A5D01"/>
    <w:rsid w:val="004A6539"/>
    <w:rsid w:val="004B3881"/>
    <w:rsid w:val="004C2CAE"/>
    <w:rsid w:val="004C2F46"/>
    <w:rsid w:val="004C4E06"/>
    <w:rsid w:val="004D0912"/>
    <w:rsid w:val="004D0DD1"/>
    <w:rsid w:val="004D19E6"/>
    <w:rsid w:val="004D1BA4"/>
    <w:rsid w:val="004D20E9"/>
    <w:rsid w:val="004D2827"/>
    <w:rsid w:val="004E7642"/>
    <w:rsid w:val="004F0F52"/>
    <w:rsid w:val="004F1472"/>
    <w:rsid w:val="004F1B20"/>
    <w:rsid w:val="004F24C1"/>
    <w:rsid w:val="004F27EF"/>
    <w:rsid w:val="004F2C1D"/>
    <w:rsid w:val="004F484B"/>
    <w:rsid w:val="004F50C8"/>
    <w:rsid w:val="004F63ED"/>
    <w:rsid w:val="004F6756"/>
    <w:rsid w:val="004F6EC8"/>
    <w:rsid w:val="004F7E1C"/>
    <w:rsid w:val="005039D3"/>
    <w:rsid w:val="00504342"/>
    <w:rsid w:val="00505F3F"/>
    <w:rsid w:val="00506060"/>
    <w:rsid w:val="00510AAB"/>
    <w:rsid w:val="00511AF0"/>
    <w:rsid w:val="005124F9"/>
    <w:rsid w:val="0051344F"/>
    <w:rsid w:val="00515B29"/>
    <w:rsid w:val="005167CF"/>
    <w:rsid w:val="005202BC"/>
    <w:rsid w:val="00522B0C"/>
    <w:rsid w:val="00523F76"/>
    <w:rsid w:val="00524524"/>
    <w:rsid w:val="00527FDA"/>
    <w:rsid w:val="0054209E"/>
    <w:rsid w:val="00544DC7"/>
    <w:rsid w:val="00545A95"/>
    <w:rsid w:val="00550F90"/>
    <w:rsid w:val="005570BE"/>
    <w:rsid w:val="0056014C"/>
    <w:rsid w:val="0056336F"/>
    <w:rsid w:val="00565B3C"/>
    <w:rsid w:val="00566029"/>
    <w:rsid w:val="00584669"/>
    <w:rsid w:val="0058797F"/>
    <w:rsid w:val="00591100"/>
    <w:rsid w:val="0059288C"/>
    <w:rsid w:val="0059570B"/>
    <w:rsid w:val="0059704A"/>
    <w:rsid w:val="005A17EC"/>
    <w:rsid w:val="005A35EF"/>
    <w:rsid w:val="005A3C43"/>
    <w:rsid w:val="005B2894"/>
    <w:rsid w:val="005B30F1"/>
    <w:rsid w:val="005B3166"/>
    <w:rsid w:val="005B5F42"/>
    <w:rsid w:val="005B749B"/>
    <w:rsid w:val="005B79AF"/>
    <w:rsid w:val="005B7B19"/>
    <w:rsid w:val="005C1AC9"/>
    <w:rsid w:val="005C275B"/>
    <w:rsid w:val="005C4EEF"/>
    <w:rsid w:val="005C6359"/>
    <w:rsid w:val="005C7EB8"/>
    <w:rsid w:val="005D0D53"/>
    <w:rsid w:val="005D32DC"/>
    <w:rsid w:val="005E76CC"/>
    <w:rsid w:val="005F20F2"/>
    <w:rsid w:val="005F257A"/>
    <w:rsid w:val="005F49E5"/>
    <w:rsid w:val="00601A11"/>
    <w:rsid w:val="0060639F"/>
    <w:rsid w:val="006064E5"/>
    <w:rsid w:val="0060699E"/>
    <w:rsid w:val="00610691"/>
    <w:rsid w:val="00614A87"/>
    <w:rsid w:val="00615E17"/>
    <w:rsid w:val="00616EAD"/>
    <w:rsid w:val="00620343"/>
    <w:rsid w:val="00624966"/>
    <w:rsid w:val="00625010"/>
    <w:rsid w:val="00625577"/>
    <w:rsid w:val="00625E31"/>
    <w:rsid w:val="0062739E"/>
    <w:rsid w:val="00627E38"/>
    <w:rsid w:val="006300C6"/>
    <w:rsid w:val="00632744"/>
    <w:rsid w:val="006329FA"/>
    <w:rsid w:val="00634286"/>
    <w:rsid w:val="0063500F"/>
    <w:rsid w:val="00636CA6"/>
    <w:rsid w:val="00646962"/>
    <w:rsid w:val="0065045B"/>
    <w:rsid w:val="006522DC"/>
    <w:rsid w:val="00654BDD"/>
    <w:rsid w:val="006558C5"/>
    <w:rsid w:val="006625E0"/>
    <w:rsid w:val="0066307D"/>
    <w:rsid w:val="006632A0"/>
    <w:rsid w:val="006641B7"/>
    <w:rsid w:val="00666F00"/>
    <w:rsid w:val="006741CC"/>
    <w:rsid w:val="006763DA"/>
    <w:rsid w:val="006777AF"/>
    <w:rsid w:val="006813AA"/>
    <w:rsid w:val="00683F25"/>
    <w:rsid w:val="00685D03"/>
    <w:rsid w:val="00685EFC"/>
    <w:rsid w:val="00692460"/>
    <w:rsid w:val="006960D0"/>
    <w:rsid w:val="00697EE2"/>
    <w:rsid w:val="006A10B8"/>
    <w:rsid w:val="006A3C93"/>
    <w:rsid w:val="006A66B5"/>
    <w:rsid w:val="006B043A"/>
    <w:rsid w:val="006B1B05"/>
    <w:rsid w:val="006B4F34"/>
    <w:rsid w:val="006B6434"/>
    <w:rsid w:val="006B7726"/>
    <w:rsid w:val="006C2AA5"/>
    <w:rsid w:val="006C3A2F"/>
    <w:rsid w:val="006C7B12"/>
    <w:rsid w:val="006D058A"/>
    <w:rsid w:val="006D2AE5"/>
    <w:rsid w:val="006D35C9"/>
    <w:rsid w:val="006D581C"/>
    <w:rsid w:val="006E22A5"/>
    <w:rsid w:val="006E313C"/>
    <w:rsid w:val="006E3AD6"/>
    <w:rsid w:val="006E56B6"/>
    <w:rsid w:val="006E5F98"/>
    <w:rsid w:val="006E5FA3"/>
    <w:rsid w:val="006F058B"/>
    <w:rsid w:val="006F1DF8"/>
    <w:rsid w:val="006F29FB"/>
    <w:rsid w:val="006F31A1"/>
    <w:rsid w:val="006F4103"/>
    <w:rsid w:val="00705A8B"/>
    <w:rsid w:val="00710BAD"/>
    <w:rsid w:val="00711D79"/>
    <w:rsid w:val="00714104"/>
    <w:rsid w:val="00714A05"/>
    <w:rsid w:val="00715A7C"/>
    <w:rsid w:val="00720802"/>
    <w:rsid w:val="00720C33"/>
    <w:rsid w:val="00722565"/>
    <w:rsid w:val="00724F9B"/>
    <w:rsid w:val="00727AEA"/>
    <w:rsid w:val="007308DC"/>
    <w:rsid w:val="0074385F"/>
    <w:rsid w:val="00744F04"/>
    <w:rsid w:val="0074673A"/>
    <w:rsid w:val="007510AC"/>
    <w:rsid w:val="0075222A"/>
    <w:rsid w:val="007553AF"/>
    <w:rsid w:val="00756B6B"/>
    <w:rsid w:val="00757984"/>
    <w:rsid w:val="00760EA5"/>
    <w:rsid w:val="00761F28"/>
    <w:rsid w:val="0076220D"/>
    <w:rsid w:val="00762D7B"/>
    <w:rsid w:val="00765055"/>
    <w:rsid w:val="00773C4E"/>
    <w:rsid w:val="00775627"/>
    <w:rsid w:val="00775853"/>
    <w:rsid w:val="00775960"/>
    <w:rsid w:val="00780266"/>
    <w:rsid w:val="007913CE"/>
    <w:rsid w:val="00791EC7"/>
    <w:rsid w:val="007A1A1C"/>
    <w:rsid w:val="007A2B58"/>
    <w:rsid w:val="007A49AA"/>
    <w:rsid w:val="007B1954"/>
    <w:rsid w:val="007B4D0D"/>
    <w:rsid w:val="007B5FE3"/>
    <w:rsid w:val="007C2427"/>
    <w:rsid w:val="007C28E5"/>
    <w:rsid w:val="007D3159"/>
    <w:rsid w:val="007D5311"/>
    <w:rsid w:val="007D7299"/>
    <w:rsid w:val="007D79A8"/>
    <w:rsid w:val="007E1BBC"/>
    <w:rsid w:val="007E3A91"/>
    <w:rsid w:val="007E4BDD"/>
    <w:rsid w:val="007E7B48"/>
    <w:rsid w:val="007E7CA1"/>
    <w:rsid w:val="007F1258"/>
    <w:rsid w:val="007F2C35"/>
    <w:rsid w:val="007F3462"/>
    <w:rsid w:val="007F5D2D"/>
    <w:rsid w:val="007F6204"/>
    <w:rsid w:val="00800C5F"/>
    <w:rsid w:val="00803C77"/>
    <w:rsid w:val="008048E3"/>
    <w:rsid w:val="00812B84"/>
    <w:rsid w:val="00813EE6"/>
    <w:rsid w:val="00814795"/>
    <w:rsid w:val="00815036"/>
    <w:rsid w:val="00817D50"/>
    <w:rsid w:val="00824AAA"/>
    <w:rsid w:val="00825F44"/>
    <w:rsid w:val="008270DB"/>
    <w:rsid w:val="00827235"/>
    <w:rsid w:val="0083085C"/>
    <w:rsid w:val="00830AA3"/>
    <w:rsid w:val="00832BF1"/>
    <w:rsid w:val="008332B7"/>
    <w:rsid w:val="0084044F"/>
    <w:rsid w:val="008460D4"/>
    <w:rsid w:val="00850065"/>
    <w:rsid w:val="00851EBA"/>
    <w:rsid w:val="00851F60"/>
    <w:rsid w:val="00853496"/>
    <w:rsid w:val="00855E38"/>
    <w:rsid w:val="00856ED6"/>
    <w:rsid w:val="00857C25"/>
    <w:rsid w:val="00864B57"/>
    <w:rsid w:val="00865F4A"/>
    <w:rsid w:val="00872E15"/>
    <w:rsid w:val="00877D5B"/>
    <w:rsid w:val="0088290C"/>
    <w:rsid w:val="00893A05"/>
    <w:rsid w:val="00895FA0"/>
    <w:rsid w:val="008A39C9"/>
    <w:rsid w:val="008A3E4E"/>
    <w:rsid w:val="008A4565"/>
    <w:rsid w:val="008B0A9F"/>
    <w:rsid w:val="008B4AE7"/>
    <w:rsid w:val="008B4B00"/>
    <w:rsid w:val="008B565B"/>
    <w:rsid w:val="008B63B9"/>
    <w:rsid w:val="008B6BCD"/>
    <w:rsid w:val="008B6ED5"/>
    <w:rsid w:val="008C1636"/>
    <w:rsid w:val="008C44A1"/>
    <w:rsid w:val="008D2208"/>
    <w:rsid w:val="008D3302"/>
    <w:rsid w:val="008D354A"/>
    <w:rsid w:val="008D64F2"/>
    <w:rsid w:val="008D6725"/>
    <w:rsid w:val="008D705A"/>
    <w:rsid w:val="008D7BAC"/>
    <w:rsid w:val="008E237F"/>
    <w:rsid w:val="008E44F3"/>
    <w:rsid w:val="008E594E"/>
    <w:rsid w:val="008F4222"/>
    <w:rsid w:val="008F42D1"/>
    <w:rsid w:val="0090045F"/>
    <w:rsid w:val="0090144A"/>
    <w:rsid w:val="009017C2"/>
    <w:rsid w:val="00902390"/>
    <w:rsid w:val="00902716"/>
    <w:rsid w:val="009034BD"/>
    <w:rsid w:val="00903A5E"/>
    <w:rsid w:val="00905C7F"/>
    <w:rsid w:val="00911093"/>
    <w:rsid w:val="009122B1"/>
    <w:rsid w:val="009127B3"/>
    <w:rsid w:val="0091300B"/>
    <w:rsid w:val="00916726"/>
    <w:rsid w:val="009200E3"/>
    <w:rsid w:val="00923BE9"/>
    <w:rsid w:val="009269D8"/>
    <w:rsid w:val="009312EA"/>
    <w:rsid w:val="009314A8"/>
    <w:rsid w:val="00935112"/>
    <w:rsid w:val="00937C32"/>
    <w:rsid w:val="00937EB4"/>
    <w:rsid w:val="009400B5"/>
    <w:rsid w:val="009441CC"/>
    <w:rsid w:val="009473DB"/>
    <w:rsid w:val="00947F51"/>
    <w:rsid w:val="00956345"/>
    <w:rsid w:val="00960B20"/>
    <w:rsid w:val="00962B90"/>
    <w:rsid w:val="00964D27"/>
    <w:rsid w:val="00965CB9"/>
    <w:rsid w:val="00970194"/>
    <w:rsid w:val="00971C9A"/>
    <w:rsid w:val="00973DD9"/>
    <w:rsid w:val="009775B7"/>
    <w:rsid w:val="00981A9C"/>
    <w:rsid w:val="00981C35"/>
    <w:rsid w:val="00995915"/>
    <w:rsid w:val="0099657F"/>
    <w:rsid w:val="009A51CB"/>
    <w:rsid w:val="009A59AB"/>
    <w:rsid w:val="009A6320"/>
    <w:rsid w:val="009B13D3"/>
    <w:rsid w:val="009C3A8E"/>
    <w:rsid w:val="009C62E2"/>
    <w:rsid w:val="009C7956"/>
    <w:rsid w:val="009D360A"/>
    <w:rsid w:val="009D4B8B"/>
    <w:rsid w:val="009D5E59"/>
    <w:rsid w:val="009D720F"/>
    <w:rsid w:val="009D7B7A"/>
    <w:rsid w:val="009E5DED"/>
    <w:rsid w:val="009E683C"/>
    <w:rsid w:val="009E6C47"/>
    <w:rsid w:val="009E74CA"/>
    <w:rsid w:val="009F145F"/>
    <w:rsid w:val="009F4386"/>
    <w:rsid w:val="009F571C"/>
    <w:rsid w:val="009F6183"/>
    <w:rsid w:val="009F623F"/>
    <w:rsid w:val="00A01198"/>
    <w:rsid w:val="00A025BC"/>
    <w:rsid w:val="00A04FC8"/>
    <w:rsid w:val="00A07386"/>
    <w:rsid w:val="00A077FF"/>
    <w:rsid w:val="00A07EEA"/>
    <w:rsid w:val="00A1311E"/>
    <w:rsid w:val="00A202F5"/>
    <w:rsid w:val="00A3291F"/>
    <w:rsid w:val="00A33E34"/>
    <w:rsid w:val="00A34AF5"/>
    <w:rsid w:val="00A35695"/>
    <w:rsid w:val="00A363EB"/>
    <w:rsid w:val="00A37D4A"/>
    <w:rsid w:val="00A4127E"/>
    <w:rsid w:val="00A429D3"/>
    <w:rsid w:val="00A46BAB"/>
    <w:rsid w:val="00A53BE3"/>
    <w:rsid w:val="00A549F2"/>
    <w:rsid w:val="00A55EF3"/>
    <w:rsid w:val="00A56545"/>
    <w:rsid w:val="00A60093"/>
    <w:rsid w:val="00A63D66"/>
    <w:rsid w:val="00A66093"/>
    <w:rsid w:val="00A7215C"/>
    <w:rsid w:val="00A72AC5"/>
    <w:rsid w:val="00A774FE"/>
    <w:rsid w:val="00A82287"/>
    <w:rsid w:val="00A835C8"/>
    <w:rsid w:val="00A8360F"/>
    <w:rsid w:val="00A83A67"/>
    <w:rsid w:val="00A84DDA"/>
    <w:rsid w:val="00A864BA"/>
    <w:rsid w:val="00A92898"/>
    <w:rsid w:val="00A96170"/>
    <w:rsid w:val="00A97588"/>
    <w:rsid w:val="00AA17DE"/>
    <w:rsid w:val="00AA1B85"/>
    <w:rsid w:val="00AA2F40"/>
    <w:rsid w:val="00AA462D"/>
    <w:rsid w:val="00AA5516"/>
    <w:rsid w:val="00AA64FE"/>
    <w:rsid w:val="00AB0A0F"/>
    <w:rsid w:val="00AB0FA8"/>
    <w:rsid w:val="00AB1C6B"/>
    <w:rsid w:val="00AB2075"/>
    <w:rsid w:val="00AB2790"/>
    <w:rsid w:val="00AB4391"/>
    <w:rsid w:val="00AB48DC"/>
    <w:rsid w:val="00AB6847"/>
    <w:rsid w:val="00AC279E"/>
    <w:rsid w:val="00AC3A61"/>
    <w:rsid w:val="00AC41F2"/>
    <w:rsid w:val="00AD0E7F"/>
    <w:rsid w:val="00AD13C7"/>
    <w:rsid w:val="00AD234A"/>
    <w:rsid w:val="00AD26EA"/>
    <w:rsid w:val="00AD2AC3"/>
    <w:rsid w:val="00AD33FD"/>
    <w:rsid w:val="00AD354C"/>
    <w:rsid w:val="00AD5A42"/>
    <w:rsid w:val="00AE0B7F"/>
    <w:rsid w:val="00AE1769"/>
    <w:rsid w:val="00AE3766"/>
    <w:rsid w:val="00AE5163"/>
    <w:rsid w:val="00AE608C"/>
    <w:rsid w:val="00AF2579"/>
    <w:rsid w:val="00AF2C23"/>
    <w:rsid w:val="00B0265D"/>
    <w:rsid w:val="00B02ED6"/>
    <w:rsid w:val="00B04DFA"/>
    <w:rsid w:val="00B06484"/>
    <w:rsid w:val="00B12590"/>
    <w:rsid w:val="00B1413B"/>
    <w:rsid w:val="00B14828"/>
    <w:rsid w:val="00B15CEB"/>
    <w:rsid w:val="00B16F07"/>
    <w:rsid w:val="00B20551"/>
    <w:rsid w:val="00B21F3B"/>
    <w:rsid w:val="00B2233D"/>
    <w:rsid w:val="00B30411"/>
    <w:rsid w:val="00B35AA2"/>
    <w:rsid w:val="00B407F4"/>
    <w:rsid w:val="00B430B5"/>
    <w:rsid w:val="00B43C92"/>
    <w:rsid w:val="00B45F66"/>
    <w:rsid w:val="00B464E2"/>
    <w:rsid w:val="00B46D14"/>
    <w:rsid w:val="00B535BD"/>
    <w:rsid w:val="00B5515A"/>
    <w:rsid w:val="00B57D4B"/>
    <w:rsid w:val="00B608AF"/>
    <w:rsid w:val="00B61627"/>
    <w:rsid w:val="00B6359E"/>
    <w:rsid w:val="00B67FC5"/>
    <w:rsid w:val="00B70027"/>
    <w:rsid w:val="00B70925"/>
    <w:rsid w:val="00B737C2"/>
    <w:rsid w:val="00B81964"/>
    <w:rsid w:val="00B81A56"/>
    <w:rsid w:val="00B83030"/>
    <w:rsid w:val="00B831C8"/>
    <w:rsid w:val="00B8346D"/>
    <w:rsid w:val="00B86A6A"/>
    <w:rsid w:val="00B8764C"/>
    <w:rsid w:val="00B93450"/>
    <w:rsid w:val="00BA0559"/>
    <w:rsid w:val="00BA62E0"/>
    <w:rsid w:val="00BB4301"/>
    <w:rsid w:val="00BB5F43"/>
    <w:rsid w:val="00BB7F68"/>
    <w:rsid w:val="00BC17C0"/>
    <w:rsid w:val="00BC19D3"/>
    <w:rsid w:val="00BC3827"/>
    <w:rsid w:val="00BC4BCF"/>
    <w:rsid w:val="00BC7313"/>
    <w:rsid w:val="00BD1FEE"/>
    <w:rsid w:val="00BD5B20"/>
    <w:rsid w:val="00BD7BC1"/>
    <w:rsid w:val="00BE2B4E"/>
    <w:rsid w:val="00BE5750"/>
    <w:rsid w:val="00BE5F93"/>
    <w:rsid w:val="00BE7781"/>
    <w:rsid w:val="00BF68F5"/>
    <w:rsid w:val="00BF68F8"/>
    <w:rsid w:val="00C00865"/>
    <w:rsid w:val="00C01DCE"/>
    <w:rsid w:val="00C0439F"/>
    <w:rsid w:val="00C045A5"/>
    <w:rsid w:val="00C06910"/>
    <w:rsid w:val="00C10BF9"/>
    <w:rsid w:val="00C133C8"/>
    <w:rsid w:val="00C13E26"/>
    <w:rsid w:val="00C20232"/>
    <w:rsid w:val="00C22A11"/>
    <w:rsid w:val="00C264E8"/>
    <w:rsid w:val="00C31052"/>
    <w:rsid w:val="00C3238A"/>
    <w:rsid w:val="00C3254E"/>
    <w:rsid w:val="00C34435"/>
    <w:rsid w:val="00C36195"/>
    <w:rsid w:val="00C36DAA"/>
    <w:rsid w:val="00C419BA"/>
    <w:rsid w:val="00C429ED"/>
    <w:rsid w:val="00C45CD5"/>
    <w:rsid w:val="00C46099"/>
    <w:rsid w:val="00C47746"/>
    <w:rsid w:val="00C50C19"/>
    <w:rsid w:val="00C556E7"/>
    <w:rsid w:val="00C55C57"/>
    <w:rsid w:val="00C56BBE"/>
    <w:rsid w:val="00C64B38"/>
    <w:rsid w:val="00C658A3"/>
    <w:rsid w:val="00C7046A"/>
    <w:rsid w:val="00C71AEF"/>
    <w:rsid w:val="00C73C4B"/>
    <w:rsid w:val="00C73EFC"/>
    <w:rsid w:val="00C8455C"/>
    <w:rsid w:val="00C92909"/>
    <w:rsid w:val="00C93A5D"/>
    <w:rsid w:val="00C95B8F"/>
    <w:rsid w:val="00C97BB0"/>
    <w:rsid w:val="00CA02F7"/>
    <w:rsid w:val="00CA0829"/>
    <w:rsid w:val="00CA1B89"/>
    <w:rsid w:val="00CA40DC"/>
    <w:rsid w:val="00CA5547"/>
    <w:rsid w:val="00CB11CD"/>
    <w:rsid w:val="00CB2329"/>
    <w:rsid w:val="00CB2BBF"/>
    <w:rsid w:val="00CB7289"/>
    <w:rsid w:val="00CC19BE"/>
    <w:rsid w:val="00CD023A"/>
    <w:rsid w:val="00CD033E"/>
    <w:rsid w:val="00CD038B"/>
    <w:rsid w:val="00CD184C"/>
    <w:rsid w:val="00CD3209"/>
    <w:rsid w:val="00CD3EE4"/>
    <w:rsid w:val="00CD465A"/>
    <w:rsid w:val="00CD7F72"/>
    <w:rsid w:val="00CE0079"/>
    <w:rsid w:val="00CF1447"/>
    <w:rsid w:val="00CF270E"/>
    <w:rsid w:val="00CF4A77"/>
    <w:rsid w:val="00CF5DF1"/>
    <w:rsid w:val="00CF6509"/>
    <w:rsid w:val="00D00F44"/>
    <w:rsid w:val="00D01DB1"/>
    <w:rsid w:val="00D031C0"/>
    <w:rsid w:val="00D04689"/>
    <w:rsid w:val="00D05D7B"/>
    <w:rsid w:val="00D109B4"/>
    <w:rsid w:val="00D10CB7"/>
    <w:rsid w:val="00D1115A"/>
    <w:rsid w:val="00D11F56"/>
    <w:rsid w:val="00D12DC9"/>
    <w:rsid w:val="00D15148"/>
    <w:rsid w:val="00D21654"/>
    <w:rsid w:val="00D21715"/>
    <w:rsid w:val="00D22E92"/>
    <w:rsid w:val="00D23242"/>
    <w:rsid w:val="00D23643"/>
    <w:rsid w:val="00D25017"/>
    <w:rsid w:val="00D26D81"/>
    <w:rsid w:val="00D30507"/>
    <w:rsid w:val="00D32642"/>
    <w:rsid w:val="00D32F76"/>
    <w:rsid w:val="00D3561C"/>
    <w:rsid w:val="00D37182"/>
    <w:rsid w:val="00D415A5"/>
    <w:rsid w:val="00D46AD3"/>
    <w:rsid w:val="00D46ADB"/>
    <w:rsid w:val="00D4737F"/>
    <w:rsid w:val="00D5312A"/>
    <w:rsid w:val="00D531C9"/>
    <w:rsid w:val="00D53689"/>
    <w:rsid w:val="00D62064"/>
    <w:rsid w:val="00D62D01"/>
    <w:rsid w:val="00D67BE1"/>
    <w:rsid w:val="00D7034B"/>
    <w:rsid w:val="00D74568"/>
    <w:rsid w:val="00D776A2"/>
    <w:rsid w:val="00D77799"/>
    <w:rsid w:val="00D8039E"/>
    <w:rsid w:val="00D831A3"/>
    <w:rsid w:val="00D843A7"/>
    <w:rsid w:val="00D9053E"/>
    <w:rsid w:val="00D91BA1"/>
    <w:rsid w:val="00D92F40"/>
    <w:rsid w:val="00D97C28"/>
    <w:rsid w:val="00DA0510"/>
    <w:rsid w:val="00DA0636"/>
    <w:rsid w:val="00DA1013"/>
    <w:rsid w:val="00DA2615"/>
    <w:rsid w:val="00DA3A1A"/>
    <w:rsid w:val="00DA5FA6"/>
    <w:rsid w:val="00DB16D2"/>
    <w:rsid w:val="00DB28C0"/>
    <w:rsid w:val="00DB3095"/>
    <w:rsid w:val="00DB3344"/>
    <w:rsid w:val="00DB3427"/>
    <w:rsid w:val="00DB6A45"/>
    <w:rsid w:val="00DB7796"/>
    <w:rsid w:val="00DB7D37"/>
    <w:rsid w:val="00DC06B7"/>
    <w:rsid w:val="00DC3487"/>
    <w:rsid w:val="00DC4B6A"/>
    <w:rsid w:val="00DD1F69"/>
    <w:rsid w:val="00DD2B0A"/>
    <w:rsid w:val="00DD2DB5"/>
    <w:rsid w:val="00DD4638"/>
    <w:rsid w:val="00DE0AFB"/>
    <w:rsid w:val="00DE3B13"/>
    <w:rsid w:val="00DE4C92"/>
    <w:rsid w:val="00DE63C1"/>
    <w:rsid w:val="00DF0D12"/>
    <w:rsid w:val="00DF1900"/>
    <w:rsid w:val="00DF21A4"/>
    <w:rsid w:val="00DF2C36"/>
    <w:rsid w:val="00E015F5"/>
    <w:rsid w:val="00E01DE7"/>
    <w:rsid w:val="00E04D77"/>
    <w:rsid w:val="00E05669"/>
    <w:rsid w:val="00E1095C"/>
    <w:rsid w:val="00E15398"/>
    <w:rsid w:val="00E16243"/>
    <w:rsid w:val="00E20525"/>
    <w:rsid w:val="00E21C50"/>
    <w:rsid w:val="00E22192"/>
    <w:rsid w:val="00E22925"/>
    <w:rsid w:val="00E32A5B"/>
    <w:rsid w:val="00E3427D"/>
    <w:rsid w:val="00E34C96"/>
    <w:rsid w:val="00E34D7C"/>
    <w:rsid w:val="00E35E61"/>
    <w:rsid w:val="00E52B48"/>
    <w:rsid w:val="00E54400"/>
    <w:rsid w:val="00E61D12"/>
    <w:rsid w:val="00E6309B"/>
    <w:rsid w:val="00E7663C"/>
    <w:rsid w:val="00E8279C"/>
    <w:rsid w:val="00E84330"/>
    <w:rsid w:val="00E859B9"/>
    <w:rsid w:val="00E861C3"/>
    <w:rsid w:val="00E8646A"/>
    <w:rsid w:val="00E93435"/>
    <w:rsid w:val="00E9379D"/>
    <w:rsid w:val="00E95304"/>
    <w:rsid w:val="00E96409"/>
    <w:rsid w:val="00E96E23"/>
    <w:rsid w:val="00EA2FEF"/>
    <w:rsid w:val="00EA44A3"/>
    <w:rsid w:val="00EA4EE9"/>
    <w:rsid w:val="00EA6DE8"/>
    <w:rsid w:val="00EB323B"/>
    <w:rsid w:val="00EB77B8"/>
    <w:rsid w:val="00EB7C31"/>
    <w:rsid w:val="00EC40EC"/>
    <w:rsid w:val="00EC55CB"/>
    <w:rsid w:val="00EC69B3"/>
    <w:rsid w:val="00EC6B5D"/>
    <w:rsid w:val="00EC6CDC"/>
    <w:rsid w:val="00ED2FEF"/>
    <w:rsid w:val="00ED3A95"/>
    <w:rsid w:val="00ED7C57"/>
    <w:rsid w:val="00EE00E1"/>
    <w:rsid w:val="00EE12B0"/>
    <w:rsid w:val="00EE2E04"/>
    <w:rsid w:val="00EE396D"/>
    <w:rsid w:val="00EE399A"/>
    <w:rsid w:val="00EE5055"/>
    <w:rsid w:val="00EE5BFC"/>
    <w:rsid w:val="00EF030F"/>
    <w:rsid w:val="00EF0C3A"/>
    <w:rsid w:val="00EF4C26"/>
    <w:rsid w:val="00EF6DBA"/>
    <w:rsid w:val="00F022C6"/>
    <w:rsid w:val="00F0452E"/>
    <w:rsid w:val="00F05A88"/>
    <w:rsid w:val="00F0795C"/>
    <w:rsid w:val="00F07BE7"/>
    <w:rsid w:val="00F07E67"/>
    <w:rsid w:val="00F11D9A"/>
    <w:rsid w:val="00F14440"/>
    <w:rsid w:val="00F15A6A"/>
    <w:rsid w:val="00F16792"/>
    <w:rsid w:val="00F23035"/>
    <w:rsid w:val="00F257D8"/>
    <w:rsid w:val="00F2700C"/>
    <w:rsid w:val="00F278B1"/>
    <w:rsid w:val="00F307ED"/>
    <w:rsid w:val="00F31937"/>
    <w:rsid w:val="00F32F55"/>
    <w:rsid w:val="00F332A6"/>
    <w:rsid w:val="00F4053C"/>
    <w:rsid w:val="00F40AC0"/>
    <w:rsid w:val="00F41F1C"/>
    <w:rsid w:val="00F42BDE"/>
    <w:rsid w:val="00F4512F"/>
    <w:rsid w:val="00F45145"/>
    <w:rsid w:val="00F45E56"/>
    <w:rsid w:val="00F473A0"/>
    <w:rsid w:val="00F502F6"/>
    <w:rsid w:val="00F53240"/>
    <w:rsid w:val="00F559E7"/>
    <w:rsid w:val="00F6021A"/>
    <w:rsid w:val="00F6376C"/>
    <w:rsid w:val="00F6616B"/>
    <w:rsid w:val="00F723F9"/>
    <w:rsid w:val="00F75AC2"/>
    <w:rsid w:val="00F76FD7"/>
    <w:rsid w:val="00F82429"/>
    <w:rsid w:val="00F91DE3"/>
    <w:rsid w:val="00F970C8"/>
    <w:rsid w:val="00FA0AF5"/>
    <w:rsid w:val="00FA2C4F"/>
    <w:rsid w:val="00FA47FA"/>
    <w:rsid w:val="00FA5AE0"/>
    <w:rsid w:val="00FB066A"/>
    <w:rsid w:val="00FB2837"/>
    <w:rsid w:val="00FB4B22"/>
    <w:rsid w:val="00FC003B"/>
    <w:rsid w:val="00FC4BAC"/>
    <w:rsid w:val="00FD132C"/>
    <w:rsid w:val="00FD4190"/>
    <w:rsid w:val="00FD58A8"/>
    <w:rsid w:val="00FD5B22"/>
    <w:rsid w:val="00FD70FD"/>
    <w:rsid w:val="00FE6124"/>
    <w:rsid w:val="00FF5934"/>
    <w:rsid w:val="00FF6B88"/>
    <w:rsid w:val="010F1BB8"/>
    <w:rsid w:val="01216EE7"/>
    <w:rsid w:val="0123016A"/>
    <w:rsid w:val="012A64B1"/>
    <w:rsid w:val="014852C3"/>
    <w:rsid w:val="015123B9"/>
    <w:rsid w:val="0174367B"/>
    <w:rsid w:val="019404F8"/>
    <w:rsid w:val="01B174BF"/>
    <w:rsid w:val="01BB2375"/>
    <w:rsid w:val="01C40585"/>
    <w:rsid w:val="01EC5C3E"/>
    <w:rsid w:val="01EE5E5A"/>
    <w:rsid w:val="02184C85"/>
    <w:rsid w:val="0241242E"/>
    <w:rsid w:val="02463F2E"/>
    <w:rsid w:val="02622DA5"/>
    <w:rsid w:val="027320DC"/>
    <w:rsid w:val="027D2D3A"/>
    <w:rsid w:val="029B7790"/>
    <w:rsid w:val="029F49A0"/>
    <w:rsid w:val="02AC6257"/>
    <w:rsid w:val="02AD3F10"/>
    <w:rsid w:val="02E1392C"/>
    <w:rsid w:val="02E15B06"/>
    <w:rsid w:val="02ED6112"/>
    <w:rsid w:val="032B58E3"/>
    <w:rsid w:val="038A18FA"/>
    <w:rsid w:val="039B5B6E"/>
    <w:rsid w:val="03AB2DE8"/>
    <w:rsid w:val="03D87C67"/>
    <w:rsid w:val="03E45295"/>
    <w:rsid w:val="04073203"/>
    <w:rsid w:val="04111891"/>
    <w:rsid w:val="04194CE4"/>
    <w:rsid w:val="04293179"/>
    <w:rsid w:val="042D0961"/>
    <w:rsid w:val="042D3CDA"/>
    <w:rsid w:val="042F0D33"/>
    <w:rsid w:val="04371A89"/>
    <w:rsid w:val="044E0E32"/>
    <w:rsid w:val="045566F5"/>
    <w:rsid w:val="045F47BF"/>
    <w:rsid w:val="04657909"/>
    <w:rsid w:val="04722765"/>
    <w:rsid w:val="047C6BAF"/>
    <w:rsid w:val="047F69DB"/>
    <w:rsid w:val="04842AA6"/>
    <w:rsid w:val="04885720"/>
    <w:rsid w:val="0492288F"/>
    <w:rsid w:val="04CA267F"/>
    <w:rsid w:val="04CE2CC9"/>
    <w:rsid w:val="04D31337"/>
    <w:rsid w:val="04D550AF"/>
    <w:rsid w:val="04E91183"/>
    <w:rsid w:val="04F26AFF"/>
    <w:rsid w:val="04FC0573"/>
    <w:rsid w:val="05157BA2"/>
    <w:rsid w:val="05246E9C"/>
    <w:rsid w:val="052B1173"/>
    <w:rsid w:val="05371ABB"/>
    <w:rsid w:val="054B708D"/>
    <w:rsid w:val="05500BDA"/>
    <w:rsid w:val="05706FC7"/>
    <w:rsid w:val="05811023"/>
    <w:rsid w:val="058A663F"/>
    <w:rsid w:val="059079EE"/>
    <w:rsid w:val="05907B90"/>
    <w:rsid w:val="05A21435"/>
    <w:rsid w:val="05AE4BE1"/>
    <w:rsid w:val="05B66C8F"/>
    <w:rsid w:val="05DE7F94"/>
    <w:rsid w:val="06642D4E"/>
    <w:rsid w:val="067F0B76"/>
    <w:rsid w:val="067F1777"/>
    <w:rsid w:val="06824DC3"/>
    <w:rsid w:val="06A21C2D"/>
    <w:rsid w:val="06B83EA4"/>
    <w:rsid w:val="06BE3FD1"/>
    <w:rsid w:val="06C451CB"/>
    <w:rsid w:val="06CB1BC3"/>
    <w:rsid w:val="06D777C1"/>
    <w:rsid w:val="06DF2215"/>
    <w:rsid w:val="06FE7F3F"/>
    <w:rsid w:val="071F062B"/>
    <w:rsid w:val="07350087"/>
    <w:rsid w:val="074800E4"/>
    <w:rsid w:val="0751468C"/>
    <w:rsid w:val="075B03FC"/>
    <w:rsid w:val="07846919"/>
    <w:rsid w:val="07AE585C"/>
    <w:rsid w:val="07B411A6"/>
    <w:rsid w:val="07B85288"/>
    <w:rsid w:val="07BA6D2A"/>
    <w:rsid w:val="07C45B95"/>
    <w:rsid w:val="07D05E38"/>
    <w:rsid w:val="07DD472D"/>
    <w:rsid w:val="07E0302E"/>
    <w:rsid w:val="07E375C1"/>
    <w:rsid w:val="07F50864"/>
    <w:rsid w:val="083B0202"/>
    <w:rsid w:val="083C1CC2"/>
    <w:rsid w:val="083D5445"/>
    <w:rsid w:val="084D31AF"/>
    <w:rsid w:val="085963D5"/>
    <w:rsid w:val="0873116F"/>
    <w:rsid w:val="08802F00"/>
    <w:rsid w:val="089A42D8"/>
    <w:rsid w:val="089B79CE"/>
    <w:rsid w:val="08A752C8"/>
    <w:rsid w:val="08B47CA5"/>
    <w:rsid w:val="08CB2AB1"/>
    <w:rsid w:val="090C490C"/>
    <w:rsid w:val="092403B3"/>
    <w:rsid w:val="092A166F"/>
    <w:rsid w:val="09307D9C"/>
    <w:rsid w:val="094F322D"/>
    <w:rsid w:val="09544B2B"/>
    <w:rsid w:val="09552777"/>
    <w:rsid w:val="0978448E"/>
    <w:rsid w:val="0996469B"/>
    <w:rsid w:val="09A96FE2"/>
    <w:rsid w:val="09BE69B2"/>
    <w:rsid w:val="09C465AC"/>
    <w:rsid w:val="09CA0F5B"/>
    <w:rsid w:val="09CB446B"/>
    <w:rsid w:val="09E87633"/>
    <w:rsid w:val="09F851A9"/>
    <w:rsid w:val="0A18432C"/>
    <w:rsid w:val="0A2543E3"/>
    <w:rsid w:val="0A2C39C3"/>
    <w:rsid w:val="0A39156F"/>
    <w:rsid w:val="0A530489"/>
    <w:rsid w:val="0A747118"/>
    <w:rsid w:val="0ACA05C6"/>
    <w:rsid w:val="0ACB4F8A"/>
    <w:rsid w:val="0AF81AF7"/>
    <w:rsid w:val="0B09160F"/>
    <w:rsid w:val="0B106E41"/>
    <w:rsid w:val="0B1C04DF"/>
    <w:rsid w:val="0B2E3315"/>
    <w:rsid w:val="0B6D524B"/>
    <w:rsid w:val="0B731EF0"/>
    <w:rsid w:val="0B742FA7"/>
    <w:rsid w:val="0B9510F4"/>
    <w:rsid w:val="0BA71024"/>
    <w:rsid w:val="0BB62B8C"/>
    <w:rsid w:val="0BB84C75"/>
    <w:rsid w:val="0BF419BC"/>
    <w:rsid w:val="0BFA364D"/>
    <w:rsid w:val="0BFC3D50"/>
    <w:rsid w:val="0BFE12D8"/>
    <w:rsid w:val="0C126658"/>
    <w:rsid w:val="0C144CB8"/>
    <w:rsid w:val="0C221075"/>
    <w:rsid w:val="0C3A2AFF"/>
    <w:rsid w:val="0C49548E"/>
    <w:rsid w:val="0C9A0EC5"/>
    <w:rsid w:val="0C9E047D"/>
    <w:rsid w:val="0CA87BDA"/>
    <w:rsid w:val="0CC22FAC"/>
    <w:rsid w:val="0CE31332"/>
    <w:rsid w:val="0CF14A50"/>
    <w:rsid w:val="0D166106"/>
    <w:rsid w:val="0D2C0798"/>
    <w:rsid w:val="0D32202C"/>
    <w:rsid w:val="0D5A65D7"/>
    <w:rsid w:val="0D946F28"/>
    <w:rsid w:val="0D954742"/>
    <w:rsid w:val="0D9F1FF7"/>
    <w:rsid w:val="0DA01131"/>
    <w:rsid w:val="0DB4503A"/>
    <w:rsid w:val="0E0754A7"/>
    <w:rsid w:val="0E147545"/>
    <w:rsid w:val="0E2F4107"/>
    <w:rsid w:val="0E351CF0"/>
    <w:rsid w:val="0E7871F9"/>
    <w:rsid w:val="0E943229"/>
    <w:rsid w:val="0E9B4C74"/>
    <w:rsid w:val="0EBA38FA"/>
    <w:rsid w:val="0ED308B1"/>
    <w:rsid w:val="0ED47191"/>
    <w:rsid w:val="0EDC5959"/>
    <w:rsid w:val="0EFA28D1"/>
    <w:rsid w:val="0EFB3964"/>
    <w:rsid w:val="0F1825D5"/>
    <w:rsid w:val="0F1B1928"/>
    <w:rsid w:val="0F1C3AFD"/>
    <w:rsid w:val="0F2A471C"/>
    <w:rsid w:val="0F36394E"/>
    <w:rsid w:val="0F481406"/>
    <w:rsid w:val="0F5117D6"/>
    <w:rsid w:val="0F8148B9"/>
    <w:rsid w:val="0F824086"/>
    <w:rsid w:val="0F836578"/>
    <w:rsid w:val="0F8944D9"/>
    <w:rsid w:val="0F8A51C6"/>
    <w:rsid w:val="0FB3456D"/>
    <w:rsid w:val="0FBF0E36"/>
    <w:rsid w:val="0FCA5F19"/>
    <w:rsid w:val="0FDA30C6"/>
    <w:rsid w:val="0FDA4CD0"/>
    <w:rsid w:val="0FDB47B4"/>
    <w:rsid w:val="0FDE3AA0"/>
    <w:rsid w:val="0FFB1625"/>
    <w:rsid w:val="1020284F"/>
    <w:rsid w:val="10521CAA"/>
    <w:rsid w:val="1057106E"/>
    <w:rsid w:val="105D54C4"/>
    <w:rsid w:val="10C552F3"/>
    <w:rsid w:val="10CF6E57"/>
    <w:rsid w:val="110D7406"/>
    <w:rsid w:val="1131764A"/>
    <w:rsid w:val="114B146A"/>
    <w:rsid w:val="116273D5"/>
    <w:rsid w:val="1165782C"/>
    <w:rsid w:val="118A20DC"/>
    <w:rsid w:val="11974589"/>
    <w:rsid w:val="11AC623F"/>
    <w:rsid w:val="11B11754"/>
    <w:rsid w:val="11B92C2E"/>
    <w:rsid w:val="11C253B7"/>
    <w:rsid w:val="11D706B9"/>
    <w:rsid w:val="11D861DF"/>
    <w:rsid w:val="11E203D8"/>
    <w:rsid w:val="11E9219A"/>
    <w:rsid w:val="11EC7842"/>
    <w:rsid w:val="11EE2CC4"/>
    <w:rsid w:val="11FF27F2"/>
    <w:rsid w:val="120945EA"/>
    <w:rsid w:val="12096398"/>
    <w:rsid w:val="120D0DCA"/>
    <w:rsid w:val="120D5692"/>
    <w:rsid w:val="121637D2"/>
    <w:rsid w:val="12396F1D"/>
    <w:rsid w:val="12421843"/>
    <w:rsid w:val="126976E0"/>
    <w:rsid w:val="12760DCF"/>
    <w:rsid w:val="127A11F6"/>
    <w:rsid w:val="127B2C13"/>
    <w:rsid w:val="127B54E8"/>
    <w:rsid w:val="12847ACF"/>
    <w:rsid w:val="12951EBB"/>
    <w:rsid w:val="12AA7B7B"/>
    <w:rsid w:val="12BF3318"/>
    <w:rsid w:val="12CA3D79"/>
    <w:rsid w:val="12FB32C0"/>
    <w:rsid w:val="1311582C"/>
    <w:rsid w:val="13196969"/>
    <w:rsid w:val="13225964"/>
    <w:rsid w:val="132A1BA9"/>
    <w:rsid w:val="132D6505"/>
    <w:rsid w:val="132E3571"/>
    <w:rsid w:val="133205EF"/>
    <w:rsid w:val="13535CFF"/>
    <w:rsid w:val="1356560D"/>
    <w:rsid w:val="13590FD2"/>
    <w:rsid w:val="13687709"/>
    <w:rsid w:val="13761036"/>
    <w:rsid w:val="1397221F"/>
    <w:rsid w:val="139D323C"/>
    <w:rsid w:val="13B16CE7"/>
    <w:rsid w:val="13B476C5"/>
    <w:rsid w:val="13BE0D75"/>
    <w:rsid w:val="13D04AB2"/>
    <w:rsid w:val="13F72E61"/>
    <w:rsid w:val="142A0816"/>
    <w:rsid w:val="142E0338"/>
    <w:rsid w:val="14327E28"/>
    <w:rsid w:val="144E2788"/>
    <w:rsid w:val="1486004E"/>
    <w:rsid w:val="14983FE6"/>
    <w:rsid w:val="149A4FFD"/>
    <w:rsid w:val="14AC3FBC"/>
    <w:rsid w:val="14BA7E1E"/>
    <w:rsid w:val="14C12DDE"/>
    <w:rsid w:val="14C31CBC"/>
    <w:rsid w:val="14DC27DA"/>
    <w:rsid w:val="14EF51BE"/>
    <w:rsid w:val="14F0136E"/>
    <w:rsid w:val="15062E05"/>
    <w:rsid w:val="152C3645"/>
    <w:rsid w:val="152C694B"/>
    <w:rsid w:val="1538570F"/>
    <w:rsid w:val="15591503"/>
    <w:rsid w:val="15673B02"/>
    <w:rsid w:val="156A1844"/>
    <w:rsid w:val="15AF06B6"/>
    <w:rsid w:val="15BB57F9"/>
    <w:rsid w:val="15E92769"/>
    <w:rsid w:val="15EB4733"/>
    <w:rsid w:val="16061F49"/>
    <w:rsid w:val="160B13A5"/>
    <w:rsid w:val="16167CF8"/>
    <w:rsid w:val="161C2B3E"/>
    <w:rsid w:val="163600C5"/>
    <w:rsid w:val="16880E42"/>
    <w:rsid w:val="16970417"/>
    <w:rsid w:val="16985F3D"/>
    <w:rsid w:val="16B36CF6"/>
    <w:rsid w:val="16C461B3"/>
    <w:rsid w:val="16C56E06"/>
    <w:rsid w:val="16CB4564"/>
    <w:rsid w:val="16DC051F"/>
    <w:rsid w:val="16E16A4B"/>
    <w:rsid w:val="16E73580"/>
    <w:rsid w:val="16ED209B"/>
    <w:rsid w:val="17125B7C"/>
    <w:rsid w:val="17482D34"/>
    <w:rsid w:val="17601336"/>
    <w:rsid w:val="17650A8F"/>
    <w:rsid w:val="1767428D"/>
    <w:rsid w:val="176B039E"/>
    <w:rsid w:val="177B0B01"/>
    <w:rsid w:val="179A5165"/>
    <w:rsid w:val="17AA4179"/>
    <w:rsid w:val="17AF79E2"/>
    <w:rsid w:val="17BA65A3"/>
    <w:rsid w:val="17DB5651"/>
    <w:rsid w:val="18150D99"/>
    <w:rsid w:val="18166EE4"/>
    <w:rsid w:val="183121A5"/>
    <w:rsid w:val="183A0479"/>
    <w:rsid w:val="183E0A52"/>
    <w:rsid w:val="184C5BB1"/>
    <w:rsid w:val="185921C3"/>
    <w:rsid w:val="18694D67"/>
    <w:rsid w:val="187622AE"/>
    <w:rsid w:val="187A3B4C"/>
    <w:rsid w:val="187D4B84"/>
    <w:rsid w:val="1912647A"/>
    <w:rsid w:val="191E6BCD"/>
    <w:rsid w:val="19553A9D"/>
    <w:rsid w:val="198809D6"/>
    <w:rsid w:val="199230AF"/>
    <w:rsid w:val="199C6355"/>
    <w:rsid w:val="19B273B7"/>
    <w:rsid w:val="19C82E7C"/>
    <w:rsid w:val="1A135D66"/>
    <w:rsid w:val="1A1378DA"/>
    <w:rsid w:val="1A384205"/>
    <w:rsid w:val="1A3F50E2"/>
    <w:rsid w:val="1A4563DB"/>
    <w:rsid w:val="1A520E6D"/>
    <w:rsid w:val="1A59309D"/>
    <w:rsid w:val="1A64757E"/>
    <w:rsid w:val="1A7A0BDE"/>
    <w:rsid w:val="1A803641"/>
    <w:rsid w:val="1A8A3B6A"/>
    <w:rsid w:val="1A99078D"/>
    <w:rsid w:val="1AC6553A"/>
    <w:rsid w:val="1ACB4B33"/>
    <w:rsid w:val="1AD17190"/>
    <w:rsid w:val="1AE46098"/>
    <w:rsid w:val="1B0A39DD"/>
    <w:rsid w:val="1B375528"/>
    <w:rsid w:val="1B4559CA"/>
    <w:rsid w:val="1B4F09A9"/>
    <w:rsid w:val="1B602DE3"/>
    <w:rsid w:val="1B6C2528"/>
    <w:rsid w:val="1B894330"/>
    <w:rsid w:val="1B9F5833"/>
    <w:rsid w:val="1BB76E65"/>
    <w:rsid w:val="1BC009E9"/>
    <w:rsid w:val="1BC57058"/>
    <w:rsid w:val="1BC86B43"/>
    <w:rsid w:val="1BED6D65"/>
    <w:rsid w:val="1C1A7031"/>
    <w:rsid w:val="1C253619"/>
    <w:rsid w:val="1C27124E"/>
    <w:rsid w:val="1C67403B"/>
    <w:rsid w:val="1C6A3067"/>
    <w:rsid w:val="1C820BA6"/>
    <w:rsid w:val="1C8925AF"/>
    <w:rsid w:val="1CA53EB4"/>
    <w:rsid w:val="1CAC09F8"/>
    <w:rsid w:val="1CBA7261"/>
    <w:rsid w:val="1CE22AC4"/>
    <w:rsid w:val="1CE407F6"/>
    <w:rsid w:val="1CFA7248"/>
    <w:rsid w:val="1D0A4412"/>
    <w:rsid w:val="1D160E30"/>
    <w:rsid w:val="1D1937CE"/>
    <w:rsid w:val="1D535E9E"/>
    <w:rsid w:val="1D554B87"/>
    <w:rsid w:val="1D95611C"/>
    <w:rsid w:val="1DA2217C"/>
    <w:rsid w:val="1DBA5C77"/>
    <w:rsid w:val="1DE101C9"/>
    <w:rsid w:val="1DE13CD3"/>
    <w:rsid w:val="1DEA3522"/>
    <w:rsid w:val="1E2A7DC2"/>
    <w:rsid w:val="1E2D7DDA"/>
    <w:rsid w:val="1E3079F6"/>
    <w:rsid w:val="1E312EFF"/>
    <w:rsid w:val="1E3C508B"/>
    <w:rsid w:val="1E4E1D03"/>
    <w:rsid w:val="1E5B61CE"/>
    <w:rsid w:val="1E703BC3"/>
    <w:rsid w:val="1E836C02"/>
    <w:rsid w:val="1E863166"/>
    <w:rsid w:val="1E8C1654"/>
    <w:rsid w:val="1E921D03"/>
    <w:rsid w:val="1EC04283"/>
    <w:rsid w:val="1EC149E1"/>
    <w:rsid w:val="1EC91389"/>
    <w:rsid w:val="1ECE5416"/>
    <w:rsid w:val="1ED53114"/>
    <w:rsid w:val="1EDE7C42"/>
    <w:rsid w:val="1EE1001E"/>
    <w:rsid w:val="1F085C33"/>
    <w:rsid w:val="1F0A11A5"/>
    <w:rsid w:val="1F115769"/>
    <w:rsid w:val="1F1A626D"/>
    <w:rsid w:val="1F213104"/>
    <w:rsid w:val="1F306B65"/>
    <w:rsid w:val="1F552C1D"/>
    <w:rsid w:val="1F5A2DDC"/>
    <w:rsid w:val="1F652F81"/>
    <w:rsid w:val="1F6852D1"/>
    <w:rsid w:val="1F8B0CBE"/>
    <w:rsid w:val="1F9376EE"/>
    <w:rsid w:val="1F9A7D24"/>
    <w:rsid w:val="1FA23B2A"/>
    <w:rsid w:val="1FB05096"/>
    <w:rsid w:val="1FB56ED4"/>
    <w:rsid w:val="1FBE0310"/>
    <w:rsid w:val="1FC85D4A"/>
    <w:rsid w:val="1FF70178"/>
    <w:rsid w:val="200B1A77"/>
    <w:rsid w:val="201448AD"/>
    <w:rsid w:val="2057045D"/>
    <w:rsid w:val="205B201C"/>
    <w:rsid w:val="205C534E"/>
    <w:rsid w:val="209A7BE1"/>
    <w:rsid w:val="20B00A53"/>
    <w:rsid w:val="20BB11A5"/>
    <w:rsid w:val="20DB6AB5"/>
    <w:rsid w:val="20F52FB8"/>
    <w:rsid w:val="20F943CF"/>
    <w:rsid w:val="21374D45"/>
    <w:rsid w:val="214969A0"/>
    <w:rsid w:val="21666272"/>
    <w:rsid w:val="216830DB"/>
    <w:rsid w:val="218842CD"/>
    <w:rsid w:val="219A0CB5"/>
    <w:rsid w:val="21BD7368"/>
    <w:rsid w:val="21D50045"/>
    <w:rsid w:val="21E64000"/>
    <w:rsid w:val="21E73997"/>
    <w:rsid w:val="221E023B"/>
    <w:rsid w:val="2228286B"/>
    <w:rsid w:val="222C235B"/>
    <w:rsid w:val="22324F0B"/>
    <w:rsid w:val="22617C27"/>
    <w:rsid w:val="226637C0"/>
    <w:rsid w:val="227F26E0"/>
    <w:rsid w:val="228B7B8D"/>
    <w:rsid w:val="22995516"/>
    <w:rsid w:val="22A77C33"/>
    <w:rsid w:val="22AB5CBB"/>
    <w:rsid w:val="22C72083"/>
    <w:rsid w:val="22CF2DA6"/>
    <w:rsid w:val="22D5016F"/>
    <w:rsid w:val="22E15F11"/>
    <w:rsid w:val="23003F14"/>
    <w:rsid w:val="230D2177"/>
    <w:rsid w:val="230F38AE"/>
    <w:rsid w:val="2323195D"/>
    <w:rsid w:val="2337396A"/>
    <w:rsid w:val="234D373A"/>
    <w:rsid w:val="234E6301"/>
    <w:rsid w:val="23664E49"/>
    <w:rsid w:val="23A14B8F"/>
    <w:rsid w:val="23A35ADA"/>
    <w:rsid w:val="23A92D3F"/>
    <w:rsid w:val="23B05D8F"/>
    <w:rsid w:val="23BF2D5B"/>
    <w:rsid w:val="23EA543D"/>
    <w:rsid w:val="24130F30"/>
    <w:rsid w:val="2419749E"/>
    <w:rsid w:val="24264B88"/>
    <w:rsid w:val="24280AC2"/>
    <w:rsid w:val="242816A1"/>
    <w:rsid w:val="24417351"/>
    <w:rsid w:val="249332E9"/>
    <w:rsid w:val="24C71835"/>
    <w:rsid w:val="24CB0A7B"/>
    <w:rsid w:val="24CD1C80"/>
    <w:rsid w:val="24EA2F32"/>
    <w:rsid w:val="24ED58EA"/>
    <w:rsid w:val="24F60456"/>
    <w:rsid w:val="250C6474"/>
    <w:rsid w:val="25135E7D"/>
    <w:rsid w:val="252B675E"/>
    <w:rsid w:val="253A4D8F"/>
    <w:rsid w:val="2542615B"/>
    <w:rsid w:val="257B6808"/>
    <w:rsid w:val="25AC5561"/>
    <w:rsid w:val="25AD5C17"/>
    <w:rsid w:val="25B51431"/>
    <w:rsid w:val="25C77FD9"/>
    <w:rsid w:val="25CA576B"/>
    <w:rsid w:val="26025895"/>
    <w:rsid w:val="261C6242"/>
    <w:rsid w:val="26217437"/>
    <w:rsid w:val="26236F65"/>
    <w:rsid w:val="26277119"/>
    <w:rsid w:val="263C6439"/>
    <w:rsid w:val="263E265D"/>
    <w:rsid w:val="26431502"/>
    <w:rsid w:val="265E5FD8"/>
    <w:rsid w:val="26657289"/>
    <w:rsid w:val="267B3BEE"/>
    <w:rsid w:val="26831924"/>
    <w:rsid w:val="268B714F"/>
    <w:rsid w:val="26963D4E"/>
    <w:rsid w:val="26AB309C"/>
    <w:rsid w:val="26B172D2"/>
    <w:rsid w:val="26B97F35"/>
    <w:rsid w:val="26C30DB4"/>
    <w:rsid w:val="26D50E6F"/>
    <w:rsid w:val="26E91ED0"/>
    <w:rsid w:val="27075144"/>
    <w:rsid w:val="27324588"/>
    <w:rsid w:val="27695032"/>
    <w:rsid w:val="278410A2"/>
    <w:rsid w:val="278905CA"/>
    <w:rsid w:val="278A76D1"/>
    <w:rsid w:val="27A02EA3"/>
    <w:rsid w:val="27B47AC1"/>
    <w:rsid w:val="27B801ED"/>
    <w:rsid w:val="27BF48CC"/>
    <w:rsid w:val="27C34276"/>
    <w:rsid w:val="27C43E56"/>
    <w:rsid w:val="27E15937"/>
    <w:rsid w:val="27E514A2"/>
    <w:rsid w:val="27FF406E"/>
    <w:rsid w:val="282615FA"/>
    <w:rsid w:val="28292E99"/>
    <w:rsid w:val="283877E5"/>
    <w:rsid w:val="283D2EB8"/>
    <w:rsid w:val="28514C57"/>
    <w:rsid w:val="28650375"/>
    <w:rsid w:val="286534D3"/>
    <w:rsid w:val="286949D5"/>
    <w:rsid w:val="28727B2D"/>
    <w:rsid w:val="28AF12F0"/>
    <w:rsid w:val="28BD6428"/>
    <w:rsid w:val="28FF1CE1"/>
    <w:rsid w:val="2909559A"/>
    <w:rsid w:val="29243865"/>
    <w:rsid w:val="29385A89"/>
    <w:rsid w:val="29613C02"/>
    <w:rsid w:val="29862BE8"/>
    <w:rsid w:val="29AF73CD"/>
    <w:rsid w:val="29BD1EA1"/>
    <w:rsid w:val="29CB4A61"/>
    <w:rsid w:val="29D8118E"/>
    <w:rsid w:val="29E11C7D"/>
    <w:rsid w:val="29E43F56"/>
    <w:rsid w:val="2A0C61C9"/>
    <w:rsid w:val="2A1C0F07"/>
    <w:rsid w:val="2A2B6C69"/>
    <w:rsid w:val="2A6B42DB"/>
    <w:rsid w:val="2A834AE2"/>
    <w:rsid w:val="2A900FAD"/>
    <w:rsid w:val="2AB0164F"/>
    <w:rsid w:val="2AC14F5E"/>
    <w:rsid w:val="2ACC29B2"/>
    <w:rsid w:val="2AE54CEB"/>
    <w:rsid w:val="2AEF41E1"/>
    <w:rsid w:val="2AF4778E"/>
    <w:rsid w:val="2B011EAB"/>
    <w:rsid w:val="2B2B244E"/>
    <w:rsid w:val="2B30530E"/>
    <w:rsid w:val="2B3B79BB"/>
    <w:rsid w:val="2B5D4DE1"/>
    <w:rsid w:val="2B781281"/>
    <w:rsid w:val="2B782338"/>
    <w:rsid w:val="2B8B4B02"/>
    <w:rsid w:val="2B9006F3"/>
    <w:rsid w:val="2BB76475"/>
    <w:rsid w:val="2BD01D76"/>
    <w:rsid w:val="2BDC25E9"/>
    <w:rsid w:val="2BE21384"/>
    <w:rsid w:val="2BF20AB6"/>
    <w:rsid w:val="2BFB4B4C"/>
    <w:rsid w:val="2BFF6A72"/>
    <w:rsid w:val="2C0C47CD"/>
    <w:rsid w:val="2C143315"/>
    <w:rsid w:val="2C17286B"/>
    <w:rsid w:val="2C293467"/>
    <w:rsid w:val="2C2E3173"/>
    <w:rsid w:val="2C493DA1"/>
    <w:rsid w:val="2C4A7A86"/>
    <w:rsid w:val="2C70365D"/>
    <w:rsid w:val="2C844FD4"/>
    <w:rsid w:val="2C942335"/>
    <w:rsid w:val="2CA9728E"/>
    <w:rsid w:val="2CAF637E"/>
    <w:rsid w:val="2CB64825"/>
    <w:rsid w:val="2CBA6F11"/>
    <w:rsid w:val="2CD035BD"/>
    <w:rsid w:val="2CD84EE6"/>
    <w:rsid w:val="2CF03E7E"/>
    <w:rsid w:val="2D034995"/>
    <w:rsid w:val="2D03596E"/>
    <w:rsid w:val="2D1F411F"/>
    <w:rsid w:val="2D346567"/>
    <w:rsid w:val="2D825575"/>
    <w:rsid w:val="2D917516"/>
    <w:rsid w:val="2DC014A5"/>
    <w:rsid w:val="2DC773DC"/>
    <w:rsid w:val="2DE81100"/>
    <w:rsid w:val="2DEB02D6"/>
    <w:rsid w:val="2DF33F91"/>
    <w:rsid w:val="2E385BE3"/>
    <w:rsid w:val="2E4505D3"/>
    <w:rsid w:val="2E4F419D"/>
    <w:rsid w:val="2E6764C9"/>
    <w:rsid w:val="2E8D3E61"/>
    <w:rsid w:val="2E9E2128"/>
    <w:rsid w:val="2EB8220D"/>
    <w:rsid w:val="2EBC01C1"/>
    <w:rsid w:val="2EE1673B"/>
    <w:rsid w:val="2EF23BC7"/>
    <w:rsid w:val="2EFC1EE9"/>
    <w:rsid w:val="2F063F34"/>
    <w:rsid w:val="2F0D4645"/>
    <w:rsid w:val="2F13166A"/>
    <w:rsid w:val="2F20736D"/>
    <w:rsid w:val="2F2C238D"/>
    <w:rsid w:val="2F3B456A"/>
    <w:rsid w:val="2F4D21B6"/>
    <w:rsid w:val="2F686427"/>
    <w:rsid w:val="2F8D5F83"/>
    <w:rsid w:val="2F972DAB"/>
    <w:rsid w:val="2FA86D99"/>
    <w:rsid w:val="2FB2141A"/>
    <w:rsid w:val="2FBB589F"/>
    <w:rsid w:val="2FD0763D"/>
    <w:rsid w:val="2FE36087"/>
    <w:rsid w:val="2FEF6142"/>
    <w:rsid w:val="2FF551CC"/>
    <w:rsid w:val="2FFD30D3"/>
    <w:rsid w:val="301220FC"/>
    <w:rsid w:val="301C39F0"/>
    <w:rsid w:val="304F425B"/>
    <w:rsid w:val="305D5726"/>
    <w:rsid w:val="306320CE"/>
    <w:rsid w:val="3063661A"/>
    <w:rsid w:val="309A1671"/>
    <w:rsid w:val="30A32582"/>
    <w:rsid w:val="30C44DF9"/>
    <w:rsid w:val="30D42F89"/>
    <w:rsid w:val="30EC07C3"/>
    <w:rsid w:val="310145B8"/>
    <w:rsid w:val="3101555E"/>
    <w:rsid w:val="31064CB0"/>
    <w:rsid w:val="310A2999"/>
    <w:rsid w:val="312072CC"/>
    <w:rsid w:val="31236774"/>
    <w:rsid w:val="31262E3A"/>
    <w:rsid w:val="312D57A8"/>
    <w:rsid w:val="31546532"/>
    <w:rsid w:val="31590CD9"/>
    <w:rsid w:val="3165042F"/>
    <w:rsid w:val="31721090"/>
    <w:rsid w:val="318516C6"/>
    <w:rsid w:val="31904280"/>
    <w:rsid w:val="31981BBD"/>
    <w:rsid w:val="31A3656A"/>
    <w:rsid w:val="31B507A6"/>
    <w:rsid w:val="31B6490E"/>
    <w:rsid w:val="31CB6D6E"/>
    <w:rsid w:val="31D14A2C"/>
    <w:rsid w:val="31E049DE"/>
    <w:rsid w:val="31EB3A55"/>
    <w:rsid w:val="31EC7411"/>
    <w:rsid w:val="31F244A0"/>
    <w:rsid w:val="31FD5788"/>
    <w:rsid w:val="321921D0"/>
    <w:rsid w:val="322B54CA"/>
    <w:rsid w:val="32424561"/>
    <w:rsid w:val="325D3F2A"/>
    <w:rsid w:val="32634438"/>
    <w:rsid w:val="32B8116A"/>
    <w:rsid w:val="32E5673F"/>
    <w:rsid w:val="32F64C46"/>
    <w:rsid w:val="332647B5"/>
    <w:rsid w:val="332C2ACD"/>
    <w:rsid w:val="333C3823"/>
    <w:rsid w:val="33584833"/>
    <w:rsid w:val="33841FC9"/>
    <w:rsid w:val="33B11E0E"/>
    <w:rsid w:val="33B348A0"/>
    <w:rsid w:val="33C12B40"/>
    <w:rsid w:val="33D95773"/>
    <w:rsid w:val="33F04D86"/>
    <w:rsid w:val="33FE1FD6"/>
    <w:rsid w:val="341A099E"/>
    <w:rsid w:val="34534FDE"/>
    <w:rsid w:val="347E50D5"/>
    <w:rsid w:val="3491429F"/>
    <w:rsid w:val="349A383B"/>
    <w:rsid w:val="34A51AF9"/>
    <w:rsid w:val="34B866F6"/>
    <w:rsid w:val="34C67609"/>
    <w:rsid w:val="34EB15D8"/>
    <w:rsid w:val="34FB7939"/>
    <w:rsid w:val="350045CD"/>
    <w:rsid w:val="35071529"/>
    <w:rsid w:val="350E2FF9"/>
    <w:rsid w:val="351B1DBB"/>
    <w:rsid w:val="352E66C1"/>
    <w:rsid w:val="352F7B20"/>
    <w:rsid w:val="3533180D"/>
    <w:rsid w:val="354A2DCA"/>
    <w:rsid w:val="356878BD"/>
    <w:rsid w:val="357D1963"/>
    <w:rsid w:val="35901365"/>
    <w:rsid w:val="35957DBF"/>
    <w:rsid w:val="35AF2B33"/>
    <w:rsid w:val="35BC3E2C"/>
    <w:rsid w:val="35D22060"/>
    <w:rsid w:val="35D274DD"/>
    <w:rsid w:val="35E21E23"/>
    <w:rsid w:val="35ED0313"/>
    <w:rsid w:val="35F36590"/>
    <w:rsid w:val="36171944"/>
    <w:rsid w:val="365C7AAC"/>
    <w:rsid w:val="365E5CD9"/>
    <w:rsid w:val="366C6D72"/>
    <w:rsid w:val="367E6194"/>
    <w:rsid w:val="368B07DC"/>
    <w:rsid w:val="368C2F70"/>
    <w:rsid w:val="368F5027"/>
    <w:rsid w:val="369D20A2"/>
    <w:rsid w:val="369D517D"/>
    <w:rsid w:val="36A37D78"/>
    <w:rsid w:val="36AE767B"/>
    <w:rsid w:val="36BC0751"/>
    <w:rsid w:val="36CF10AF"/>
    <w:rsid w:val="36D05B61"/>
    <w:rsid w:val="36F83C6C"/>
    <w:rsid w:val="37046FAB"/>
    <w:rsid w:val="370E3F9C"/>
    <w:rsid w:val="372238D5"/>
    <w:rsid w:val="37374AAE"/>
    <w:rsid w:val="37450FBD"/>
    <w:rsid w:val="375F52D5"/>
    <w:rsid w:val="376E2D19"/>
    <w:rsid w:val="377A4E1F"/>
    <w:rsid w:val="37862283"/>
    <w:rsid w:val="379A03F2"/>
    <w:rsid w:val="37DB2C93"/>
    <w:rsid w:val="37E312B6"/>
    <w:rsid w:val="37EE63AC"/>
    <w:rsid w:val="37F45271"/>
    <w:rsid w:val="37FC250C"/>
    <w:rsid w:val="380B609C"/>
    <w:rsid w:val="38341B11"/>
    <w:rsid w:val="386D4D82"/>
    <w:rsid w:val="387210AA"/>
    <w:rsid w:val="3873755C"/>
    <w:rsid w:val="38B67857"/>
    <w:rsid w:val="38BE1258"/>
    <w:rsid w:val="38CE5AC2"/>
    <w:rsid w:val="38DE1A7D"/>
    <w:rsid w:val="38EC7440"/>
    <w:rsid w:val="38ED4F90"/>
    <w:rsid w:val="38FB6738"/>
    <w:rsid w:val="38FE4DFF"/>
    <w:rsid w:val="39100DB9"/>
    <w:rsid w:val="39262202"/>
    <w:rsid w:val="39426361"/>
    <w:rsid w:val="394542F1"/>
    <w:rsid w:val="39465A2D"/>
    <w:rsid w:val="394864C6"/>
    <w:rsid w:val="39663F4D"/>
    <w:rsid w:val="39671754"/>
    <w:rsid w:val="396F26D5"/>
    <w:rsid w:val="39A64751"/>
    <w:rsid w:val="39AD5439"/>
    <w:rsid w:val="39C23BC2"/>
    <w:rsid w:val="39F81784"/>
    <w:rsid w:val="3A137D0E"/>
    <w:rsid w:val="3A2B5993"/>
    <w:rsid w:val="3A333CC8"/>
    <w:rsid w:val="3A340789"/>
    <w:rsid w:val="3A4B7DF5"/>
    <w:rsid w:val="3A4D2A17"/>
    <w:rsid w:val="3A540249"/>
    <w:rsid w:val="3A9A5DEB"/>
    <w:rsid w:val="3AB46F3A"/>
    <w:rsid w:val="3AC3064C"/>
    <w:rsid w:val="3AD803DE"/>
    <w:rsid w:val="3B0748DF"/>
    <w:rsid w:val="3B1E0D49"/>
    <w:rsid w:val="3B350B28"/>
    <w:rsid w:val="3B350B7D"/>
    <w:rsid w:val="3B3A743F"/>
    <w:rsid w:val="3B3C6995"/>
    <w:rsid w:val="3B472AC2"/>
    <w:rsid w:val="3B4C2CCE"/>
    <w:rsid w:val="3B620744"/>
    <w:rsid w:val="3B6305B2"/>
    <w:rsid w:val="3B6C0A39"/>
    <w:rsid w:val="3B752263"/>
    <w:rsid w:val="3B892174"/>
    <w:rsid w:val="3B9D352A"/>
    <w:rsid w:val="3BA85450"/>
    <w:rsid w:val="3BB05953"/>
    <w:rsid w:val="3BBA28F3"/>
    <w:rsid w:val="3BC74A4B"/>
    <w:rsid w:val="3BD038FF"/>
    <w:rsid w:val="3BD96144"/>
    <w:rsid w:val="3BE05AF2"/>
    <w:rsid w:val="3BF76D99"/>
    <w:rsid w:val="3BF868F0"/>
    <w:rsid w:val="3BFA0C4E"/>
    <w:rsid w:val="3C2E69FC"/>
    <w:rsid w:val="3C342025"/>
    <w:rsid w:val="3C365148"/>
    <w:rsid w:val="3C574085"/>
    <w:rsid w:val="3C6515B5"/>
    <w:rsid w:val="3C687118"/>
    <w:rsid w:val="3C7A1ABD"/>
    <w:rsid w:val="3C8208D0"/>
    <w:rsid w:val="3C89390F"/>
    <w:rsid w:val="3C940F2B"/>
    <w:rsid w:val="3C9B6925"/>
    <w:rsid w:val="3CA02A05"/>
    <w:rsid w:val="3CBD0B7D"/>
    <w:rsid w:val="3CBE7369"/>
    <w:rsid w:val="3CCD7E3F"/>
    <w:rsid w:val="3CE53060"/>
    <w:rsid w:val="3CEF267C"/>
    <w:rsid w:val="3CFB4ABD"/>
    <w:rsid w:val="3CFF1540"/>
    <w:rsid w:val="3D0A362A"/>
    <w:rsid w:val="3D166C5B"/>
    <w:rsid w:val="3D3814E9"/>
    <w:rsid w:val="3D6B054C"/>
    <w:rsid w:val="3D712EC0"/>
    <w:rsid w:val="3D7E4280"/>
    <w:rsid w:val="3D887BE6"/>
    <w:rsid w:val="3DA67DE4"/>
    <w:rsid w:val="3DB17760"/>
    <w:rsid w:val="3DC829D0"/>
    <w:rsid w:val="3DD50833"/>
    <w:rsid w:val="3DE02A1B"/>
    <w:rsid w:val="3DE12E7E"/>
    <w:rsid w:val="3DF96E3A"/>
    <w:rsid w:val="3DFC4E7F"/>
    <w:rsid w:val="3E0250F8"/>
    <w:rsid w:val="3E0252E8"/>
    <w:rsid w:val="3E0735FC"/>
    <w:rsid w:val="3E0820B0"/>
    <w:rsid w:val="3E0930F8"/>
    <w:rsid w:val="3E2B3E7E"/>
    <w:rsid w:val="3E46434D"/>
    <w:rsid w:val="3E557224"/>
    <w:rsid w:val="3E883383"/>
    <w:rsid w:val="3E8846F6"/>
    <w:rsid w:val="3E8D0CDB"/>
    <w:rsid w:val="3E9E2A75"/>
    <w:rsid w:val="3EC87851"/>
    <w:rsid w:val="3ECA2F19"/>
    <w:rsid w:val="3EF06B64"/>
    <w:rsid w:val="3F073ADC"/>
    <w:rsid w:val="3F116709"/>
    <w:rsid w:val="3F1F6800"/>
    <w:rsid w:val="3F2423E4"/>
    <w:rsid w:val="3F2E540A"/>
    <w:rsid w:val="3F3B3785"/>
    <w:rsid w:val="3F476A1F"/>
    <w:rsid w:val="3F6166C2"/>
    <w:rsid w:val="3F6B05DA"/>
    <w:rsid w:val="3F7A3BCE"/>
    <w:rsid w:val="3FA23805"/>
    <w:rsid w:val="3FCB599A"/>
    <w:rsid w:val="3FCF1B43"/>
    <w:rsid w:val="3FD138F1"/>
    <w:rsid w:val="3FE12463"/>
    <w:rsid w:val="3FFC1296"/>
    <w:rsid w:val="401F09B1"/>
    <w:rsid w:val="402D4162"/>
    <w:rsid w:val="40332F17"/>
    <w:rsid w:val="405409B1"/>
    <w:rsid w:val="40612462"/>
    <w:rsid w:val="4078442B"/>
    <w:rsid w:val="40A9324F"/>
    <w:rsid w:val="40C7386A"/>
    <w:rsid w:val="40E211A8"/>
    <w:rsid w:val="40F85255"/>
    <w:rsid w:val="41050E9C"/>
    <w:rsid w:val="410857BB"/>
    <w:rsid w:val="411417F0"/>
    <w:rsid w:val="41197F3A"/>
    <w:rsid w:val="41265D6F"/>
    <w:rsid w:val="414032D5"/>
    <w:rsid w:val="414D77A0"/>
    <w:rsid w:val="41557B13"/>
    <w:rsid w:val="41650DF3"/>
    <w:rsid w:val="418331C2"/>
    <w:rsid w:val="418A7604"/>
    <w:rsid w:val="419844BE"/>
    <w:rsid w:val="41984EBF"/>
    <w:rsid w:val="419D02E0"/>
    <w:rsid w:val="41AC2CC2"/>
    <w:rsid w:val="41F578D7"/>
    <w:rsid w:val="42045E56"/>
    <w:rsid w:val="42062EB6"/>
    <w:rsid w:val="420C2887"/>
    <w:rsid w:val="420D50CD"/>
    <w:rsid w:val="422E5823"/>
    <w:rsid w:val="42376819"/>
    <w:rsid w:val="42594816"/>
    <w:rsid w:val="426E2680"/>
    <w:rsid w:val="427621E8"/>
    <w:rsid w:val="428025FB"/>
    <w:rsid w:val="42A45DB9"/>
    <w:rsid w:val="42A844C2"/>
    <w:rsid w:val="42C47560"/>
    <w:rsid w:val="42C73254"/>
    <w:rsid w:val="42DD01B9"/>
    <w:rsid w:val="42EE5BEA"/>
    <w:rsid w:val="42F67E2A"/>
    <w:rsid w:val="43206920"/>
    <w:rsid w:val="433E7552"/>
    <w:rsid w:val="43460AC3"/>
    <w:rsid w:val="434779C4"/>
    <w:rsid w:val="434E584E"/>
    <w:rsid w:val="43695268"/>
    <w:rsid w:val="436C100F"/>
    <w:rsid w:val="438420EE"/>
    <w:rsid w:val="438A5168"/>
    <w:rsid w:val="43A24C15"/>
    <w:rsid w:val="43A82159"/>
    <w:rsid w:val="43A966D6"/>
    <w:rsid w:val="43BE4985"/>
    <w:rsid w:val="43E716B6"/>
    <w:rsid w:val="43EB0505"/>
    <w:rsid w:val="43F37D46"/>
    <w:rsid w:val="43FD4C70"/>
    <w:rsid w:val="441F5424"/>
    <w:rsid w:val="442639EA"/>
    <w:rsid w:val="444A7FC7"/>
    <w:rsid w:val="44766E4A"/>
    <w:rsid w:val="448857D7"/>
    <w:rsid w:val="448B0D0B"/>
    <w:rsid w:val="449C211E"/>
    <w:rsid w:val="44DA57EF"/>
    <w:rsid w:val="44EE5887"/>
    <w:rsid w:val="44F86AD5"/>
    <w:rsid w:val="450811A5"/>
    <w:rsid w:val="45270809"/>
    <w:rsid w:val="45336CAD"/>
    <w:rsid w:val="45483A28"/>
    <w:rsid w:val="45695DA1"/>
    <w:rsid w:val="457C2D58"/>
    <w:rsid w:val="45BA2548"/>
    <w:rsid w:val="462D296E"/>
    <w:rsid w:val="464B69A4"/>
    <w:rsid w:val="465E2167"/>
    <w:rsid w:val="465F750A"/>
    <w:rsid w:val="46663A15"/>
    <w:rsid w:val="46674D6D"/>
    <w:rsid w:val="467D5B77"/>
    <w:rsid w:val="46C96055"/>
    <w:rsid w:val="46CF57F3"/>
    <w:rsid w:val="46E35212"/>
    <w:rsid w:val="46FB4BA7"/>
    <w:rsid w:val="470B7031"/>
    <w:rsid w:val="47110765"/>
    <w:rsid w:val="472075AE"/>
    <w:rsid w:val="47255D42"/>
    <w:rsid w:val="47370CD6"/>
    <w:rsid w:val="47477328"/>
    <w:rsid w:val="47543636"/>
    <w:rsid w:val="475B6270"/>
    <w:rsid w:val="477D2C64"/>
    <w:rsid w:val="47AB578A"/>
    <w:rsid w:val="47B8093D"/>
    <w:rsid w:val="47F06548"/>
    <w:rsid w:val="4809562C"/>
    <w:rsid w:val="48180B6E"/>
    <w:rsid w:val="482824B3"/>
    <w:rsid w:val="485C6CE8"/>
    <w:rsid w:val="486F61C1"/>
    <w:rsid w:val="488968B4"/>
    <w:rsid w:val="489A4D79"/>
    <w:rsid w:val="48A27727"/>
    <w:rsid w:val="48AC7699"/>
    <w:rsid w:val="48BB76E5"/>
    <w:rsid w:val="48D75B50"/>
    <w:rsid w:val="49237F53"/>
    <w:rsid w:val="492741B5"/>
    <w:rsid w:val="49357497"/>
    <w:rsid w:val="493F0316"/>
    <w:rsid w:val="49437E06"/>
    <w:rsid w:val="49610A27"/>
    <w:rsid w:val="49727F01"/>
    <w:rsid w:val="497A134E"/>
    <w:rsid w:val="49862135"/>
    <w:rsid w:val="49876F57"/>
    <w:rsid w:val="49A40D8E"/>
    <w:rsid w:val="49AC471D"/>
    <w:rsid w:val="49C01457"/>
    <w:rsid w:val="49F3514C"/>
    <w:rsid w:val="4A135680"/>
    <w:rsid w:val="4A233BEE"/>
    <w:rsid w:val="4A47033D"/>
    <w:rsid w:val="4A6F33F0"/>
    <w:rsid w:val="4A702317"/>
    <w:rsid w:val="4A9819C0"/>
    <w:rsid w:val="4AA96F31"/>
    <w:rsid w:val="4AB72E0A"/>
    <w:rsid w:val="4AC33BF5"/>
    <w:rsid w:val="4AC56436"/>
    <w:rsid w:val="4AEE5B50"/>
    <w:rsid w:val="4AF018C8"/>
    <w:rsid w:val="4AF21F89"/>
    <w:rsid w:val="4B091DD4"/>
    <w:rsid w:val="4B09556E"/>
    <w:rsid w:val="4B0B04B0"/>
    <w:rsid w:val="4B2B57CD"/>
    <w:rsid w:val="4B2C48CA"/>
    <w:rsid w:val="4B36505C"/>
    <w:rsid w:val="4B3A1C26"/>
    <w:rsid w:val="4B4A4EED"/>
    <w:rsid w:val="4B5F6A4E"/>
    <w:rsid w:val="4B654E1C"/>
    <w:rsid w:val="4B700702"/>
    <w:rsid w:val="4B7439EB"/>
    <w:rsid w:val="4B840262"/>
    <w:rsid w:val="4B8C1589"/>
    <w:rsid w:val="4BA02EFE"/>
    <w:rsid w:val="4BAD77B9"/>
    <w:rsid w:val="4BB264C7"/>
    <w:rsid w:val="4BBD78E4"/>
    <w:rsid w:val="4BCE5F0E"/>
    <w:rsid w:val="4BCF5981"/>
    <w:rsid w:val="4BF90A32"/>
    <w:rsid w:val="4C387D0F"/>
    <w:rsid w:val="4C3C4EF2"/>
    <w:rsid w:val="4C4E26AA"/>
    <w:rsid w:val="4C577725"/>
    <w:rsid w:val="4C673716"/>
    <w:rsid w:val="4C6873E8"/>
    <w:rsid w:val="4C737F16"/>
    <w:rsid w:val="4C8233F8"/>
    <w:rsid w:val="4C8E1403"/>
    <w:rsid w:val="4CA24E44"/>
    <w:rsid w:val="4CCB6971"/>
    <w:rsid w:val="4CCC23F0"/>
    <w:rsid w:val="4CCE157C"/>
    <w:rsid w:val="4CCF06CB"/>
    <w:rsid w:val="4CDA3815"/>
    <w:rsid w:val="4CE129D0"/>
    <w:rsid w:val="4CFB4B93"/>
    <w:rsid w:val="4D07114B"/>
    <w:rsid w:val="4D265A75"/>
    <w:rsid w:val="4D275B96"/>
    <w:rsid w:val="4D2F3D7F"/>
    <w:rsid w:val="4D3B4358"/>
    <w:rsid w:val="4D4A7DE6"/>
    <w:rsid w:val="4D4F2781"/>
    <w:rsid w:val="4D572BF9"/>
    <w:rsid w:val="4D802454"/>
    <w:rsid w:val="4D867F84"/>
    <w:rsid w:val="4D8D78A2"/>
    <w:rsid w:val="4DAE02CF"/>
    <w:rsid w:val="4DB9166B"/>
    <w:rsid w:val="4DBD673B"/>
    <w:rsid w:val="4DBF5E54"/>
    <w:rsid w:val="4DCD2C84"/>
    <w:rsid w:val="4DDC6134"/>
    <w:rsid w:val="4DE12C26"/>
    <w:rsid w:val="4DF254C4"/>
    <w:rsid w:val="4DFE6184"/>
    <w:rsid w:val="4E04568A"/>
    <w:rsid w:val="4E077B15"/>
    <w:rsid w:val="4E085D8E"/>
    <w:rsid w:val="4E187F34"/>
    <w:rsid w:val="4E1A4EAE"/>
    <w:rsid w:val="4E506848"/>
    <w:rsid w:val="4E5B72F3"/>
    <w:rsid w:val="4E716F2B"/>
    <w:rsid w:val="4E7A4166"/>
    <w:rsid w:val="4E8A09EF"/>
    <w:rsid w:val="4E920EE8"/>
    <w:rsid w:val="4E9C5364"/>
    <w:rsid w:val="4E9E788D"/>
    <w:rsid w:val="4EA06227"/>
    <w:rsid w:val="4EAD187E"/>
    <w:rsid w:val="4EB15812"/>
    <w:rsid w:val="4EB97668"/>
    <w:rsid w:val="4EBC57B2"/>
    <w:rsid w:val="4EC45115"/>
    <w:rsid w:val="4EDB083B"/>
    <w:rsid w:val="4EE23C1E"/>
    <w:rsid w:val="4EE8215B"/>
    <w:rsid w:val="4EF821D6"/>
    <w:rsid w:val="4F0771E0"/>
    <w:rsid w:val="4F086398"/>
    <w:rsid w:val="4F245FE4"/>
    <w:rsid w:val="4F2B33DD"/>
    <w:rsid w:val="4F6D1B25"/>
    <w:rsid w:val="4F7E524C"/>
    <w:rsid w:val="4F7F51A7"/>
    <w:rsid w:val="4FBF5D0D"/>
    <w:rsid w:val="4FD4178E"/>
    <w:rsid w:val="4FEB6B02"/>
    <w:rsid w:val="4FEE65F2"/>
    <w:rsid w:val="50152D3F"/>
    <w:rsid w:val="50296B12"/>
    <w:rsid w:val="5031058D"/>
    <w:rsid w:val="50355FCF"/>
    <w:rsid w:val="504B4937"/>
    <w:rsid w:val="50615DAF"/>
    <w:rsid w:val="506C2B20"/>
    <w:rsid w:val="5073769A"/>
    <w:rsid w:val="5076389B"/>
    <w:rsid w:val="507931D3"/>
    <w:rsid w:val="50E61077"/>
    <w:rsid w:val="51183927"/>
    <w:rsid w:val="51281690"/>
    <w:rsid w:val="512C73D2"/>
    <w:rsid w:val="51336CF6"/>
    <w:rsid w:val="513F5357"/>
    <w:rsid w:val="516369CA"/>
    <w:rsid w:val="518C7E21"/>
    <w:rsid w:val="519642C5"/>
    <w:rsid w:val="51A65EC1"/>
    <w:rsid w:val="51BA7FD1"/>
    <w:rsid w:val="51BE36D3"/>
    <w:rsid w:val="51BE4D72"/>
    <w:rsid w:val="51FB6D94"/>
    <w:rsid w:val="520B6FE7"/>
    <w:rsid w:val="520C1547"/>
    <w:rsid w:val="523708A8"/>
    <w:rsid w:val="524564B8"/>
    <w:rsid w:val="52524B9C"/>
    <w:rsid w:val="52665A0F"/>
    <w:rsid w:val="52667ECC"/>
    <w:rsid w:val="527C4BED"/>
    <w:rsid w:val="529F5414"/>
    <w:rsid w:val="52AC5E90"/>
    <w:rsid w:val="52C35B14"/>
    <w:rsid w:val="52C673B2"/>
    <w:rsid w:val="52E200B0"/>
    <w:rsid w:val="52E85B07"/>
    <w:rsid w:val="52E86893"/>
    <w:rsid w:val="52EF4CB5"/>
    <w:rsid w:val="52F932E4"/>
    <w:rsid w:val="53111F42"/>
    <w:rsid w:val="531B76FE"/>
    <w:rsid w:val="532C190B"/>
    <w:rsid w:val="53441590"/>
    <w:rsid w:val="53624075"/>
    <w:rsid w:val="53656722"/>
    <w:rsid w:val="536B0B11"/>
    <w:rsid w:val="53750207"/>
    <w:rsid w:val="53771FF7"/>
    <w:rsid w:val="537B2455"/>
    <w:rsid w:val="53886E5A"/>
    <w:rsid w:val="538C3A87"/>
    <w:rsid w:val="53967B1D"/>
    <w:rsid w:val="53BA0CC5"/>
    <w:rsid w:val="53C82B16"/>
    <w:rsid w:val="53D164F2"/>
    <w:rsid w:val="53E464B1"/>
    <w:rsid w:val="53F561A1"/>
    <w:rsid w:val="5417674E"/>
    <w:rsid w:val="541F1F10"/>
    <w:rsid w:val="542F6667"/>
    <w:rsid w:val="544A4F06"/>
    <w:rsid w:val="545F7ABE"/>
    <w:rsid w:val="54843081"/>
    <w:rsid w:val="549C0E0C"/>
    <w:rsid w:val="54AA5F5F"/>
    <w:rsid w:val="54D50392"/>
    <w:rsid w:val="54FE2E33"/>
    <w:rsid w:val="55253A96"/>
    <w:rsid w:val="55284354"/>
    <w:rsid w:val="55293E30"/>
    <w:rsid w:val="55314FB7"/>
    <w:rsid w:val="55785EBF"/>
    <w:rsid w:val="557D412A"/>
    <w:rsid w:val="55A77DD9"/>
    <w:rsid w:val="55C220B3"/>
    <w:rsid w:val="55D40A5D"/>
    <w:rsid w:val="55D6790C"/>
    <w:rsid w:val="55F04E72"/>
    <w:rsid w:val="55F73587"/>
    <w:rsid w:val="55FE3938"/>
    <w:rsid w:val="5604768C"/>
    <w:rsid w:val="561A3C9D"/>
    <w:rsid w:val="561E2CDD"/>
    <w:rsid w:val="564D6C06"/>
    <w:rsid w:val="56576551"/>
    <w:rsid w:val="566C77BD"/>
    <w:rsid w:val="567053AF"/>
    <w:rsid w:val="56CF4A1A"/>
    <w:rsid w:val="57053B15"/>
    <w:rsid w:val="57155268"/>
    <w:rsid w:val="57371C3C"/>
    <w:rsid w:val="574A0368"/>
    <w:rsid w:val="57671164"/>
    <w:rsid w:val="57792985"/>
    <w:rsid w:val="578A6C00"/>
    <w:rsid w:val="57A12545"/>
    <w:rsid w:val="57A31556"/>
    <w:rsid w:val="57AF48B9"/>
    <w:rsid w:val="57BE08B0"/>
    <w:rsid w:val="57BF59D4"/>
    <w:rsid w:val="57D414C7"/>
    <w:rsid w:val="57E11591"/>
    <w:rsid w:val="57F14ED1"/>
    <w:rsid w:val="58164FF4"/>
    <w:rsid w:val="582901C7"/>
    <w:rsid w:val="585F5AE0"/>
    <w:rsid w:val="58627B7D"/>
    <w:rsid w:val="588857A9"/>
    <w:rsid w:val="589C324F"/>
    <w:rsid w:val="589D0887"/>
    <w:rsid w:val="58A24662"/>
    <w:rsid w:val="58A957AC"/>
    <w:rsid w:val="58AF5419"/>
    <w:rsid w:val="58B303D9"/>
    <w:rsid w:val="58BC380B"/>
    <w:rsid w:val="58C00D60"/>
    <w:rsid w:val="58C11725"/>
    <w:rsid w:val="58C44A64"/>
    <w:rsid w:val="58E3499B"/>
    <w:rsid w:val="58F31BB8"/>
    <w:rsid w:val="59060509"/>
    <w:rsid w:val="591A2206"/>
    <w:rsid w:val="59276D58"/>
    <w:rsid w:val="594176E5"/>
    <w:rsid w:val="594B184B"/>
    <w:rsid w:val="595A2602"/>
    <w:rsid w:val="59865ED0"/>
    <w:rsid w:val="598A225B"/>
    <w:rsid w:val="59AD3652"/>
    <w:rsid w:val="59DD1A59"/>
    <w:rsid w:val="5A1A4AF5"/>
    <w:rsid w:val="5A3C017B"/>
    <w:rsid w:val="5A50503A"/>
    <w:rsid w:val="5A6B40CB"/>
    <w:rsid w:val="5A733976"/>
    <w:rsid w:val="5A7B0A82"/>
    <w:rsid w:val="5A80634F"/>
    <w:rsid w:val="5AAC3640"/>
    <w:rsid w:val="5AAE1B62"/>
    <w:rsid w:val="5ABA47A8"/>
    <w:rsid w:val="5ACB213C"/>
    <w:rsid w:val="5AE80486"/>
    <w:rsid w:val="5B1433B1"/>
    <w:rsid w:val="5B415047"/>
    <w:rsid w:val="5B836EDA"/>
    <w:rsid w:val="5B883A7F"/>
    <w:rsid w:val="5B9F282A"/>
    <w:rsid w:val="5BA65FD3"/>
    <w:rsid w:val="5BB83D76"/>
    <w:rsid w:val="5BC438C3"/>
    <w:rsid w:val="5C0B43A9"/>
    <w:rsid w:val="5C1949F7"/>
    <w:rsid w:val="5C6066F8"/>
    <w:rsid w:val="5C642305"/>
    <w:rsid w:val="5C6A6E49"/>
    <w:rsid w:val="5C6C0FCA"/>
    <w:rsid w:val="5CE15514"/>
    <w:rsid w:val="5CEA7657"/>
    <w:rsid w:val="5CED748E"/>
    <w:rsid w:val="5CEE378D"/>
    <w:rsid w:val="5CFB76F8"/>
    <w:rsid w:val="5D130A11"/>
    <w:rsid w:val="5D211DB5"/>
    <w:rsid w:val="5D230C5E"/>
    <w:rsid w:val="5D461432"/>
    <w:rsid w:val="5D4635C9"/>
    <w:rsid w:val="5D906E72"/>
    <w:rsid w:val="5D9102BF"/>
    <w:rsid w:val="5DB12BCF"/>
    <w:rsid w:val="5DBF0F87"/>
    <w:rsid w:val="5DC9374E"/>
    <w:rsid w:val="5DE00FF4"/>
    <w:rsid w:val="5DF0237D"/>
    <w:rsid w:val="5E064172"/>
    <w:rsid w:val="5E113BD7"/>
    <w:rsid w:val="5E231B5D"/>
    <w:rsid w:val="5E34399D"/>
    <w:rsid w:val="5E3644CA"/>
    <w:rsid w:val="5E475172"/>
    <w:rsid w:val="5E563CE0"/>
    <w:rsid w:val="5E601EC7"/>
    <w:rsid w:val="5E710B1A"/>
    <w:rsid w:val="5E7828C9"/>
    <w:rsid w:val="5E8B2015"/>
    <w:rsid w:val="5E95037E"/>
    <w:rsid w:val="5E9A67F6"/>
    <w:rsid w:val="5EAB6706"/>
    <w:rsid w:val="5EB52503"/>
    <w:rsid w:val="5EBA426F"/>
    <w:rsid w:val="5ED115B9"/>
    <w:rsid w:val="5EE12302"/>
    <w:rsid w:val="5EE46CBD"/>
    <w:rsid w:val="5F2913F5"/>
    <w:rsid w:val="5F295858"/>
    <w:rsid w:val="5F317B04"/>
    <w:rsid w:val="5F322057"/>
    <w:rsid w:val="5F37766E"/>
    <w:rsid w:val="5F3D2E08"/>
    <w:rsid w:val="5F4A4279"/>
    <w:rsid w:val="5F4E6765"/>
    <w:rsid w:val="5F5E109E"/>
    <w:rsid w:val="5F8B1768"/>
    <w:rsid w:val="5FB73766"/>
    <w:rsid w:val="5FB92779"/>
    <w:rsid w:val="5FC16303"/>
    <w:rsid w:val="5FD3019B"/>
    <w:rsid w:val="600E0450"/>
    <w:rsid w:val="602A617D"/>
    <w:rsid w:val="603F7916"/>
    <w:rsid w:val="60430294"/>
    <w:rsid w:val="606B27DB"/>
    <w:rsid w:val="606E3563"/>
    <w:rsid w:val="609B59DA"/>
    <w:rsid w:val="60B10E7E"/>
    <w:rsid w:val="60B35111"/>
    <w:rsid w:val="60C06560"/>
    <w:rsid w:val="60DE734B"/>
    <w:rsid w:val="60E37145"/>
    <w:rsid w:val="6101667A"/>
    <w:rsid w:val="610A6045"/>
    <w:rsid w:val="610F0F4F"/>
    <w:rsid w:val="61382586"/>
    <w:rsid w:val="613B0F6B"/>
    <w:rsid w:val="613E6559"/>
    <w:rsid w:val="615B12C7"/>
    <w:rsid w:val="615F10FE"/>
    <w:rsid w:val="617701F5"/>
    <w:rsid w:val="61CC6485"/>
    <w:rsid w:val="61D36E77"/>
    <w:rsid w:val="61F359F2"/>
    <w:rsid w:val="61F54AB1"/>
    <w:rsid w:val="621C3E89"/>
    <w:rsid w:val="62275A19"/>
    <w:rsid w:val="625B4D27"/>
    <w:rsid w:val="626627ED"/>
    <w:rsid w:val="626C24D5"/>
    <w:rsid w:val="62782477"/>
    <w:rsid w:val="6279061C"/>
    <w:rsid w:val="62895A05"/>
    <w:rsid w:val="62A877A4"/>
    <w:rsid w:val="62DA4492"/>
    <w:rsid w:val="62DE4EFF"/>
    <w:rsid w:val="63161C90"/>
    <w:rsid w:val="631A2F39"/>
    <w:rsid w:val="631B6093"/>
    <w:rsid w:val="63322566"/>
    <w:rsid w:val="63546936"/>
    <w:rsid w:val="63AC2538"/>
    <w:rsid w:val="63E43B3C"/>
    <w:rsid w:val="63F024E1"/>
    <w:rsid w:val="63F17537"/>
    <w:rsid w:val="64017B8C"/>
    <w:rsid w:val="641A610A"/>
    <w:rsid w:val="64331175"/>
    <w:rsid w:val="64394B9A"/>
    <w:rsid w:val="644832A1"/>
    <w:rsid w:val="645B2050"/>
    <w:rsid w:val="6472739A"/>
    <w:rsid w:val="647C17F4"/>
    <w:rsid w:val="64965922"/>
    <w:rsid w:val="64A335CB"/>
    <w:rsid w:val="64AF3400"/>
    <w:rsid w:val="64B71F8B"/>
    <w:rsid w:val="64BB2AEF"/>
    <w:rsid w:val="64F16511"/>
    <w:rsid w:val="65077AE2"/>
    <w:rsid w:val="65106BA7"/>
    <w:rsid w:val="65524701"/>
    <w:rsid w:val="655A5E64"/>
    <w:rsid w:val="65607A7B"/>
    <w:rsid w:val="65643170"/>
    <w:rsid w:val="65646CE3"/>
    <w:rsid w:val="656F7435"/>
    <w:rsid w:val="65707B03"/>
    <w:rsid w:val="657A6506"/>
    <w:rsid w:val="65AE174B"/>
    <w:rsid w:val="65BE0CC6"/>
    <w:rsid w:val="65C634F9"/>
    <w:rsid w:val="664149C3"/>
    <w:rsid w:val="664C6C2D"/>
    <w:rsid w:val="665925BF"/>
    <w:rsid w:val="66832273"/>
    <w:rsid w:val="66AA4837"/>
    <w:rsid w:val="66D103A8"/>
    <w:rsid w:val="66F424EB"/>
    <w:rsid w:val="66F60FF1"/>
    <w:rsid w:val="67252F5F"/>
    <w:rsid w:val="67360615"/>
    <w:rsid w:val="674B3D08"/>
    <w:rsid w:val="675A5253"/>
    <w:rsid w:val="6774491C"/>
    <w:rsid w:val="67837F00"/>
    <w:rsid w:val="678C32D2"/>
    <w:rsid w:val="67A5445B"/>
    <w:rsid w:val="67BF28F6"/>
    <w:rsid w:val="67C127D5"/>
    <w:rsid w:val="67D746D4"/>
    <w:rsid w:val="67F36D5A"/>
    <w:rsid w:val="680253B8"/>
    <w:rsid w:val="684D4FFD"/>
    <w:rsid w:val="68647622"/>
    <w:rsid w:val="6879758B"/>
    <w:rsid w:val="68824424"/>
    <w:rsid w:val="68891DE6"/>
    <w:rsid w:val="68AF2EEE"/>
    <w:rsid w:val="68DF3DE6"/>
    <w:rsid w:val="68FB1243"/>
    <w:rsid w:val="69201162"/>
    <w:rsid w:val="69286279"/>
    <w:rsid w:val="695577FA"/>
    <w:rsid w:val="695B3F18"/>
    <w:rsid w:val="69676DA1"/>
    <w:rsid w:val="697D0373"/>
    <w:rsid w:val="69904ABD"/>
    <w:rsid w:val="6997298A"/>
    <w:rsid w:val="699A52AC"/>
    <w:rsid w:val="69A36037"/>
    <w:rsid w:val="69AA3132"/>
    <w:rsid w:val="69BA6C40"/>
    <w:rsid w:val="69BC373D"/>
    <w:rsid w:val="69C96E49"/>
    <w:rsid w:val="69D32689"/>
    <w:rsid w:val="69FA7C16"/>
    <w:rsid w:val="6A04054D"/>
    <w:rsid w:val="6A114303"/>
    <w:rsid w:val="6A220F1A"/>
    <w:rsid w:val="6A350C4E"/>
    <w:rsid w:val="6A9131F3"/>
    <w:rsid w:val="6AE54422"/>
    <w:rsid w:val="6AF6662F"/>
    <w:rsid w:val="6AFE54E3"/>
    <w:rsid w:val="6B0958D7"/>
    <w:rsid w:val="6B0B16E6"/>
    <w:rsid w:val="6B7C465A"/>
    <w:rsid w:val="6B926DE6"/>
    <w:rsid w:val="6B95531C"/>
    <w:rsid w:val="6B9C1D53"/>
    <w:rsid w:val="6BC30B0D"/>
    <w:rsid w:val="6BC93D43"/>
    <w:rsid w:val="6BDA3073"/>
    <w:rsid w:val="6BF14010"/>
    <w:rsid w:val="6C060AF4"/>
    <w:rsid w:val="6C1B20C5"/>
    <w:rsid w:val="6C3C4D5E"/>
    <w:rsid w:val="6C7D7342"/>
    <w:rsid w:val="6C8A5763"/>
    <w:rsid w:val="6CB30550"/>
    <w:rsid w:val="6CB542C8"/>
    <w:rsid w:val="6CC16C67"/>
    <w:rsid w:val="6CCB6146"/>
    <w:rsid w:val="6D06067F"/>
    <w:rsid w:val="6D092FC4"/>
    <w:rsid w:val="6D0C10ED"/>
    <w:rsid w:val="6D187E78"/>
    <w:rsid w:val="6D2A2569"/>
    <w:rsid w:val="6D372F2F"/>
    <w:rsid w:val="6D476E1E"/>
    <w:rsid w:val="6D853AE9"/>
    <w:rsid w:val="6DC740EE"/>
    <w:rsid w:val="6DD845E0"/>
    <w:rsid w:val="6DF344D4"/>
    <w:rsid w:val="6E23708D"/>
    <w:rsid w:val="6E4F046F"/>
    <w:rsid w:val="6E5901F1"/>
    <w:rsid w:val="6E592F78"/>
    <w:rsid w:val="6E6D2F89"/>
    <w:rsid w:val="6E8C2253"/>
    <w:rsid w:val="6EA55657"/>
    <w:rsid w:val="6EA8144D"/>
    <w:rsid w:val="6EA939B8"/>
    <w:rsid w:val="6EB74327"/>
    <w:rsid w:val="6EF37873"/>
    <w:rsid w:val="6F0C5947"/>
    <w:rsid w:val="6F406684"/>
    <w:rsid w:val="6F4364E0"/>
    <w:rsid w:val="6F451933"/>
    <w:rsid w:val="6F6504CE"/>
    <w:rsid w:val="6F6B01CD"/>
    <w:rsid w:val="6F6C3B1F"/>
    <w:rsid w:val="6F924815"/>
    <w:rsid w:val="6F975F07"/>
    <w:rsid w:val="6F9C351D"/>
    <w:rsid w:val="6F9E173E"/>
    <w:rsid w:val="6FA7614A"/>
    <w:rsid w:val="6FCA41C0"/>
    <w:rsid w:val="703765F8"/>
    <w:rsid w:val="705B725B"/>
    <w:rsid w:val="706E3C21"/>
    <w:rsid w:val="706F4F5E"/>
    <w:rsid w:val="708026AB"/>
    <w:rsid w:val="7089584F"/>
    <w:rsid w:val="708C19D7"/>
    <w:rsid w:val="70991948"/>
    <w:rsid w:val="709A5CAE"/>
    <w:rsid w:val="70AA54CB"/>
    <w:rsid w:val="70B14DA6"/>
    <w:rsid w:val="70CC7133"/>
    <w:rsid w:val="70D867D7"/>
    <w:rsid w:val="70F40F7B"/>
    <w:rsid w:val="70FC4273"/>
    <w:rsid w:val="710329F3"/>
    <w:rsid w:val="710D1A5A"/>
    <w:rsid w:val="71207824"/>
    <w:rsid w:val="7146353F"/>
    <w:rsid w:val="71504316"/>
    <w:rsid w:val="715440AF"/>
    <w:rsid w:val="715654F8"/>
    <w:rsid w:val="715D35E0"/>
    <w:rsid w:val="717B541E"/>
    <w:rsid w:val="71867B9D"/>
    <w:rsid w:val="719170B1"/>
    <w:rsid w:val="719F4F0C"/>
    <w:rsid w:val="71A7207D"/>
    <w:rsid w:val="71A843FB"/>
    <w:rsid w:val="71D22A66"/>
    <w:rsid w:val="71E116BB"/>
    <w:rsid w:val="71EE08B6"/>
    <w:rsid w:val="71FB49C3"/>
    <w:rsid w:val="721D0945"/>
    <w:rsid w:val="7234683B"/>
    <w:rsid w:val="723B362A"/>
    <w:rsid w:val="723F6B0D"/>
    <w:rsid w:val="72472554"/>
    <w:rsid w:val="724B21E2"/>
    <w:rsid w:val="72534367"/>
    <w:rsid w:val="726122F2"/>
    <w:rsid w:val="72700421"/>
    <w:rsid w:val="728E04A1"/>
    <w:rsid w:val="72A1300A"/>
    <w:rsid w:val="72B31154"/>
    <w:rsid w:val="72C56CEC"/>
    <w:rsid w:val="72C830E4"/>
    <w:rsid w:val="72D37256"/>
    <w:rsid w:val="72F52F5D"/>
    <w:rsid w:val="72F97C18"/>
    <w:rsid w:val="7318071B"/>
    <w:rsid w:val="73263829"/>
    <w:rsid w:val="73456F57"/>
    <w:rsid w:val="73583DBF"/>
    <w:rsid w:val="736A634B"/>
    <w:rsid w:val="73837C21"/>
    <w:rsid w:val="738F5872"/>
    <w:rsid w:val="739347FA"/>
    <w:rsid w:val="73A05E8D"/>
    <w:rsid w:val="73BC7ED5"/>
    <w:rsid w:val="73C51294"/>
    <w:rsid w:val="73D95C15"/>
    <w:rsid w:val="73E75662"/>
    <w:rsid w:val="73F7D00D"/>
    <w:rsid w:val="74244545"/>
    <w:rsid w:val="74247C52"/>
    <w:rsid w:val="742E519E"/>
    <w:rsid w:val="744F0B5E"/>
    <w:rsid w:val="745B563F"/>
    <w:rsid w:val="74642F43"/>
    <w:rsid w:val="7469457D"/>
    <w:rsid w:val="746F1200"/>
    <w:rsid w:val="7482527F"/>
    <w:rsid w:val="74964030"/>
    <w:rsid w:val="74BE79C4"/>
    <w:rsid w:val="74DF37B8"/>
    <w:rsid w:val="74E120FE"/>
    <w:rsid w:val="74E14FF5"/>
    <w:rsid w:val="751A089D"/>
    <w:rsid w:val="75257952"/>
    <w:rsid w:val="7539676F"/>
    <w:rsid w:val="75474030"/>
    <w:rsid w:val="7550463C"/>
    <w:rsid w:val="75720FA8"/>
    <w:rsid w:val="758B3E54"/>
    <w:rsid w:val="758D74E1"/>
    <w:rsid w:val="758F66A2"/>
    <w:rsid w:val="75924466"/>
    <w:rsid w:val="75980F8C"/>
    <w:rsid w:val="75C17839"/>
    <w:rsid w:val="75C72C14"/>
    <w:rsid w:val="75CD1F8D"/>
    <w:rsid w:val="75D306EF"/>
    <w:rsid w:val="75EF6AF4"/>
    <w:rsid w:val="76021819"/>
    <w:rsid w:val="76240235"/>
    <w:rsid w:val="762B73F3"/>
    <w:rsid w:val="762D5A75"/>
    <w:rsid w:val="76320737"/>
    <w:rsid w:val="7650288C"/>
    <w:rsid w:val="76816B04"/>
    <w:rsid w:val="76923680"/>
    <w:rsid w:val="769C6D8B"/>
    <w:rsid w:val="76A11909"/>
    <w:rsid w:val="76A33784"/>
    <w:rsid w:val="76A809F9"/>
    <w:rsid w:val="76AE12A0"/>
    <w:rsid w:val="76B761B3"/>
    <w:rsid w:val="76B850E0"/>
    <w:rsid w:val="76BF6C3C"/>
    <w:rsid w:val="76F20EFC"/>
    <w:rsid w:val="76FA290F"/>
    <w:rsid w:val="77013609"/>
    <w:rsid w:val="770519A8"/>
    <w:rsid w:val="770A4363"/>
    <w:rsid w:val="77207261"/>
    <w:rsid w:val="772623A5"/>
    <w:rsid w:val="774B7D02"/>
    <w:rsid w:val="77751ACE"/>
    <w:rsid w:val="777827CD"/>
    <w:rsid w:val="779A662E"/>
    <w:rsid w:val="779E422C"/>
    <w:rsid w:val="779F004E"/>
    <w:rsid w:val="779F1DFC"/>
    <w:rsid w:val="77BE04D4"/>
    <w:rsid w:val="77FC1D1F"/>
    <w:rsid w:val="7802311A"/>
    <w:rsid w:val="7817585E"/>
    <w:rsid w:val="784140F1"/>
    <w:rsid w:val="78650950"/>
    <w:rsid w:val="7866457C"/>
    <w:rsid w:val="78681D27"/>
    <w:rsid w:val="78AF56BA"/>
    <w:rsid w:val="78BA7FB5"/>
    <w:rsid w:val="78E92AD9"/>
    <w:rsid w:val="78F8486E"/>
    <w:rsid w:val="79204906"/>
    <w:rsid w:val="792A6432"/>
    <w:rsid w:val="792E3438"/>
    <w:rsid w:val="793842B6"/>
    <w:rsid w:val="793D367B"/>
    <w:rsid w:val="794762A8"/>
    <w:rsid w:val="794E7636"/>
    <w:rsid w:val="795F6BDE"/>
    <w:rsid w:val="79855B88"/>
    <w:rsid w:val="79AC70C5"/>
    <w:rsid w:val="79B0209F"/>
    <w:rsid w:val="79B7167F"/>
    <w:rsid w:val="79C63D00"/>
    <w:rsid w:val="79DF5EBF"/>
    <w:rsid w:val="7A2F56B9"/>
    <w:rsid w:val="7A3F28F8"/>
    <w:rsid w:val="7A465B3B"/>
    <w:rsid w:val="7A545120"/>
    <w:rsid w:val="7A547DD4"/>
    <w:rsid w:val="7A747E9D"/>
    <w:rsid w:val="7A7A598A"/>
    <w:rsid w:val="7A861051"/>
    <w:rsid w:val="7A8D30A6"/>
    <w:rsid w:val="7AD4717D"/>
    <w:rsid w:val="7AD718AD"/>
    <w:rsid w:val="7AE52143"/>
    <w:rsid w:val="7AE57229"/>
    <w:rsid w:val="7AEC62FB"/>
    <w:rsid w:val="7AF70A7A"/>
    <w:rsid w:val="7AFB0DFE"/>
    <w:rsid w:val="7AFC20DD"/>
    <w:rsid w:val="7B1F572E"/>
    <w:rsid w:val="7B422442"/>
    <w:rsid w:val="7B45569B"/>
    <w:rsid w:val="7B48736D"/>
    <w:rsid w:val="7B5964B7"/>
    <w:rsid w:val="7B5B0730"/>
    <w:rsid w:val="7B5B61EC"/>
    <w:rsid w:val="7B601297"/>
    <w:rsid w:val="7B693591"/>
    <w:rsid w:val="7B7E61EE"/>
    <w:rsid w:val="7B9003DA"/>
    <w:rsid w:val="7BB57E40"/>
    <w:rsid w:val="7BD33813"/>
    <w:rsid w:val="7BE530CE"/>
    <w:rsid w:val="7BFA77F7"/>
    <w:rsid w:val="7C112C1A"/>
    <w:rsid w:val="7C29201E"/>
    <w:rsid w:val="7C301AE8"/>
    <w:rsid w:val="7C3A6597"/>
    <w:rsid w:val="7C6A5883"/>
    <w:rsid w:val="7C736D87"/>
    <w:rsid w:val="7C773348"/>
    <w:rsid w:val="7CC471D3"/>
    <w:rsid w:val="7CCF43A9"/>
    <w:rsid w:val="7CD95B4E"/>
    <w:rsid w:val="7CFF4EA7"/>
    <w:rsid w:val="7D44666A"/>
    <w:rsid w:val="7D4E154B"/>
    <w:rsid w:val="7D5A2422"/>
    <w:rsid w:val="7D5B67C5"/>
    <w:rsid w:val="7D6F1533"/>
    <w:rsid w:val="7D6F2271"/>
    <w:rsid w:val="7D6F560B"/>
    <w:rsid w:val="7D973C11"/>
    <w:rsid w:val="7DAA285D"/>
    <w:rsid w:val="7DBD122E"/>
    <w:rsid w:val="7DD56578"/>
    <w:rsid w:val="7DF73BBE"/>
    <w:rsid w:val="7DFA656C"/>
    <w:rsid w:val="7E016119"/>
    <w:rsid w:val="7E423066"/>
    <w:rsid w:val="7E464A92"/>
    <w:rsid w:val="7E5D2128"/>
    <w:rsid w:val="7E6873EC"/>
    <w:rsid w:val="7E8217E6"/>
    <w:rsid w:val="7E8B14C8"/>
    <w:rsid w:val="7EAA4108"/>
    <w:rsid w:val="7EAF0A65"/>
    <w:rsid w:val="7EED1C30"/>
    <w:rsid w:val="7F132EBC"/>
    <w:rsid w:val="7F6B1B39"/>
    <w:rsid w:val="7F6B2B03"/>
    <w:rsid w:val="7F76A3FF"/>
    <w:rsid w:val="7F8452AD"/>
    <w:rsid w:val="7FA2006A"/>
    <w:rsid w:val="7FB126CD"/>
    <w:rsid w:val="7FB9212F"/>
    <w:rsid w:val="7FD826DE"/>
    <w:rsid w:val="7FE24F7C"/>
    <w:rsid w:val="7FEB4145"/>
    <w:rsid w:val="7FF15577"/>
    <w:rsid w:val="7FFF4513"/>
    <w:rsid w:val="8E77554D"/>
    <w:rsid w:val="AED7A9C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Arial" w:hAnsi="Arial" w:eastAsia="宋体" w:cs="Arial"/>
      <w:kern w:val="2"/>
      <w:sz w:val="21"/>
      <w:szCs w:val="21"/>
      <w:lang w:val="en-US" w:eastAsia="zh-CN" w:bidi="ar-SA"/>
    </w:rPr>
  </w:style>
  <w:style w:type="paragraph" w:styleId="2">
    <w:name w:val="heading 1"/>
    <w:basedOn w:val="1"/>
    <w:next w:val="1"/>
    <w:link w:val="59"/>
    <w:qFormat/>
    <w:uiPriority w:val="0"/>
    <w:pPr>
      <w:keepNext/>
      <w:keepLines/>
      <w:spacing w:before="340" w:beforeLines="0" w:after="330" w:afterLines="0" w:line="576" w:lineRule="auto"/>
      <w:jc w:val="center"/>
      <w:outlineLvl w:val="0"/>
    </w:pPr>
    <w:rPr>
      <w:b/>
      <w:spacing w:val="14"/>
      <w:kern w:val="44"/>
      <w:sz w:val="36"/>
      <w:szCs w:val="20"/>
    </w:rPr>
  </w:style>
  <w:style w:type="paragraph" w:styleId="3">
    <w:name w:val="heading 2"/>
    <w:basedOn w:val="1"/>
    <w:next w:val="1"/>
    <w:link w:val="60"/>
    <w:qFormat/>
    <w:uiPriority w:val="0"/>
    <w:pPr>
      <w:keepNext/>
      <w:keepLines/>
      <w:spacing w:before="260" w:beforeLines="0" w:after="260" w:afterLines="0" w:line="413" w:lineRule="auto"/>
      <w:outlineLvl w:val="1"/>
    </w:pPr>
    <w:rPr>
      <w:rFonts w:ascii="Arial" w:hAnsi="Arial" w:eastAsia="黑体"/>
      <w:b/>
      <w:bCs/>
      <w:sz w:val="32"/>
      <w:szCs w:val="32"/>
    </w:rPr>
  </w:style>
  <w:style w:type="paragraph" w:styleId="4">
    <w:name w:val="heading 3"/>
    <w:basedOn w:val="1"/>
    <w:next w:val="1"/>
    <w:link w:val="61"/>
    <w:qFormat/>
    <w:uiPriority w:val="0"/>
    <w:pPr>
      <w:outlineLvl w:val="2"/>
    </w:pPr>
    <w:rPr>
      <w:b/>
      <w:bCs/>
      <w:spacing w:val="14"/>
      <w:kern w:val="24"/>
      <w:sz w:val="28"/>
      <w:szCs w:val="20"/>
    </w:rPr>
  </w:style>
  <w:style w:type="paragraph" w:styleId="5">
    <w:name w:val="heading 4"/>
    <w:basedOn w:val="1"/>
    <w:next w:val="1"/>
    <w:link w:val="62"/>
    <w:qFormat/>
    <w:uiPriority w:val="0"/>
    <w:pPr>
      <w:keepNext/>
      <w:keepLines/>
      <w:spacing w:before="280" w:beforeLines="0" w:after="290" w:afterLines="0" w:line="372" w:lineRule="auto"/>
      <w:outlineLvl w:val="3"/>
    </w:pPr>
    <w:rPr>
      <w:rFonts w:eastAsia="黑体"/>
      <w:b/>
      <w:bCs/>
      <w:sz w:val="30"/>
      <w:szCs w:val="28"/>
    </w:rPr>
  </w:style>
  <w:style w:type="paragraph" w:styleId="6">
    <w:name w:val="heading 5"/>
    <w:basedOn w:val="1"/>
    <w:next w:val="7"/>
    <w:link w:val="63"/>
    <w:qFormat/>
    <w:uiPriority w:val="0"/>
    <w:pPr>
      <w:keepNext/>
      <w:keepLines/>
      <w:tabs>
        <w:tab w:val="left" w:pos="1060"/>
      </w:tabs>
      <w:spacing w:before="280" w:beforeLines="0" w:after="290" w:afterLines="0"/>
      <w:ind w:left="425" w:hanging="85" w:firstLineChars="200"/>
      <w:jc w:val="left"/>
      <w:outlineLvl w:val="4"/>
    </w:pPr>
    <w:rPr>
      <w:rFonts w:eastAsia="黑体"/>
      <w:sz w:val="32"/>
      <w:szCs w:val="20"/>
    </w:rPr>
  </w:style>
  <w:style w:type="paragraph" w:styleId="8">
    <w:name w:val="heading 6"/>
    <w:basedOn w:val="1"/>
    <w:next w:val="7"/>
    <w:link w:val="65"/>
    <w:qFormat/>
    <w:uiPriority w:val="0"/>
    <w:pPr>
      <w:keepNext/>
      <w:keepLines/>
      <w:tabs>
        <w:tab w:val="left" w:pos="1152"/>
      </w:tabs>
      <w:spacing w:before="240" w:beforeLines="0" w:after="64" w:afterLines="0" w:line="317" w:lineRule="auto"/>
      <w:ind w:left="1152" w:hanging="1152"/>
      <w:jc w:val="left"/>
      <w:outlineLvl w:val="5"/>
    </w:pPr>
    <w:rPr>
      <w:rFonts w:ascii="Arial" w:hAnsi="Arial" w:eastAsia="黑体"/>
      <w:b/>
      <w:bCs/>
      <w:spacing w:val="6"/>
      <w:sz w:val="24"/>
    </w:rPr>
  </w:style>
  <w:style w:type="paragraph" w:styleId="9">
    <w:name w:val="heading 7"/>
    <w:basedOn w:val="1"/>
    <w:next w:val="7"/>
    <w:link w:val="66"/>
    <w:qFormat/>
    <w:uiPriority w:val="0"/>
    <w:pPr>
      <w:keepNext/>
      <w:keepLines/>
      <w:tabs>
        <w:tab w:val="left" w:pos="1296"/>
      </w:tabs>
      <w:spacing w:before="240" w:beforeLines="0" w:after="64" w:afterLines="0" w:line="317" w:lineRule="auto"/>
      <w:ind w:left="1296" w:hanging="1296"/>
      <w:jc w:val="left"/>
      <w:outlineLvl w:val="6"/>
    </w:pPr>
    <w:rPr>
      <w:b/>
      <w:bCs/>
      <w:spacing w:val="6"/>
      <w:sz w:val="24"/>
    </w:rPr>
  </w:style>
  <w:style w:type="paragraph" w:styleId="10">
    <w:name w:val="heading 8"/>
    <w:basedOn w:val="1"/>
    <w:next w:val="7"/>
    <w:link w:val="67"/>
    <w:qFormat/>
    <w:uiPriority w:val="0"/>
    <w:pPr>
      <w:keepNext/>
      <w:keepLines/>
      <w:tabs>
        <w:tab w:val="left" w:pos="1440"/>
      </w:tabs>
      <w:spacing w:before="240" w:beforeLines="0" w:after="64" w:afterLines="0" w:line="317" w:lineRule="auto"/>
      <w:ind w:left="1440" w:hanging="1440"/>
      <w:jc w:val="left"/>
      <w:outlineLvl w:val="7"/>
    </w:pPr>
    <w:rPr>
      <w:rFonts w:ascii="Arial" w:hAnsi="Arial" w:eastAsia="黑体"/>
      <w:spacing w:val="6"/>
      <w:sz w:val="24"/>
    </w:rPr>
  </w:style>
  <w:style w:type="paragraph" w:styleId="11">
    <w:name w:val="heading 9"/>
    <w:basedOn w:val="1"/>
    <w:next w:val="7"/>
    <w:link w:val="68"/>
    <w:qFormat/>
    <w:uiPriority w:val="0"/>
    <w:pPr>
      <w:keepNext/>
      <w:keepLines/>
      <w:tabs>
        <w:tab w:val="left" w:pos="1584"/>
      </w:tabs>
      <w:spacing w:before="240" w:beforeLines="0" w:after="64" w:afterLines="0" w:line="317" w:lineRule="auto"/>
      <w:ind w:left="1584" w:hanging="1584"/>
      <w:jc w:val="left"/>
      <w:outlineLvl w:val="8"/>
    </w:pPr>
    <w:rPr>
      <w:rFonts w:ascii="Arial" w:hAnsi="Arial" w:eastAsia="黑体"/>
      <w:spacing w:val="6"/>
      <w:sz w:val="24"/>
    </w:rPr>
  </w:style>
  <w:style w:type="character" w:default="1" w:styleId="51">
    <w:name w:val="Default Paragraph Font"/>
    <w:qFormat/>
    <w:uiPriority w:val="0"/>
  </w:style>
  <w:style w:type="table" w:default="1" w:styleId="49">
    <w:name w:val="Normal Table"/>
    <w:unhideWhenUsed/>
    <w:qFormat/>
    <w:uiPriority w:val="99"/>
    <w:tblPr>
      <w:tblCellMar>
        <w:top w:w="0" w:type="dxa"/>
        <w:left w:w="108" w:type="dxa"/>
        <w:bottom w:w="0" w:type="dxa"/>
        <w:right w:w="108" w:type="dxa"/>
      </w:tblCellMar>
    </w:tblPr>
  </w:style>
  <w:style w:type="paragraph" w:styleId="7">
    <w:name w:val="Normal Indent"/>
    <w:basedOn w:val="1"/>
    <w:link w:val="64"/>
    <w:qFormat/>
    <w:uiPriority w:val="0"/>
    <w:pPr>
      <w:spacing w:line="460" w:lineRule="exact"/>
      <w:ind w:firstLine="420"/>
    </w:pPr>
    <w:rPr>
      <w:spacing w:val="14"/>
      <w:kern w:val="24"/>
      <w:sz w:val="24"/>
      <w:szCs w:val="20"/>
    </w:rPr>
  </w:style>
  <w:style w:type="paragraph" w:styleId="12">
    <w:name w:val="toc 7"/>
    <w:basedOn w:val="1"/>
    <w:next w:val="1"/>
    <w:qFormat/>
    <w:uiPriority w:val="0"/>
    <w:pPr>
      <w:ind w:left="2520" w:leftChars="1200"/>
    </w:pPr>
  </w:style>
  <w:style w:type="paragraph" w:styleId="13">
    <w:name w:val="caption"/>
    <w:basedOn w:val="1"/>
    <w:next w:val="1"/>
    <w:qFormat/>
    <w:uiPriority w:val="0"/>
    <w:rPr>
      <w:rFonts w:ascii="方正综艺简体" w:hAnsi="方正综艺简体" w:eastAsia="方正综艺简体" w:cs="方正综艺简体"/>
      <w:sz w:val="20"/>
      <w:szCs w:val="20"/>
    </w:rPr>
  </w:style>
  <w:style w:type="paragraph" w:styleId="14">
    <w:name w:val="Document Map"/>
    <w:basedOn w:val="1"/>
    <w:link w:val="69"/>
    <w:qFormat/>
    <w:uiPriority w:val="0"/>
    <w:rPr>
      <w:rFonts w:ascii="宋体"/>
      <w:sz w:val="18"/>
      <w:szCs w:val="18"/>
    </w:rPr>
  </w:style>
  <w:style w:type="paragraph" w:styleId="15">
    <w:name w:val="toa heading"/>
    <w:basedOn w:val="1"/>
    <w:next w:val="1"/>
    <w:qFormat/>
    <w:uiPriority w:val="0"/>
    <w:pPr>
      <w:spacing w:before="120"/>
    </w:pPr>
    <w:rPr>
      <w:rFonts w:ascii="Arial" w:hAnsi="Arial"/>
      <w:sz w:val="24"/>
    </w:rPr>
  </w:style>
  <w:style w:type="paragraph" w:styleId="16">
    <w:name w:val="annotation text"/>
    <w:basedOn w:val="1"/>
    <w:link w:val="70"/>
    <w:qFormat/>
    <w:uiPriority w:val="0"/>
    <w:pPr>
      <w:jc w:val="left"/>
    </w:pPr>
  </w:style>
  <w:style w:type="paragraph" w:styleId="17">
    <w:name w:val="Salutation"/>
    <w:basedOn w:val="1"/>
    <w:next w:val="1"/>
    <w:qFormat/>
    <w:uiPriority w:val="0"/>
    <w:rPr>
      <w:rFonts w:ascii="宋体" w:hAnsi="宋体"/>
      <w:spacing w:val="20"/>
      <w:sz w:val="24"/>
      <w:szCs w:val="20"/>
    </w:rPr>
  </w:style>
  <w:style w:type="paragraph" w:styleId="18">
    <w:name w:val="Body Text 3"/>
    <w:basedOn w:val="1"/>
    <w:link w:val="71"/>
    <w:qFormat/>
    <w:uiPriority w:val="0"/>
    <w:pPr>
      <w:spacing w:before="312" w:beforeLines="100" w:after="312" w:afterLines="100" w:line="400" w:lineRule="exact"/>
    </w:pPr>
    <w:rPr>
      <w:rFonts w:ascii="宋体" w:hAnsi="宋体"/>
      <w:sz w:val="24"/>
    </w:rPr>
  </w:style>
  <w:style w:type="paragraph" w:styleId="19">
    <w:name w:val="Body Text"/>
    <w:basedOn w:val="1"/>
    <w:link w:val="72"/>
    <w:qFormat/>
    <w:uiPriority w:val="0"/>
    <w:pPr>
      <w:spacing w:after="120" w:afterLines="0"/>
    </w:pPr>
  </w:style>
  <w:style w:type="paragraph" w:styleId="20">
    <w:name w:val="Body Text Indent"/>
    <w:basedOn w:val="1"/>
    <w:next w:val="1"/>
    <w:link w:val="74"/>
    <w:qFormat/>
    <w:uiPriority w:val="0"/>
    <w:pPr>
      <w:spacing w:line="460" w:lineRule="exact"/>
      <w:ind w:firstLine="420"/>
    </w:pPr>
    <w:rPr>
      <w:rFonts w:ascii="宋体"/>
      <w:kern w:val="24"/>
      <w:sz w:val="28"/>
      <w:szCs w:val="20"/>
    </w:rPr>
  </w:style>
  <w:style w:type="paragraph" w:styleId="21">
    <w:name w:val="Block Text"/>
    <w:basedOn w:val="1"/>
    <w:qFormat/>
    <w:uiPriority w:val="0"/>
    <w:pPr>
      <w:adjustRightInd w:val="0"/>
      <w:ind w:left="420" w:right="33"/>
      <w:jc w:val="left"/>
      <w:textAlignment w:val="baseline"/>
    </w:pPr>
    <w:rPr>
      <w:kern w:val="0"/>
      <w:sz w:val="24"/>
    </w:rPr>
  </w:style>
  <w:style w:type="paragraph" w:styleId="22">
    <w:name w:val="List Bullet 2"/>
    <w:basedOn w:val="1"/>
    <w:qFormat/>
    <w:uiPriority w:val="0"/>
    <w:pPr>
      <w:tabs>
        <w:tab w:val="left" w:pos="780"/>
      </w:tabs>
      <w:spacing w:line="460" w:lineRule="exact"/>
      <w:ind w:left="780" w:leftChars="200" w:hanging="360" w:hangingChars="200"/>
    </w:pPr>
    <w:rPr>
      <w:spacing w:val="12"/>
      <w:sz w:val="24"/>
      <w:szCs w:val="20"/>
    </w:rPr>
  </w:style>
  <w:style w:type="paragraph" w:styleId="23">
    <w:name w:val="index 4"/>
    <w:basedOn w:val="1"/>
    <w:next w:val="1"/>
    <w:qFormat/>
    <w:uiPriority w:val="0"/>
    <w:pPr>
      <w:ind w:left="600" w:leftChars="600"/>
    </w:pPr>
    <w:rPr>
      <w:rFonts w:ascii="方正综艺简体" w:hAnsi="方正综艺简体" w:eastAsia="方正综艺简体" w:cs="方正综艺简体"/>
    </w:rPr>
  </w:style>
  <w:style w:type="paragraph" w:styleId="24">
    <w:name w:val="toc 5"/>
    <w:basedOn w:val="1"/>
    <w:next w:val="1"/>
    <w:qFormat/>
    <w:uiPriority w:val="0"/>
    <w:pPr>
      <w:ind w:left="1680" w:leftChars="800"/>
    </w:pPr>
  </w:style>
  <w:style w:type="paragraph" w:styleId="25">
    <w:name w:val="toc 3"/>
    <w:basedOn w:val="1"/>
    <w:next w:val="1"/>
    <w:qFormat/>
    <w:uiPriority w:val="39"/>
    <w:pPr>
      <w:ind w:left="840" w:leftChars="400"/>
    </w:pPr>
  </w:style>
  <w:style w:type="paragraph" w:styleId="26">
    <w:name w:val="Plain Text"/>
    <w:basedOn w:val="1"/>
    <w:link w:val="75"/>
    <w:qFormat/>
    <w:uiPriority w:val="0"/>
    <w:rPr>
      <w:rFonts w:ascii="宋体" w:hAnsi="Courier New"/>
      <w:szCs w:val="20"/>
    </w:rPr>
  </w:style>
  <w:style w:type="paragraph" w:styleId="27">
    <w:name w:val="toc 8"/>
    <w:basedOn w:val="1"/>
    <w:next w:val="1"/>
    <w:qFormat/>
    <w:uiPriority w:val="0"/>
    <w:pPr>
      <w:ind w:left="2940" w:leftChars="1400"/>
    </w:pPr>
  </w:style>
  <w:style w:type="paragraph" w:styleId="28">
    <w:name w:val="Date"/>
    <w:basedOn w:val="1"/>
    <w:next w:val="1"/>
    <w:link w:val="76"/>
    <w:qFormat/>
    <w:uiPriority w:val="0"/>
    <w:pPr>
      <w:ind w:left="100" w:leftChars="2500"/>
    </w:pPr>
    <w:rPr>
      <w:sz w:val="24"/>
    </w:rPr>
  </w:style>
  <w:style w:type="paragraph" w:styleId="29">
    <w:name w:val="Body Text Indent 2"/>
    <w:basedOn w:val="1"/>
    <w:link w:val="77"/>
    <w:qFormat/>
    <w:uiPriority w:val="0"/>
    <w:pPr>
      <w:spacing w:line="460" w:lineRule="exact"/>
      <w:ind w:firstLine="510" w:firstLineChars="203"/>
    </w:pPr>
    <w:rPr>
      <w:spacing w:val="14"/>
      <w:kern w:val="24"/>
      <w:sz w:val="24"/>
      <w:szCs w:val="20"/>
    </w:rPr>
  </w:style>
  <w:style w:type="paragraph" w:styleId="30">
    <w:name w:val="Balloon Text"/>
    <w:basedOn w:val="1"/>
    <w:link w:val="78"/>
    <w:qFormat/>
    <w:uiPriority w:val="0"/>
    <w:rPr>
      <w:sz w:val="18"/>
      <w:szCs w:val="18"/>
    </w:rPr>
  </w:style>
  <w:style w:type="paragraph" w:styleId="31">
    <w:name w:val="footer"/>
    <w:basedOn w:val="1"/>
    <w:link w:val="79"/>
    <w:qFormat/>
    <w:uiPriority w:val="0"/>
    <w:pPr>
      <w:tabs>
        <w:tab w:val="center" w:pos="4153"/>
        <w:tab w:val="right" w:pos="8306"/>
      </w:tabs>
      <w:snapToGrid w:val="0"/>
      <w:jc w:val="left"/>
    </w:pPr>
    <w:rPr>
      <w:sz w:val="18"/>
      <w:szCs w:val="18"/>
    </w:rPr>
  </w:style>
  <w:style w:type="paragraph" w:styleId="32">
    <w:name w:val="header"/>
    <w:basedOn w:val="1"/>
    <w:link w:val="80"/>
    <w:qFormat/>
    <w:uiPriority w:val="0"/>
    <w:pPr>
      <w:pBdr>
        <w:bottom w:val="single" w:color="auto" w:sz="6" w:space="1"/>
      </w:pBdr>
      <w:tabs>
        <w:tab w:val="center" w:pos="4153"/>
        <w:tab w:val="right" w:pos="8306"/>
      </w:tabs>
      <w:snapToGrid w:val="0"/>
      <w:jc w:val="center"/>
    </w:pPr>
    <w:rPr>
      <w:sz w:val="18"/>
      <w:szCs w:val="18"/>
    </w:rPr>
  </w:style>
  <w:style w:type="paragraph" w:styleId="33">
    <w:name w:val="Signature"/>
    <w:basedOn w:val="1"/>
    <w:qFormat/>
    <w:uiPriority w:val="0"/>
    <w:pPr>
      <w:spacing w:line="460" w:lineRule="exact"/>
      <w:ind w:left="100" w:leftChars="2100" w:firstLine="200" w:firstLineChars="200"/>
    </w:pPr>
    <w:rPr>
      <w:spacing w:val="12"/>
      <w:sz w:val="24"/>
      <w:szCs w:val="20"/>
    </w:rPr>
  </w:style>
  <w:style w:type="paragraph" w:styleId="34">
    <w:name w:val="toc 1"/>
    <w:basedOn w:val="1"/>
    <w:next w:val="1"/>
    <w:qFormat/>
    <w:uiPriority w:val="39"/>
    <w:rPr>
      <w:rFonts w:ascii="Arial" w:hAnsi="Arial" w:cs="Arial"/>
      <w:bCs/>
      <w:kern w:val="0"/>
    </w:rPr>
  </w:style>
  <w:style w:type="paragraph" w:styleId="35">
    <w:name w:val="toc 4"/>
    <w:basedOn w:val="1"/>
    <w:next w:val="1"/>
    <w:qFormat/>
    <w:uiPriority w:val="0"/>
    <w:pPr>
      <w:ind w:left="1260" w:leftChars="600"/>
    </w:pPr>
  </w:style>
  <w:style w:type="paragraph" w:styleId="36">
    <w:name w:val="Subtitle"/>
    <w:basedOn w:val="1"/>
    <w:next w:val="1"/>
    <w:link w:val="81"/>
    <w:qFormat/>
    <w:uiPriority w:val="0"/>
    <w:pPr>
      <w:spacing w:before="240" w:after="60" w:line="312" w:lineRule="auto"/>
      <w:jc w:val="center"/>
      <w:outlineLvl w:val="1"/>
    </w:pPr>
    <w:rPr>
      <w:rFonts w:ascii="Cambria" w:hAnsi="Cambria"/>
      <w:b/>
      <w:bCs/>
      <w:kern w:val="28"/>
      <w:sz w:val="32"/>
      <w:szCs w:val="32"/>
    </w:rPr>
  </w:style>
  <w:style w:type="paragraph" w:styleId="37">
    <w:name w:val="toc 6"/>
    <w:basedOn w:val="1"/>
    <w:next w:val="1"/>
    <w:qFormat/>
    <w:uiPriority w:val="0"/>
    <w:pPr>
      <w:ind w:left="2100" w:leftChars="1000"/>
    </w:pPr>
  </w:style>
  <w:style w:type="paragraph" w:styleId="38">
    <w:name w:val="Body Text Indent 3"/>
    <w:basedOn w:val="1"/>
    <w:link w:val="82"/>
    <w:qFormat/>
    <w:uiPriority w:val="0"/>
    <w:pPr>
      <w:spacing w:line="460" w:lineRule="exact"/>
      <w:ind w:firstLine="555" w:firstLineChars="221"/>
    </w:pPr>
    <w:rPr>
      <w:spacing w:val="14"/>
      <w:kern w:val="24"/>
      <w:sz w:val="24"/>
      <w:szCs w:val="20"/>
    </w:rPr>
  </w:style>
  <w:style w:type="paragraph" w:styleId="39">
    <w:name w:val="table of figures"/>
    <w:basedOn w:val="1"/>
    <w:next w:val="1"/>
    <w:qFormat/>
    <w:uiPriority w:val="0"/>
    <w:pPr>
      <w:widowControl/>
      <w:ind w:left="840" w:leftChars="200" w:hanging="420" w:hangingChars="200"/>
      <w:jc w:val="left"/>
    </w:pPr>
    <w:rPr>
      <w:kern w:val="0"/>
      <w:szCs w:val="20"/>
    </w:rPr>
  </w:style>
  <w:style w:type="paragraph" w:styleId="40">
    <w:name w:val="toc 2"/>
    <w:basedOn w:val="1"/>
    <w:next w:val="1"/>
    <w:qFormat/>
    <w:uiPriority w:val="39"/>
    <w:pPr>
      <w:ind w:left="420" w:leftChars="200"/>
    </w:pPr>
  </w:style>
  <w:style w:type="paragraph" w:styleId="41">
    <w:name w:val="toc 9"/>
    <w:basedOn w:val="1"/>
    <w:next w:val="1"/>
    <w:qFormat/>
    <w:uiPriority w:val="0"/>
    <w:pPr>
      <w:ind w:left="3360" w:leftChars="1600"/>
    </w:pPr>
  </w:style>
  <w:style w:type="paragraph" w:styleId="42">
    <w:name w:val="Body Text 2"/>
    <w:basedOn w:val="1"/>
    <w:link w:val="83"/>
    <w:qFormat/>
    <w:uiPriority w:val="0"/>
    <w:pPr>
      <w:jc w:val="center"/>
    </w:pPr>
    <w:rPr>
      <w:rFonts w:ascii="宋体" w:hAnsi="宋体"/>
      <w:sz w:val="44"/>
    </w:rPr>
  </w:style>
  <w:style w:type="paragraph" w:styleId="43">
    <w:name w:val="HTML Preformatted"/>
    <w:basedOn w:val="1"/>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Times New Roman"/>
      <w:szCs w:val="22"/>
    </w:rPr>
  </w:style>
  <w:style w:type="paragraph" w:styleId="44">
    <w:name w:val="Normal (Web)"/>
    <w:basedOn w:val="1"/>
    <w:qFormat/>
    <w:uiPriority w:val="99"/>
    <w:pPr>
      <w:widowControl/>
      <w:spacing w:before="100" w:beforeLines="0" w:beforeAutospacing="1" w:after="100" w:afterLines="0" w:afterAutospacing="1"/>
      <w:jc w:val="left"/>
    </w:pPr>
    <w:rPr>
      <w:rFonts w:ascii="Arial Unicode MS" w:hAnsi="Arial Unicode MS" w:eastAsia="Times New Roman"/>
      <w:color w:val="000000"/>
      <w:kern w:val="0"/>
      <w:sz w:val="24"/>
    </w:rPr>
  </w:style>
  <w:style w:type="paragraph" w:styleId="45">
    <w:name w:val="Title"/>
    <w:basedOn w:val="1"/>
    <w:next w:val="1"/>
    <w:link w:val="84"/>
    <w:qFormat/>
    <w:uiPriority w:val="0"/>
    <w:pPr>
      <w:spacing w:before="240" w:after="60"/>
      <w:jc w:val="center"/>
      <w:outlineLvl w:val="0"/>
    </w:pPr>
    <w:rPr>
      <w:rFonts w:ascii="Cambria" w:hAnsi="Cambria"/>
      <w:b/>
      <w:bCs/>
      <w:sz w:val="32"/>
      <w:szCs w:val="32"/>
    </w:rPr>
  </w:style>
  <w:style w:type="paragraph" w:styleId="46">
    <w:name w:val="annotation subject"/>
    <w:basedOn w:val="16"/>
    <w:next w:val="16"/>
    <w:link w:val="85"/>
    <w:qFormat/>
    <w:uiPriority w:val="0"/>
    <w:rPr>
      <w:b/>
      <w:bCs/>
    </w:rPr>
  </w:style>
  <w:style w:type="paragraph" w:styleId="47">
    <w:name w:val="Body Text First Indent"/>
    <w:basedOn w:val="19"/>
    <w:next w:val="37"/>
    <w:link w:val="73"/>
    <w:qFormat/>
    <w:uiPriority w:val="0"/>
    <w:pPr>
      <w:tabs>
        <w:tab w:val="left" w:pos="482"/>
        <w:tab w:val="left" w:pos="2183"/>
        <w:tab w:val="left" w:pos="3884"/>
        <w:tab w:val="left" w:pos="5585"/>
      </w:tabs>
      <w:adjustRightInd w:val="0"/>
      <w:spacing w:after="0" w:afterLines="0"/>
      <w:ind w:firstLine="482"/>
      <w:textAlignment w:val="baseline"/>
    </w:pPr>
    <w:rPr>
      <w:kern w:val="0"/>
      <w:sz w:val="24"/>
      <w:szCs w:val="20"/>
    </w:rPr>
  </w:style>
  <w:style w:type="paragraph" w:styleId="48">
    <w:name w:val="Body Text First Indent 2"/>
    <w:basedOn w:val="20"/>
    <w:qFormat/>
    <w:uiPriority w:val="0"/>
    <w:pPr>
      <w:tabs>
        <w:tab w:val="left" w:pos="482"/>
        <w:tab w:val="left" w:pos="2183"/>
        <w:tab w:val="left" w:pos="3884"/>
        <w:tab w:val="left" w:pos="5585"/>
      </w:tabs>
      <w:ind w:firstLine="210" w:firstLineChars="200"/>
    </w:pPr>
    <w:rPr>
      <w:rFonts w:ascii="宋体" w:hAnsi="宋体" w:eastAsia="宋体" w:cs="Times New Roman"/>
    </w:rPr>
  </w:style>
  <w:style w:type="table" w:styleId="50">
    <w:name w:val="Table Grid"/>
    <w:basedOn w:val="4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2">
    <w:name w:val="Strong"/>
    <w:qFormat/>
    <w:uiPriority w:val="0"/>
    <w:rPr>
      <w:b/>
      <w:bCs/>
    </w:rPr>
  </w:style>
  <w:style w:type="character" w:styleId="53">
    <w:name w:val="page number"/>
    <w:basedOn w:val="51"/>
    <w:qFormat/>
    <w:uiPriority w:val="0"/>
  </w:style>
  <w:style w:type="character" w:styleId="54">
    <w:name w:val="FollowedHyperlink"/>
    <w:qFormat/>
    <w:uiPriority w:val="0"/>
    <w:rPr>
      <w:color w:val="2C4C78"/>
      <w:u w:val="none"/>
    </w:rPr>
  </w:style>
  <w:style w:type="character" w:styleId="55">
    <w:name w:val="Emphasis"/>
    <w:qFormat/>
    <w:uiPriority w:val="0"/>
    <w:rPr>
      <w:rFonts w:ascii="Arial Black" w:hAnsi="Arial Black" w:eastAsia="黑体"/>
      <w:b/>
      <w:bCs/>
      <w:spacing w:val="0"/>
      <w:sz w:val="21"/>
      <w:lang w:eastAsia="zh-CN"/>
    </w:rPr>
  </w:style>
  <w:style w:type="character" w:styleId="56">
    <w:name w:val="line number"/>
    <w:basedOn w:val="51"/>
    <w:qFormat/>
    <w:uiPriority w:val="0"/>
  </w:style>
  <w:style w:type="character" w:styleId="57">
    <w:name w:val="Hyperlink"/>
    <w:qFormat/>
    <w:uiPriority w:val="99"/>
    <w:rPr>
      <w:color w:val="333333"/>
      <w:u w:val="none"/>
    </w:rPr>
  </w:style>
  <w:style w:type="character" w:styleId="58">
    <w:name w:val="annotation reference"/>
    <w:qFormat/>
    <w:uiPriority w:val="0"/>
    <w:rPr>
      <w:sz w:val="21"/>
      <w:szCs w:val="21"/>
    </w:rPr>
  </w:style>
  <w:style w:type="character" w:customStyle="1" w:styleId="59">
    <w:name w:val="标题 1 Char"/>
    <w:link w:val="2"/>
    <w:qFormat/>
    <w:uiPriority w:val="0"/>
    <w:rPr>
      <w:rFonts w:eastAsia="宋体"/>
      <w:b/>
      <w:spacing w:val="14"/>
      <w:kern w:val="44"/>
      <w:sz w:val="36"/>
      <w:lang w:val="en-US" w:eastAsia="zh-CN" w:bidi="ar-SA"/>
    </w:rPr>
  </w:style>
  <w:style w:type="character" w:customStyle="1" w:styleId="60">
    <w:name w:val="标题 2 Char"/>
    <w:link w:val="3"/>
    <w:qFormat/>
    <w:uiPriority w:val="0"/>
    <w:rPr>
      <w:rFonts w:ascii="Arial" w:hAnsi="Arial" w:eastAsia="黑体"/>
      <w:b/>
      <w:bCs/>
      <w:kern w:val="2"/>
      <w:sz w:val="32"/>
      <w:szCs w:val="32"/>
      <w:lang w:val="en-US" w:eastAsia="zh-CN" w:bidi="ar-SA"/>
    </w:rPr>
  </w:style>
  <w:style w:type="character" w:customStyle="1" w:styleId="61">
    <w:name w:val="标题 3 Char"/>
    <w:link w:val="4"/>
    <w:qFormat/>
    <w:uiPriority w:val="0"/>
    <w:rPr>
      <w:rFonts w:ascii="Arial" w:hAnsi="Arial" w:eastAsia="黑体"/>
      <w:spacing w:val="14"/>
      <w:kern w:val="24"/>
      <w:sz w:val="28"/>
    </w:rPr>
  </w:style>
  <w:style w:type="character" w:customStyle="1" w:styleId="62">
    <w:name w:val="标题 4 Char"/>
    <w:link w:val="5"/>
    <w:qFormat/>
    <w:uiPriority w:val="0"/>
    <w:rPr>
      <w:rFonts w:eastAsia="黑体"/>
      <w:b/>
      <w:bCs/>
      <w:kern w:val="2"/>
      <w:sz w:val="30"/>
      <w:szCs w:val="28"/>
    </w:rPr>
  </w:style>
  <w:style w:type="character" w:customStyle="1" w:styleId="63">
    <w:name w:val="标题 5 Char"/>
    <w:link w:val="6"/>
    <w:qFormat/>
    <w:uiPriority w:val="0"/>
    <w:rPr>
      <w:rFonts w:eastAsia="黑体"/>
      <w:kern w:val="2"/>
      <w:sz w:val="32"/>
    </w:rPr>
  </w:style>
  <w:style w:type="character" w:customStyle="1" w:styleId="64">
    <w:name w:val="正文缩进 Char"/>
    <w:link w:val="7"/>
    <w:qFormat/>
    <w:uiPriority w:val="0"/>
    <w:rPr>
      <w:spacing w:val="14"/>
      <w:kern w:val="24"/>
      <w:sz w:val="24"/>
    </w:rPr>
  </w:style>
  <w:style w:type="character" w:customStyle="1" w:styleId="65">
    <w:name w:val="标题 6 Char"/>
    <w:link w:val="8"/>
    <w:qFormat/>
    <w:uiPriority w:val="0"/>
    <w:rPr>
      <w:rFonts w:ascii="Arial" w:hAnsi="Arial" w:eastAsia="黑体"/>
      <w:b/>
      <w:bCs/>
      <w:spacing w:val="6"/>
      <w:kern w:val="2"/>
      <w:sz w:val="24"/>
      <w:szCs w:val="24"/>
    </w:rPr>
  </w:style>
  <w:style w:type="character" w:customStyle="1" w:styleId="66">
    <w:name w:val="标题 7 Char"/>
    <w:link w:val="9"/>
    <w:qFormat/>
    <w:uiPriority w:val="0"/>
    <w:rPr>
      <w:b/>
      <w:bCs/>
      <w:spacing w:val="6"/>
      <w:kern w:val="2"/>
      <w:sz w:val="24"/>
      <w:szCs w:val="24"/>
    </w:rPr>
  </w:style>
  <w:style w:type="character" w:customStyle="1" w:styleId="67">
    <w:name w:val="标题 8 Char"/>
    <w:link w:val="10"/>
    <w:qFormat/>
    <w:uiPriority w:val="0"/>
    <w:rPr>
      <w:rFonts w:ascii="Arial" w:hAnsi="Arial" w:eastAsia="黑体"/>
      <w:spacing w:val="6"/>
      <w:kern w:val="2"/>
      <w:sz w:val="24"/>
      <w:szCs w:val="24"/>
    </w:rPr>
  </w:style>
  <w:style w:type="character" w:customStyle="1" w:styleId="68">
    <w:name w:val="标题 9 Char"/>
    <w:link w:val="11"/>
    <w:qFormat/>
    <w:uiPriority w:val="0"/>
    <w:rPr>
      <w:rFonts w:ascii="Arial" w:hAnsi="Arial" w:eastAsia="黑体"/>
      <w:spacing w:val="6"/>
      <w:kern w:val="2"/>
      <w:sz w:val="24"/>
      <w:szCs w:val="24"/>
    </w:rPr>
  </w:style>
  <w:style w:type="character" w:customStyle="1" w:styleId="69">
    <w:name w:val="文档结构图 Char"/>
    <w:link w:val="14"/>
    <w:qFormat/>
    <w:uiPriority w:val="0"/>
    <w:rPr>
      <w:rFonts w:ascii="宋体"/>
      <w:kern w:val="2"/>
      <w:sz w:val="18"/>
      <w:szCs w:val="18"/>
    </w:rPr>
  </w:style>
  <w:style w:type="character" w:customStyle="1" w:styleId="70">
    <w:name w:val="批注文字 Char"/>
    <w:link w:val="16"/>
    <w:qFormat/>
    <w:uiPriority w:val="0"/>
    <w:rPr>
      <w:kern w:val="2"/>
      <w:sz w:val="21"/>
      <w:szCs w:val="24"/>
    </w:rPr>
  </w:style>
  <w:style w:type="character" w:customStyle="1" w:styleId="71">
    <w:name w:val="正文文本 3 Char"/>
    <w:link w:val="18"/>
    <w:qFormat/>
    <w:uiPriority w:val="0"/>
    <w:rPr>
      <w:rFonts w:ascii="宋体" w:hAnsi="宋体"/>
      <w:kern w:val="2"/>
      <w:sz w:val="24"/>
      <w:szCs w:val="24"/>
    </w:rPr>
  </w:style>
  <w:style w:type="character" w:customStyle="1" w:styleId="72">
    <w:name w:val="正文文本 Char"/>
    <w:link w:val="19"/>
    <w:qFormat/>
    <w:uiPriority w:val="0"/>
    <w:rPr>
      <w:kern w:val="2"/>
      <w:sz w:val="21"/>
      <w:szCs w:val="24"/>
    </w:rPr>
  </w:style>
  <w:style w:type="character" w:customStyle="1" w:styleId="73">
    <w:name w:val="正文首行缩进 Char"/>
    <w:link w:val="47"/>
    <w:qFormat/>
    <w:uiPriority w:val="0"/>
    <w:rPr>
      <w:sz w:val="24"/>
    </w:rPr>
  </w:style>
  <w:style w:type="character" w:customStyle="1" w:styleId="74">
    <w:name w:val="正文文本缩进 Char"/>
    <w:link w:val="20"/>
    <w:qFormat/>
    <w:uiPriority w:val="0"/>
    <w:rPr>
      <w:rFonts w:ascii="宋体"/>
      <w:kern w:val="24"/>
      <w:sz w:val="28"/>
    </w:rPr>
  </w:style>
  <w:style w:type="character" w:customStyle="1" w:styleId="75">
    <w:name w:val="纯文本 Char"/>
    <w:link w:val="26"/>
    <w:qFormat/>
    <w:uiPriority w:val="0"/>
    <w:rPr>
      <w:rFonts w:ascii="宋体" w:hAnsi="Courier New"/>
      <w:kern w:val="2"/>
      <w:sz w:val="21"/>
    </w:rPr>
  </w:style>
  <w:style w:type="character" w:customStyle="1" w:styleId="76">
    <w:name w:val="日期 Char"/>
    <w:link w:val="28"/>
    <w:qFormat/>
    <w:uiPriority w:val="0"/>
    <w:rPr>
      <w:kern w:val="2"/>
      <w:sz w:val="24"/>
      <w:szCs w:val="24"/>
    </w:rPr>
  </w:style>
  <w:style w:type="character" w:customStyle="1" w:styleId="77">
    <w:name w:val="正文文本缩进 2 Char"/>
    <w:link w:val="29"/>
    <w:qFormat/>
    <w:uiPriority w:val="0"/>
    <w:rPr>
      <w:spacing w:val="14"/>
      <w:kern w:val="24"/>
      <w:sz w:val="24"/>
    </w:rPr>
  </w:style>
  <w:style w:type="character" w:customStyle="1" w:styleId="78">
    <w:name w:val="批注框文本 Char"/>
    <w:link w:val="30"/>
    <w:qFormat/>
    <w:uiPriority w:val="0"/>
    <w:rPr>
      <w:kern w:val="2"/>
      <w:sz w:val="18"/>
      <w:szCs w:val="18"/>
    </w:rPr>
  </w:style>
  <w:style w:type="character" w:customStyle="1" w:styleId="79">
    <w:name w:val="页脚 Char"/>
    <w:link w:val="31"/>
    <w:qFormat/>
    <w:uiPriority w:val="0"/>
    <w:rPr>
      <w:kern w:val="2"/>
      <w:sz w:val="18"/>
      <w:szCs w:val="18"/>
    </w:rPr>
  </w:style>
  <w:style w:type="character" w:customStyle="1" w:styleId="80">
    <w:name w:val="页眉 Char"/>
    <w:link w:val="32"/>
    <w:qFormat/>
    <w:uiPriority w:val="0"/>
    <w:rPr>
      <w:kern w:val="2"/>
      <w:sz w:val="18"/>
      <w:szCs w:val="18"/>
    </w:rPr>
  </w:style>
  <w:style w:type="character" w:customStyle="1" w:styleId="81">
    <w:name w:val="副标题 Char"/>
    <w:link w:val="36"/>
    <w:qFormat/>
    <w:uiPriority w:val="0"/>
    <w:rPr>
      <w:rFonts w:ascii="Cambria" w:hAnsi="Cambria" w:cs="Times New Roman"/>
      <w:b/>
      <w:bCs/>
      <w:kern w:val="28"/>
      <w:sz w:val="32"/>
      <w:szCs w:val="32"/>
    </w:rPr>
  </w:style>
  <w:style w:type="character" w:customStyle="1" w:styleId="82">
    <w:name w:val="正文文本缩进 3 Char"/>
    <w:link w:val="38"/>
    <w:qFormat/>
    <w:uiPriority w:val="0"/>
    <w:rPr>
      <w:spacing w:val="14"/>
      <w:kern w:val="24"/>
      <w:sz w:val="24"/>
    </w:rPr>
  </w:style>
  <w:style w:type="character" w:customStyle="1" w:styleId="83">
    <w:name w:val="正文文本 2 Char"/>
    <w:link w:val="42"/>
    <w:qFormat/>
    <w:uiPriority w:val="0"/>
    <w:rPr>
      <w:rFonts w:ascii="宋体" w:hAnsi="宋体"/>
      <w:kern w:val="2"/>
      <w:sz w:val="44"/>
      <w:szCs w:val="24"/>
    </w:rPr>
  </w:style>
  <w:style w:type="character" w:customStyle="1" w:styleId="84">
    <w:name w:val="标题 Char"/>
    <w:link w:val="45"/>
    <w:qFormat/>
    <w:uiPriority w:val="0"/>
    <w:rPr>
      <w:rFonts w:ascii="Cambria" w:hAnsi="Cambria" w:cs="Times New Roman"/>
      <w:b/>
      <w:bCs/>
      <w:kern w:val="2"/>
      <w:sz w:val="32"/>
      <w:szCs w:val="32"/>
    </w:rPr>
  </w:style>
  <w:style w:type="character" w:customStyle="1" w:styleId="85">
    <w:name w:val="批注主题 Char"/>
    <w:link w:val="46"/>
    <w:qFormat/>
    <w:uiPriority w:val="0"/>
    <w:rPr>
      <w:b/>
      <w:bCs/>
      <w:kern w:val="2"/>
      <w:sz w:val="21"/>
      <w:szCs w:val="24"/>
    </w:rPr>
  </w:style>
  <w:style w:type="paragraph" w:customStyle="1" w:styleId="86">
    <w:name w:val="表格文字"/>
    <w:basedOn w:val="1"/>
    <w:next w:val="19"/>
    <w:qFormat/>
    <w:uiPriority w:val="0"/>
    <w:pPr>
      <w:widowControl w:val="0"/>
      <w:adjustRightInd w:val="0"/>
      <w:spacing w:line="420" w:lineRule="atLeast"/>
      <w:textAlignment w:val="baseline"/>
    </w:pPr>
  </w:style>
  <w:style w:type="character" w:customStyle="1" w:styleId="87">
    <w:name w:val="明显引用 Char1"/>
    <w:qFormat/>
    <w:uiPriority w:val="30"/>
    <w:rPr>
      <w:b/>
      <w:bCs/>
      <w:i/>
      <w:iCs/>
      <w:color w:val="4F81BD"/>
      <w:kern w:val="2"/>
      <w:sz w:val="21"/>
      <w:szCs w:val="24"/>
    </w:rPr>
  </w:style>
  <w:style w:type="character" w:customStyle="1" w:styleId="88">
    <w:name w:val="font61"/>
    <w:qFormat/>
    <w:uiPriority w:val="0"/>
    <w:rPr>
      <w:rFonts w:hint="default" w:ascii="Times New Roman" w:hAnsi="Times New Roman" w:cs="Times New Roman"/>
      <w:color w:val="000000"/>
      <w:sz w:val="21"/>
      <w:szCs w:val="21"/>
      <w:u w:val="none"/>
    </w:rPr>
  </w:style>
  <w:style w:type="character" w:customStyle="1" w:styleId="89">
    <w:name w:val="font01"/>
    <w:basedOn w:val="51"/>
    <w:qFormat/>
    <w:uiPriority w:val="0"/>
    <w:rPr>
      <w:rFonts w:hint="default" w:ascii="Times New Roman" w:hAnsi="Times New Roman" w:cs="Times New Roman"/>
      <w:color w:val="000000"/>
      <w:sz w:val="20"/>
      <w:szCs w:val="20"/>
      <w:u w:val="none"/>
    </w:rPr>
  </w:style>
  <w:style w:type="character" w:customStyle="1" w:styleId="90">
    <w:name w:val="_Style 89"/>
    <w:qFormat/>
    <w:uiPriority w:val="0"/>
    <w:rPr>
      <w:i/>
      <w:iCs/>
      <w:color w:val="808080"/>
    </w:rPr>
  </w:style>
  <w:style w:type="character" w:customStyle="1" w:styleId="91">
    <w:name w:val="批注主题 Char2"/>
    <w:qFormat/>
    <w:uiPriority w:val="99"/>
    <w:rPr>
      <w:b/>
      <w:bCs/>
      <w:kern w:val="2"/>
      <w:sz w:val="21"/>
      <w:szCs w:val="24"/>
    </w:rPr>
  </w:style>
  <w:style w:type="character" w:customStyle="1" w:styleId="92">
    <w:name w:val="副标题 Char1"/>
    <w:qFormat/>
    <w:uiPriority w:val="0"/>
    <w:rPr>
      <w:rFonts w:ascii="方正综艺简体" w:hAnsi="方正综艺简体" w:cs="方正综艺简体"/>
      <w:b/>
      <w:bCs/>
      <w:kern w:val="28"/>
      <w:sz w:val="32"/>
      <w:szCs w:val="32"/>
    </w:rPr>
  </w:style>
  <w:style w:type="character" w:customStyle="1" w:styleId="93">
    <w:name w:val="样式2 Char"/>
    <w:link w:val="94"/>
    <w:qFormat/>
    <w:uiPriority w:val="0"/>
    <w:rPr>
      <w:rFonts w:ascii="方正综艺简体" w:hAnsi="方正综艺简体" w:eastAsia="方正综艺简体" w:cs="方正综艺简体"/>
      <w:bCs/>
      <w:kern w:val="44"/>
      <w:sz w:val="44"/>
      <w:szCs w:val="44"/>
    </w:rPr>
  </w:style>
  <w:style w:type="paragraph" w:customStyle="1" w:styleId="94">
    <w:name w:val="样式2"/>
    <w:basedOn w:val="2"/>
    <w:link w:val="93"/>
    <w:qFormat/>
    <w:uiPriority w:val="0"/>
    <w:pPr>
      <w:tabs>
        <w:tab w:val="left" w:pos="482"/>
        <w:tab w:val="left" w:pos="2183"/>
        <w:tab w:val="left" w:pos="3884"/>
        <w:tab w:val="left" w:pos="5585"/>
      </w:tabs>
      <w:adjustRightInd w:val="0"/>
      <w:spacing w:before="0" w:after="240" w:line="360" w:lineRule="auto"/>
      <w:textAlignment w:val="baseline"/>
    </w:pPr>
    <w:rPr>
      <w:rFonts w:ascii="方正综艺简体" w:hAnsi="方正综艺简体" w:eastAsia="方正综艺简体"/>
      <w:b w:val="0"/>
      <w:bCs/>
      <w:spacing w:val="0"/>
      <w:sz w:val="44"/>
      <w:szCs w:val="44"/>
    </w:rPr>
  </w:style>
  <w:style w:type="character" w:customStyle="1" w:styleId="95">
    <w:name w:val="标题 2 Char Char Char"/>
    <w:qFormat/>
    <w:uiPriority w:val="0"/>
    <w:rPr>
      <w:rFonts w:ascii="方正综艺简体" w:hAnsi="方正综艺简体" w:eastAsia="方正综艺简体" w:cs="方正综艺简体"/>
      <w:sz w:val="32"/>
      <w:szCs w:val="32"/>
      <w:lang w:val="en-US" w:eastAsia="zh-CN" w:bidi="ar-SA"/>
    </w:rPr>
  </w:style>
  <w:style w:type="character" w:customStyle="1" w:styleId="96">
    <w:name w:val="批注文字 Char Char"/>
    <w:qFormat/>
    <w:uiPriority w:val="0"/>
    <w:rPr>
      <w:rFonts w:ascii="方正综艺简体" w:hAnsi="方正综艺简体" w:eastAsia="方正综艺简体" w:cs="方正综艺简体"/>
      <w:sz w:val="28"/>
      <w:szCs w:val="20"/>
    </w:rPr>
  </w:style>
  <w:style w:type="character" w:customStyle="1" w:styleId="97">
    <w:name w:val="表格内文字 Char"/>
    <w:link w:val="98"/>
    <w:qFormat/>
    <w:uiPriority w:val="0"/>
    <w:rPr>
      <w:rFonts w:ascii="宋体"/>
      <w:kern w:val="2"/>
      <w:sz w:val="21"/>
      <w:szCs w:val="32"/>
    </w:rPr>
  </w:style>
  <w:style w:type="paragraph" w:customStyle="1" w:styleId="98">
    <w:name w:val="表格内文字"/>
    <w:basedOn w:val="1"/>
    <w:link w:val="97"/>
    <w:qFormat/>
    <w:uiPriority w:val="0"/>
    <w:pPr>
      <w:spacing w:line="0" w:lineRule="atLeast"/>
      <w:jc w:val="center"/>
    </w:pPr>
    <w:rPr>
      <w:rFonts w:ascii="宋体"/>
      <w:szCs w:val="32"/>
    </w:rPr>
  </w:style>
  <w:style w:type="character" w:customStyle="1" w:styleId="99">
    <w:name w:val="标题5 Char Char"/>
    <w:link w:val="100"/>
    <w:qFormat/>
    <w:uiPriority w:val="0"/>
    <w:rPr>
      <w:rFonts w:eastAsia="宋体"/>
      <w:b/>
      <w:bCs/>
      <w:sz w:val="24"/>
      <w:szCs w:val="32"/>
      <w:lang w:bidi="ar-SA"/>
    </w:rPr>
  </w:style>
  <w:style w:type="paragraph" w:customStyle="1" w:styleId="100">
    <w:name w:val="标题5"/>
    <w:basedOn w:val="4"/>
    <w:link w:val="99"/>
    <w:qFormat/>
    <w:uiPriority w:val="0"/>
    <w:pPr>
      <w:numPr>
        <w:ilvl w:val="2"/>
        <w:numId w:val="1"/>
      </w:numPr>
      <w:tabs>
        <w:tab w:val="left" w:pos="1903"/>
      </w:tabs>
      <w:ind w:left="1903"/>
    </w:pPr>
    <w:rPr>
      <w:rFonts w:ascii="Times New Roman" w:hAnsi="Times New Roman" w:eastAsia="宋体"/>
      <w:b w:val="0"/>
      <w:bCs w:val="0"/>
      <w:spacing w:val="0"/>
      <w:kern w:val="0"/>
      <w:sz w:val="24"/>
      <w:szCs w:val="32"/>
    </w:rPr>
  </w:style>
  <w:style w:type="character" w:customStyle="1" w:styleId="101">
    <w:name w:val=" Char Char9"/>
    <w:qFormat/>
    <w:uiPriority w:val="0"/>
    <w:rPr>
      <w:kern w:val="2"/>
      <w:sz w:val="21"/>
      <w:szCs w:val="22"/>
    </w:rPr>
  </w:style>
  <w:style w:type="character" w:customStyle="1" w:styleId="102">
    <w:name w:val="页眉 Char Char"/>
    <w:qFormat/>
    <w:uiPriority w:val="0"/>
    <w:rPr>
      <w:rFonts w:eastAsia="宋体"/>
      <w:kern w:val="2"/>
      <w:sz w:val="18"/>
      <w:lang w:val="en-US" w:eastAsia="zh-CN" w:bidi="ar-SA"/>
    </w:rPr>
  </w:style>
  <w:style w:type="character" w:customStyle="1" w:styleId="103">
    <w:name w:val="font51"/>
    <w:qFormat/>
    <w:uiPriority w:val="0"/>
    <w:rPr>
      <w:rFonts w:hint="eastAsia" w:ascii="宋体" w:hAnsi="宋体" w:eastAsia="宋体" w:cs="宋体"/>
      <w:color w:val="000000"/>
      <w:sz w:val="21"/>
      <w:szCs w:val="21"/>
      <w:u w:val="none"/>
      <w:vertAlign w:val="superscript"/>
    </w:rPr>
  </w:style>
  <w:style w:type="character" w:customStyle="1" w:styleId="104">
    <w:name w:val="文档结构图 Char1"/>
    <w:qFormat/>
    <w:uiPriority w:val="0"/>
    <w:rPr>
      <w:rFonts w:ascii="方正综艺简体"/>
      <w:kern w:val="2"/>
      <w:sz w:val="18"/>
      <w:szCs w:val="18"/>
    </w:rPr>
  </w:style>
  <w:style w:type="character" w:customStyle="1" w:styleId="105">
    <w:name w:val="正文文本 Char1"/>
    <w:qFormat/>
    <w:uiPriority w:val="0"/>
    <w:rPr>
      <w:kern w:val="2"/>
      <w:sz w:val="21"/>
      <w:szCs w:val="22"/>
    </w:rPr>
  </w:style>
  <w:style w:type="character" w:customStyle="1" w:styleId="106">
    <w:name w:val="批注框文本 Char2"/>
    <w:semiHidden/>
    <w:qFormat/>
    <w:uiPriority w:val="99"/>
    <w:rPr>
      <w:kern w:val="2"/>
      <w:sz w:val="18"/>
      <w:szCs w:val="18"/>
    </w:rPr>
  </w:style>
  <w:style w:type="character" w:customStyle="1" w:styleId="107">
    <w:name w:val="明显引用 Char"/>
    <w:link w:val="108"/>
    <w:qFormat/>
    <w:uiPriority w:val="0"/>
    <w:rPr>
      <w:b/>
      <w:bCs/>
      <w:i/>
      <w:iCs/>
      <w:color w:val="4F81BD"/>
      <w:kern w:val="2"/>
      <w:sz w:val="21"/>
      <w:szCs w:val="22"/>
    </w:rPr>
  </w:style>
  <w:style w:type="paragraph" w:styleId="108">
    <w:name w:val="Intense Quote"/>
    <w:basedOn w:val="1"/>
    <w:next w:val="1"/>
    <w:link w:val="107"/>
    <w:qFormat/>
    <w:uiPriority w:val="0"/>
    <w:pPr>
      <w:pBdr>
        <w:bottom w:val="single" w:color="4F81BD" w:sz="4" w:space="4"/>
      </w:pBdr>
      <w:spacing w:before="200" w:after="280"/>
      <w:ind w:left="936" w:right="936"/>
    </w:pPr>
    <w:rPr>
      <w:b/>
      <w:bCs/>
      <w:i/>
      <w:iCs/>
      <w:color w:val="4F81BD"/>
      <w:szCs w:val="22"/>
    </w:rPr>
  </w:style>
  <w:style w:type="character" w:customStyle="1" w:styleId="109">
    <w:name w:val="_Style 108"/>
    <w:qFormat/>
    <w:uiPriority w:val="0"/>
    <w:rPr>
      <w:b/>
      <w:bCs/>
      <w:i/>
      <w:iCs/>
      <w:color w:val="4F81BD"/>
    </w:rPr>
  </w:style>
  <w:style w:type="character" w:customStyle="1" w:styleId="110">
    <w:name w:val="引用 Char2"/>
    <w:qFormat/>
    <w:uiPriority w:val="29"/>
    <w:rPr>
      <w:i/>
      <w:iCs/>
      <w:color w:val="404040"/>
      <w:kern w:val="2"/>
      <w:sz w:val="21"/>
      <w:szCs w:val="24"/>
    </w:rPr>
  </w:style>
  <w:style w:type="character" w:customStyle="1" w:styleId="111">
    <w:name w:val="明显引用 Char2"/>
    <w:qFormat/>
    <w:uiPriority w:val="30"/>
    <w:rPr>
      <w:b/>
      <w:bCs/>
      <w:i/>
      <w:iCs/>
      <w:color w:val="4F81BD"/>
      <w:kern w:val="2"/>
      <w:sz w:val="21"/>
      <w:szCs w:val="24"/>
    </w:rPr>
  </w:style>
  <w:style w:type="character" w:customStyle="1" w:styleId="112">
    <w:name w:val="unnamed51"/>
    <w:qFormat/>
    <w:uiPriority w:val="0"/>
    <w:rPr>
      <w:sz w:val="22"/>
      <w:szCs w:val="22"/>
    </w:rPr>
  </w:style>
  <w:style w:type="character" w:customStyle="1" w:styleId="113">
    <w:name w:val="_Style 112"/>
    <w:qFormat/>
    <w:uiPriority w:val="0"/>
    <w:rPr>
      <w:smallCaps/>
      <w:color w:val="C0504D"/>
      <w:u w:val="single"/>
    </w:rPr>
  </w:style>
  <w:style w:type="character" w:customStyle="1" w:styleId="114">
    <w:name w:val="页脚 Char Char"/>
    <w:qFormat/>
    <w:uiPriority w:val="0"/>
    <w:rPr>
      <w:rFonts w:eastAsia="宋体"/>
      <w:kern w:val="2"/>
      <w:sz w:val="18"/>
      <w:lang w:val="en-US" w:eastAsia="zh-CN" w:bidi="ar-SA"/>
    </w:rPr>
  </w:style>
  <w:style w:type="character" w:customStyle="1" w:styleId="115">
    <w:name w:val="textcontents"/>
    <w:qFormat/>
    <w:uiPriority w:val="0"/>
    <w:rPr>
      <w:rFonts w:cs="方正综艺简体"/>
    </w:rPr>
  </w:style>
  <w:style w:type="character" w:customStyle="1" w:styleId="116">
    <w:name w:val="_Style 115"/>
    <w:qFormat/>
    <w:uiPriority w:val="0"/>
    <w:rPr>
      <w:b/>
      <w:bCs/>
      <w:smallCaps/>
      <w:spacing w:val="5"/>
    </w:rPr>
  </w:style>
  <w:style w:type="character" w:customStyle="1" w:styleId="117">
    <w:name w:val="批注主题 Char1"/>
    <w:qFormat/>
    <w:uiPriority w:val="0"/>
    <w:rPr>
      <w:b/>
      <w:bCs/>
      <w:kern w:val="2"/>
      <w:sz w:val="21"/>
      <w:szCs w:val="22"/>
    </w:rPr>
  </w:style>
  <w:style w:type="character" w:customStyle="1" w:styleId="118">
    <w:name w:val="_Style 117"/>
    <w:qFormat/>
    <w:uiPriority w:val="0"/>
    <w:rPr>
      <w:b/>
      <w:bCs/>
      <w:smallCaps/>
      <w:color w:val="C0504D"/>
      <w:spacing w:val="5"/>
      <w:u w:val="single"/>
    </w:rPr>
  </w:style>
  <w:style w:type="character" w:customStyle="1" w:styleId="119">
    <w:name w:val="标题4 Char Char"/>
    <w:link w:val="120"/>
    <w:qFormat/>
    <w:uiPriority w:val="0"/>
    <w:rPr>
      <w:rFonts w:eastAsia="宋体"/>
      <w:b/>
      <w:bCs/>
      <w:sz w:val="24"/>
      <w:szCs w:val="32"/>
      <w:lang w:bidi="ar-SA"/>
    </w:rPr>
  </w:style>
  <w:style w:type="paragraph" w:customStyle="1" w:styleId="120">
    <w:name w:val="标题4"/>
    <w:basedOn w:val="3"/>
    <w:next w:val="23"/>
    <w:link w:val="119"/>
    <w:qFormat/>
    <w:uiPriority w:val="0"/>
    <w:pPr>
      <w:numPr>
        <w:ilvl w:val="1"/>
        <w:numId w:val="1"/>
      </w:numPr>
      <w:tabs>
        <w:tab w:val="left" w:pos="1483"/>
      </w:tabs>
    </w:pPr>
    <w:rPr>
      <w:rFonts w:ascii="Times New Roman" w:hAnsi="Times New Roman" w:eastAsia="宋体"/>
      <w:kern w:val="0"/>
      <w:sz w:val="24"/>
    </w:rPr>
  </w:style>
  <w:style w:type="character" w:customStyle="1" w:styleId="121">
    <w:name w:val="普通(网站) Char Char"/>
    <w:qFormat/>
    <w:uiPriority w:val="0"/>
    <w:rPr>
      <w:rFonts w:ascii="宋体" w:hAnsi="宋体" w:eastAsia="宋体"/>
      <w:sz w:val="24"/>
      <w:lang w:val="en-US" w:eastAsia="zh-CN" w:bidi="ar-SA"/>
    </w:rPr>
  </w:style>
  <w:style w:type="character" w:customStyle="1" w:styleId="122">
    <w:name w:val="引用 Char"/>
    <w:link w:val="123"/>
    <w:qFormat/>
    <w:uiPriority w:val="0"/>
    <w:rPr>
      <w:i/>
      <w:iCs/>
      <w:color w:val="000000"/>
      <w:kern w:val="2"/>
      <w:sz w:val="21"/>
      <w:szCs w:val="24"/>
    </w:rPr>
  </w:style>
  <w:style w:type="paragraph" w:styleId="123">
    <w:name w:val="Quote"/>
    <w:basedOn w:val="1"/>
    <w:next w:val="1"/>
    <w:link w:val="122"/>
    <w:qFormat/>
    <w:uiPriority w:val="0"/>
    <w:rPr>
      <w:i/>
      <w:iCs/>
      <w:color w:val="000000"/>
    </w:rPr>
  </w:style>
  <w:style w:type="character" w:customStyle="1" w:styleId="124">
    <w:name w:val="Para head"/>
    <w:qFormat/>
    <w:uiPriority w:val="0"/>
    <w:rPr>
      <w:rFonts w:ascii="Arial" w:hAnsi="Arial" w:eastAsia="Times New Roman"/>
      <w:sz w:val="20"/>
    </w:rPr>
  </w:style>
  <w:style w:type="character" w:customStyle="1" w:styleId="125">
    <w:name w:val="样式 行距: 1.5 倍行距 Char Char"/>
    <w:link w:val="126"/>
    <w:qFormat/>
    <w:uiPriority w:val="0"/>
    <w:rPr>
      <w:kern w:val="2"/>
      <w:sz w:val="24"/>
    </w:rPr>
  </w:style>
  <w:style w:type="paragraph" w:customStyle="1" w:styleId="126">
    <w:name w:val="样式 行距: 1.5 倍行距"/>
    <w:basedOn w:val="1"/>
    <w:link w:val="125"/>
    <w:qFormat/>
    <w:uiPriority w:val="0"/>
    <w:pPr>
      <w:spacing w:line="360" w:lineRule="auto"/>
      <w:ind w:firstLine="480" w:firstLineChars="200"/>
    </w:pPr>
    <w:rPr>
      <w:sz w:val="24"/>
      <w:szCs w:val="20"/>
    </w:rPr>
  </w:style>
  <w:style w:type="character" w:customStyle="1" w:styleId="127">
    <w:name w:val="引用 Char1"/>
    <w:qFormat/>
    <w:uiPriority w:val="29"/>
    <w:rPr>
      <w:i/>
      <w:iCs/>
      <w:color w:val="000000"/>
      <w:kern w:val="2"/>
      <w:sz w:val="21"/>
      <w:szCs w:val="24"/>
    </w:rPr>
  </w:style>
  <w:style w:type="character" w:customStyle="1" w:styleId="128">
    <w:name w:val="标题 Char1"/>
    <w:qFormat/>
    <w:uiPriority w:val="10"/>
    <w:rPr>
      <w:rFonts w:ascii="Calibri Light" w:hAnsi="Calibri Light" w:cs="Times New Roman"/>
      <w:b/>
      <w:bCs/>
      <w:kern w:val="2"/>
      <w:sz w:val="32"/>
      <w:szCs w:val="32"/>
    </w:rPr>
  </w:style>
  <w:style w:type="character" w:customStyle="1" w:styleId="129">
    <w:name w:val="alert2"/>
    <w:basedOn w:val="51"/>
    <w:qFormat/>
    <w:uiPriority w:val="0"/>
  </w:style>
  <w:style w:type="character" w:customStyle="1" w:styleId="130">
    <w:name w:val="样式 表格内文字 + (符号) 宋体 Char"/>
    <w:basedOn w:val="97"/>
    <w:link w:val="131"/>
    <w:qFormat/>
    <w:uiPriority w:val="0"/>
  </w:style>
  <w:style w:type="paragraph" w:customStyle="1" w:styleId="131">
    <w:name w:val="样式 表格内文字 + (符号) 宋体"/>
    <w:basedOn w:val="98"/>
    <w:link w:val="130"/>
    <w:qFormat/>
    <w:uiPriority w:val="0"/>
  </w:style>
  <w:style w:type="character" w:customStyle="1" w:styleId="132">
    <w:name w:val="a011"/>
    <w:qFormat/>
    <w:uiPriority w:val="0"/>
    <w:rPr>
      <w:sz w:val="21"/>
      <w:szCs w:val="21"/>
      <w:u w:val="none"/>
    </w:rPr>
  </w:style>
  <w:style w:type="character" w:customStyle="1" w:styleId="133">
    <w:name w:val="Blockquote Char Char"/>
    <w:qFormat/>
    <w:uiPriority w:val="0"/>
    <w:rPr>
      <w:rFonts w:eastAsia="宋体"/>
      <w:sz w:val="24"/>
      <w:lang w:val="en-US" w:eastAsia="zh-CN" w:bidi="ar-SA"/>
    </w:rPr>
  </w:style>
  <w:style w:type="character" w:customStyle="1" w:styleId="134">
    <w:name w:val="small"/>
    <w:basedOn w:val="51"/>
    <w:qFormat/>
    <w:uiPriority w:val="0"/>
  </w:style>
  <w:style w:type="character" w:customStyle="1" w:styleId="135">
    <w:name w:val="表正文 Char2"/>
    <w:qFormat/>
    <w:uiPriority w:val="0"/>
    <w:rPr>
      <w:rFonts w:eastAsia="宋体"/>
      <w:spacing w:val="14"/>
      <w:kern w:val="24"/>
      <w:sz w:val="24"/>
      <w:lang w:val="en-US" w:eastAsia="zh-CN" w:bidi="ar-SA"/>
    </w:rPr>
  </w:style>
  <w:style w:type="character" w:customStyle="1" w:styleId="136">
    <w:name w:val="日期 Char1"/>
    <w:qFormat/>
    <w:uiPriority w:val="0"/>
    <w:rPr>
      <w:kern w:val="2"/>
      <w:sz w:val="21"/>
      <w:szCs w:val="22"/>
    </w:rPr>
  </w:style>
  <w:style w:type="character" w:customStyle="1" w:styleId="137">
    <w:name w:val="font21"/>
    <w:basedOn w:val="51"/>
    <w:qFormat/>
    <w:uiPriority w:val="0"/>
    <w:rPr>
      <w:rFonts w:hint="eastAsia" w:ascii="宋体" w:hAnsi="宋体" w:eastAsia="宋体" w:cs="宋体"/>
      <w:color w:val="000000"/>
      <w:sz w:val="20"/>
      <w:szCs w:val="20"/>
      <w:u w:val="none"/>
    </w:rPr>
  </w:style>
  <w:style w:type="character" w:customStyle="1" w:styleId="138">
    <w:name w:val="批注框文本 Char1"/>
    <w:qFormat/>
    <w:uiPriority w:val="0"/>
    <w:rPr>
      <w:kern w:val="2"/>
      <w:sz w:val="18"/>
      <w:szCs w:val="18"/>
    </w:rPr>
  </w:style>
  <w:style w:type="character" w:customStyle="1" w:styleId="139">
    <w:name w:val="正文 + (中文) 仿宋_GB2312 Char Char"/>
    <w:link w:val="140"/>
    <w:qFormat/>
    <w:uiPriority w:val="0"/>
    <w:rPr>
      <w:sz w:val="24"/>
      <w:szCs w:val="24"/>
    </w:rPr>
  </w:style>
  <w:style w:type="paragraph" w:customStyle="1" w:styleId="140">
    <w:name w:val="正文 + (中文) 仿宋_GB2312"/>
    <w:basedOn w:val="1"/>
    <w:link w:val="139"/>
    <w:qFormat/>
    <w:uiPriority w:val="0"/>
    <w:pPr>
      <w:adjustRightInd w:val="0"/>
      <w:snapToGrid w:val="0"/>
      <w:spacing w:line="360" w:lineRule="exact"/>
      <w:ind w:firstLine="408" w:firstLineChars="170"/>
      <w:textAlignment w:val="baseline"/>
    </w:pPr>
    <w:rPr>
      <w:kern w:val="0"/>
      <w:sz w:val="24"/>
    </w:rPr>
  </w:style>
  <w:style w:type="character" w:customStyle="1" w:styleId="141">
    <w:name w:val="正文文本 Char2"/>
    <w:qFormat/>
    <w:uiPriority w:val="0"/>
    <w:rPr>
      <w:kern w:val="2"/>
      <w:sz w:val="30"/>
    </w:rPr>
  </w:style>
  <w:style w:type="character" w:customStyle="1" w:styleId="142">
    <w:name w:val="副标题 Char2"/>
    <w:qFormat/>
    <w:uiPriority w:val="11"/>
    <w:rPr>
      <w:rFonts w:ascii="Calibri Light" w:hAnsi="Calibri Light" w:cs="Times New Roman"/>
      <w:b/>
      <w:bCs/>
      <w:kern w:val="28"/>
      <w:sz w:val="32"/>
      <w:szCs w:val="32"/>
    </w:rPr>
  </w:style>
  <w:style w:type="character" w:customStyle="1" w:styleId="143">
    <w:name w:val="批注文字 Char1"/>
    <w:qFormat/>
    <w:uiPriority w:val="0"/>
    <w:rPr>
      <w:kern w:val="2"/>
      <w:sz w:val="21"/>
    </w:rPr>
  </w:style>
  <w:style w:type="character" w:customStyle="1" w:styleId="144">
    <w:name w:val="apple-converted-space"/>
    <w:qFormat/>
    <w:uiPriority w:val="0"/>
  </w:style>
  <w:style w:type="paragraph" w:customStyle="1" w:styleId="145">
    <w:name w:val="font5"/>
    <w:basedOn w:val="1"/>
    <w:qFormat/>
    <w:uiPriority w:val="0"/>
    <w:pPr>
      <w:widowControl/>
      <w:spacing w:before="100" w:beforeLines="0" w:beforeAutospacing="1" w:after="100" w:afterLines="0" w:afterAutospacing="1"/>
      <w:jc w:val="left"/>
    </w:pPr>
    <w:rPr>
      <w:rFonts w:hint="eastAsia" w:ascii="宋体" w:hAnsi="宋体" w:cs="Courier New"/>
      <w:kern w:val="0"/>
      <w:sz w:val="18"/>
      <w:szCs w:val="18"/>
      <w:lang w:eastAsia="en-US"/>
    </w:rPr>
  </w:style>
  <w:style w:type="paragraph" w:customStyle="1" w:styleId="146">
    <w:name w:val="目录"/>
    <w:basedOn w:val="1"/>
    <w:qFormat/>
    <w:uiPriority w:val="0"/>
    <w:pPr>
      <w:widowControl/>
      <w:jc w:val="center"/>
    </w:pPr>
    <w:rPr>
      <w:rFonts w:hint="eastAsia" w:ascii="宋体"/>
      <w:b/>
      <w:kern w:val="0"/>
      <w:sz w:val="36"/>
      <w:szCs w:val="20"/>
    </w:rPr>
  </w:style>
  <w:style w:type="paragraph" w:customStyle="1" w:styleId="147">
    <w:name w:val="此正文"/>
    <w:basedOn w:val="1"/>
    <w:qFormat/>
    <w:uiPriority w:val="0"/>
    <w:pPr>
      <w:spacing w:line="360" w:lineRule="auto"/>
      <w:ind w:firstLine="480" w:firstLineChars="200"/>
    </w:pPr>
    <w:rPr>
      <w:sz w:val="24"/>
    </w:rPr>
  </w:style>
  <w:style w:type="paragraph" w:customStyle="1" w:styleId="148">
    <w:name w:val="标书标题4"/>
    <w:basedOn w:val="5"/>
    <w:qFormat/>
    <w:uiPriority w:val="0"/>
    <w:pPr>
      <w:keepLines w:val="0"/>
      <w:adjustRightInd w:val="0"/>
      <w:snapToGrid w:val="0"/>
      <w:spacing w:before="0" w:beforeLines="0" w:after="0" w:afterLines="0" w:line="300" w:lineRule="auto"/>
    </w:pPr>
    <w:rPr>
      <w:rFonts w:ascii="Arial Narrow" w:hAnsi="Arial Narrow" w:eastAsia="仿宋_GB2312"/>
      <w:bCs w:val="0"/>
      <w:color w:val="000000"/>
      <w:kern w:val="0"/>
      <w:sz w:val="28"/>
      <w:szCs w:val="32"/>
    </w:rPr>
  </w:style>
  <w:style w:type="paragraph" w:customStyle="1" w:styleId="149">
    <w:name w:val="标书标题3"/>
    <w:basedOn w:val="4"/>
    <w:qFormat/>
    <w:uiPriority w:val="0"/>
    <w:pPr>
      <w:keepLines w:val="0"/>
      <w:widowControl/>
      <w:adjustRightInd w:val="0"/>
      <w:snapToGrid w:val="0"/>
      <w:spacing w:before="120" w:beforeLines="0" w:after="60" w:afterLines="0" w:line="300" w:lineRule="auto"/>
      <w:jc w:val="left"/>
    </w:pPr>
    <w:rPr>
      <w:rFonts w:ascii="Arial Narrow" w:hAnsi="Arial Narrow" w:eastAsia="仿宋_GB2312"/>
      <w:color w:val="000000"/>
      <w:spacing w:val="0"/>
      <w:kern w:val="0"/>
      <w:szCs w:val="32"/>
    </w:rPr>
  </w:style>
  <w:style w:type="paragraph" w:customStyle="1" w:styleId="150">
    <w:name w:val="样式 标题 3 + (中文) 黑体 小四 非加粗 段前: 7.8 磅 段后: 0 磅 行距: 固定值 20 磅"/>
    <w:basedOn w:val="4"/>
    <w:qFormat/>
    <w:uiPriority w:val="0"/>
    <w:pPr>
      <w:numPr>
        <w:ilvl w:val="2"/>
        <w:numId w:val="1"/>
      </w:numPr>
      <w:tabs>
        <w:tab w:val="left" w:pos="1903"/>
      </w:tabs>
      <w:spacing w:before="0" w:after="0" w:line="400" w:lineRule="exact"/>
      <w:ind w:left="1903"/>
    </w:pPr>
    <w:rPr>
      <w:rFonts w:ascii="方正综艺简体" w:hAnsi="方正综艺简体" w:eastAsia="方正综艺简体" w:cs="方正综艺简体"/>
      <w:spacing w:val="0"/>
      <w:kern w:val="2"/>
      <w:sz w:val="24"/>
    </w:rPr>
  </w:style>
  <w:style w:type="paragraph" w:customStyle="1" w:styleId="151">
    <w:name w:val="xl35"/>
    <w:basedOn w:val="1"/>
    <w:qFormat/>
    <w:uiPriority w:val="0"/>
    <w:pPr>
      <w:widowControl/>
      <w:pBdr>
        <w:left w:val="single" w:color="auto" w:sz="4" w:space="0"/>
        <w:bottom w:val="single" w:color="auto" w:sz="4" w:space="0"/>
        <w:right w:val="single" w:color="auto" w:sz="4" w:space="0"/>
      </w:pBdr>
      <w:spacing w:before="100" w:beforeLines="0" w:beforeAutospacing="1" w:after="100" w:afterLines="0" w:afterAutospacing="1"/>
      <w:textAlignment w:val="center"/>
    </w:pPr>
    <w:rPr>
      <w:rFonts w:ascii="Arial Unicode MS" w:hAnsi="Arial Unicode MS" w:eastAsia="Arial Unicode MS"/>
      <w:kern w:val="0"/>
      <w:sz w:val="24"/>
    </w:rPr>
  </w:style>
  <w:style w:type="paragraph" w:customStyle="1" w:styleId="152">
    <w:name w:val="样式1"/>
    <w:basedOn w:val="1"/>
    <w:qFormat/>
    <w:uiPriority w:val="0"/>
    <w:pPr>
      <w:spacing w:before="120" w:beforeLines="0" w:after="120" w:afterLines="0" w:line="300" w:lineRule="auto"/>
    </w:pPr>
    <w:rPr>
      <w:rFonts w:ascii="宋体" w:hAnsi="宋体"/>
      <w:b/>
      <w:sz w:val="24"/>
      <w:szCs w:val="20"/>
    </w:rPr>
  </w:style>
  <w:style w:type="paragraph" w:customStyle="1" w:styleId="153">
    <w:name w:val="节"/>
    <w:basedOn w:val="3"/>
    <w:qFormat/>
    <w:uiPriority w:val="0"/>
    <w:pPr>
      <w:spacing w:before="160" w:beforeLines="0" w:after="160" w:afterLines="0" w:line="720" w:lineRule="exact"/>
      <w:jc w:val="center"/>
    </w:pPr>
    <w:rPr>
      <w:b w:val="0"/>
      <w:bCs w:val="0"/>
      <w:spacing w:val="14"/>
      <w:kern w:val="24"/>
      <w:szCs w:val="20"/>
    </w:rPr>
  </w:style>
  <w:style w:type="paragraph" w:customStyle="1" w:styleId="154">
    <w:name w:val="zbzw"/>
    <w:basedOn w:val="1"/>
    <w:qFormat/>
    <w:uiPriority w:val="0"/>
    <w:pPr>
      <w:tabs>
        <w:tab w:val="left" w:pos="720"/>
      </w:tabs>
      <w:spacing w:line="430" w:lineRule="exact"/>
      <w:ind w:right="-76"/>
    </w:pPr>
    <w:rPr>
      <w:szCs w:val="21"/>
    </w:rPr>
  </w:style>
  <w:style w:type="paragraph" w:customStyle="1" w:styleId="155">
    <w:name w:val="Char Char Char2 Char"/>
    <w:basedOn w:val="1"/>
    <w:qFormat/>
    <w:uiPriority w:val="0"/>
    <w:pPr>
      <w:tabs>
        <w:tab w:val="left" w:pos="360"/>
      </w:tabs>
      <w:ind w:left="360" w:hanging="360"/>
    </w:pPr>
    <w:rPr>
      <w:rFonts w:ascii="方正综艺简体" w:hAnsi="方正综艺简体" w:eastAsia="方正综艺简体" w:cs="方正综艺简体"/>
    </w:rPr>
  </w:style>
  <w:style w:type="paragraph" w:customStyle="1" w:styleId="156">
    <w:name w:val="样式4"/>
    <w:basedOn w:val="1"/>
    <w:qFormat/>
    <w:uiPriority w:val="0"/>
    <w:pPr>
      <w:widowControl/>
      <w:numPr>
        <w:ilvl w:val="3"/>
        <w:numId w:val="0"/>
      </w:numPr>
      <w:tabs>
        <w:tab w:val="left" w:pos="567"/>
      </w:tabs>
      <w:spacing w:before="120" w:after="120" w:line="360" w:lineRule="auto"/>
      <w:ind w:left="851" w:hanging="851"/>
      <w:jc w:val="left"/>
      <w:outlineLvl w:val="3"/>
    </w:pPr>
    <w:rPr>
      <w:rFonts w:eastAsia="黑体"/>
      <w:b/>
      <w:sz w:val="24"/>
    </w:rPr>
  </w:style>
  <w:style w:type="paragraph" w:customStyle="1" w:styleId="157">
    <w:name w:val="TOC 标题1"/>
    <w:basedOn w:val="2"/>
    <w:next w:val="1"/>
    <w:qFormat/>
    <w:uiPriority w:val="39"/>
    <w:pPr>
      <w:widowControl/>
      <w:spacing w:before="480" w:after="0" w:line="276" w:lineRule="auto"/>
      <w:jc w:val="left"/>
      <w:outlineLvl w:val="9"/>
    </w:pPr>
    <w:rPr>
      <w:rFonts w:ascii="Cambria" w:hAnsi="Cambria"/>
      <w:bCs/>
      <w:color w:val="365F91"/>
      <w:spacing w:val="0"/>
      <w:kern w:val="0"/>
      <w:sz w:val="28"/>
      <w:szCs w:val="28"/>
    </w:rPr>
  </w:style>
  <w:style w:type="paragraph" w:customStyle="1" w:styleId="158">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eastAsia="Arial Unicode MS"/>
      <w:kern w:val="0"/>
      <w:szCs w:val="21"/>
      <w:lang w:eastAsia="en-US"/>
    </w:rPr>
  </w:style>
  <w:style w:type="paragraph" w:customStyle="1" w:styleId="159">
    <w:name w:val="xl23"/>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Arial Unicode MS" w:hAnsi="Arial Unicode MS"/>
      <w:kern w:val="0"/>
      <w:sz w:val="22"/>
      <w:szCs w:val="22"/>
    </w:rPr>
  </w:style>
  <w:style w:type="paragraph" w:customStyle="1" w:styleId="160">
    <w:name w:val="空半行"/>
    <w:basedOn w:val="1"/>
    <w:qFormat/>
    <w:uiPriority w:val="0"/>
    <w:pPr>
      <w:adjustRightInd w:val="0"/>
      <w:spacing w:line="120" w:lineRule="exact"/>
      <w:textAlignment w:val="baseline"/>
    </w:pPr>
    <w:rPr>
      <w:rFonts w:ascii="方正综艺简体" w:hAnsi="方正综艺简体" w:eastAsia="方正综艺简体" w:cs="方正综艺简体"/>
      <w:color w:val="FFFFFF"/>
      <w:kern w:val="0"/>
      <w:sz w:val="30"/>
      <w:szCs w:val="20"/>
    </w:rPr>
  </w:style>
  <w:style w:type="paragraph" w:customStyle="1" w:styleId="161">
    <w:name w:val="菲页2"/>
    <w:basedOn w:val="4"/>
    <w:qFormat/>
    <w:uiPriority w:val="0"/>
    <w:pPr>
      <w:widowControl/>
      <w:tabs>
        <w:tab w:val="left" w:pos="1595"/>
      </w:tabs>
      <w:spacing w:before="120" w:beforeLines="0" w:after="120" w:afterLines="0" w:line="360" w:lineRule="auto"/>
      <w:ind w:left="1595" w:hanging="425"/>
      <w:jc w:val="center"/>
    </w:pPr>
    <w:rPr>
      <w:rFonts w:ascii="黑体" w:hAnsi="宋体"/>
      <w:spacing w:val="0"/>
      <w:kern w:val="0"/>
      <w:sz w:val="44"/>
    </w:rPr>
  </w:style>
  <w:style w:type="paragraph" w:customStyle="1" w:styleId="162">
    <w:name w:val="xl32"/>
    <w:basedOn w:val="1"/>
    <w:qFormat/>
    <w:uiPriority w:val="0"/>
    <w:pPr>
      <w:widowControl/>
      <w:spacing w:before="100" w:beforeLines="0" w:beforeAutospacing="1" w:after="100" w:afterLines="0" w:afterAutospacing="1"/>
      <w:jc w:val="left"/>
      <w:textAlignment w:val="center"/>
    </w:pPr>
    <w:rPr>
      <w:rFonts w:ascii="宋体" w:hAnsi="宋体"/>
      <w:kern w:val="0"/>
      <w:szCs w:val="21"/>
    </w:rPr>
  </w:style>
  <w:style w:type="paragraph" w:customStyle="1" w:styleId="163">
    <w:name w:val="标书标题2"/>
    <w:basedOn w:val="3"/>
    <w:qFormat/>
    <w:uiPriority w:val="0"/>
    <w:pPr>
      <w:keepLines w:val="0"/>
      <w:widowControl/>
      <w:tabs>
        <w:tab w:val="left" w:pos="567"/>
      </w:tabs>
      <w:adjustRightInd w:val="0"/>
      <w:snapToGrid w:val="0"/>
      <w:spacing w:before="156" w:beforeLines="50" w:after="60" w:afterLines="0" w:line="300" w:lineRule="auto"/>
      <w:ind w:left="567" w:hanging="567"/>
      <w:jc w:val="left"/>
    </w:pPr>
    <w:rPr>
      <w:rFonts w:ascii="Arial Narrow" w:hAnsi="Arial Narrow" w:eastAsia="仿宋_GB2312"/>
      <w:bCs w:val="0"/>
      <w:kern w:val="0"/>
      <w:sz w:val="28"/>
      <w:szCs w:val="20"/>
    </w:rPr>
  </w:style>
  <w:style w:type="paragraph" w:customStyle="1" w:styleId="164">
    <w:name w:val="Char Char Char Char1"/>
    <w:basedOn w:val="1"/>
    <w:qFormat/>
    <w:uiPriority w:val="0"/>
    <w:rPr>
      <w:rFonts w:ascii="方正综艺简体" w:hAnsi="方正综艺简体" w:eastAsia="方正综艺简体" w:cs="方正综艺简体"/>
    </w:rPr>
  </w:style>
  <w:style w:type="paragraph" w:customStyle="1" w:styleId="165">
    <w:name w:val="样式 标题 3 + 非加粗 自动设置"/>
    <w:basedOn w:val="4"/>
    <w:qFormat/>
    <w:uiPriority w:val="0"/>
    <w:pPr>
      <w:spacing w:before="120" w:beforeLines="0" w:after="120" w:afterLines="0" w:line="700" w:lineRule="exact"/>
      <w:jc w:val="left"/>
    </w:pPr>
    <w:rPr>
      <w:rFonts w:ascii="宋体" w:hAnsi="宋体" w:eastAsia="宋体"/>
      <w:spacing w:val="10"/>
      <w:szCs w:val="32"/>
    </w:rPr>
  </w:style>
  <w:style w:type="paragraph" w:customStyle="1" w:styleId="166">
    <w:name w:val="Blockquote"/>
    <w:basedOn w:val="1"/>
    <w:qFormat/>
    <w:uiPriority w:val="0"/>
    <w:pPr>
      <w:autoSpaceDE w:val="0"/>
      <w:autoSpaceDN w:val="0"/>
      <w:adjustRightInd w:val="0"/>
      <w:spacing w:before="100" w:beforeLines="0" w:after="100" w:afterLines="0"/>
      <w:ind w:left="360" w:right="360"/>
      <w:jc w:val="left"/>
    </w:pPr>
    <w:rPr>
      <w:kern w:val="0"/>
      <w:sz w:val="24"/>
      <w:szCs w:val="20"/>
    </w:rPr>
  </w:style>
  <w:style w:type="paragraph" w:customStyle="1" w:styleId="167">
    <w:name w:val=" Char2"/>
    <w:basedOn w:val="1"/>
    <w:qFormat/>
    <w:uiPriority w:val="0"/>
    <w:rPr>
      <w:rFonts w:ascii="仿宋_GB2312" w:eastAsia="仿宋_GB2312"/>
      <w:b/>
      <w:sz w:val="32"/>
      <w:szCs w:val="32"/>
    </w:rPr>
  </w:style>
  <w:style w:type="paragraph" w:customStyle="1" w:styleId="168">
    <w:name w:val="列出段落1"/>
    <w:basedOn w:val="1"/>
    <w:qFormat/>
    <w:uiPriority w:val="34"/>
    <w:pPr>
      <w:ind w:firstLine="420" w:firstLineChars="200"/>
    </w:pPr>
  </w:style>
  <w:style w:type="paragraph" w:customStyle="1" w:styleId="169">
    <w:name w:val="简单回函地址"/>
    <w:basedOn w:val="1"/>
    <w:qFormat/>
    <w:uiPriority w:val="0"/>
    <w:pPr>
      <w:spacing w:line="460" w:lineRule="exact"/>
      <w:ind w:firstLine="200" w:firstLineChars="200"/>
    </w:pPr>
    <w:rPr>
      <w:spacing w:val="12"/>
      <w:sz w:val="24"/>
      <w:szCs w:val="20"/>
    </w:rPr>
  </w:style>
  <w:style w:type="paragraph" w:customStyle="1" w:styleId="170">
    <w:name w:val="小节"/>
    <w:basedOn w:val="4"/>
    <w:qFormat/>
    <w:uiPriority w:val="0"/>
    <w:pPr>
      <w:spacing w:before="200" w:beforeLines="0" w:after="200" w:afterLines="0" w:line="560" w:lineRule="exact"/>
      <w:jc w:val="left"/>
    </w:pPr>
    <w:rPr>
      <w:rFonts w:ascii="宋体" w:hAnsi="宋体" w:eastAsia="宋体"/>
      <w:b w:val="0"/>
      <w:color w:val="000000"/>
      <w:spacing w:val="10"/>
      <w:szCs w:val="32"/>
    </w:rPr>
  </w:style>
  <w:style w:type="paragraph" w:customStyle="1" w:styleId="171">
    <w:name w:val="样式 标题 2 + Times New Roman 四号 非加粗 段前: 5 磅 段后: 0 磅 行距: 固定值 20..."/>
    <w:basedOn w:val="3"/>
    <w:qFormat/>
    <w:uiPriority w:val="0"/>
    <w:pPr>
      <w:numPr>
        <w:ilvl w:val="1"/>
        <w:numId w:val="1"/>
      </w:numPr>
      <w:tabs>
        <w:tab w:val="left" w:pos="1483"/>
      </w:tabs>
      <w:spacing w:before="100" w:after="0" w:line="400" w:lineRule="exact"/>
    </w:pPr>
    <w:rPr>
      <w:rFonts w:ascii="方正综艺简体" w:hAnsi="方正综艺简体" w:eastAsia="方正综艺简体" w:cs="方正综艺简体"/>
      <w:b w:val="0"/>
      <w:bCs w:val="0"/>
      <w:kern w:val="0"/>
      <w:sz w:val="28"/>
      <w:szCs w:val="20"/>
    </w:rPr>
  </w:style>
  <w:style w:type="paragraph" w:customStyle="1" w:styleId="172">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Arial Unicode MS" w:hAnsi="Arial Unicode MS" w:eastAsia="Arial Unicode MS" w:cs="Courier New"/>
      <w:kern w:val="0"/>
      <w:sz w:val="24"/>
      <w:lang w:eastAsia="en-US"/>
    </w:rPr>
  </w:style>
  <w:style w:type="paragraph" w:customStyle="1" w:styleId="173">
    <w:name w:val=" Char"/>
    <w:basedOn w:val="1"/>
    <w:qFormat/>
    <w:uiPriority w:val="0"/>
    <w:pPr>
      <w:widowControl/>
      <w:spacing w:after="160" w:afterLines="0" w:line="240" w:lineRule="exact"/>
      <w:jc w:val="left"/>
    </w:pPr>
    <w:rPr>
      <w:rFonts w:ascii="Verdana" w:hAnsi="Verdana"/>
      <w:kern w:val="0"/>
      <w:sz w:val="20"/>
      <w:szCs w:val="20"/>
      <w:lang w:eastAsia="en-US"/>
    </w:rPr>
  </w:style>
  <w:style w:type="paragraph" w:customStyle="1" w:styleId="174">
    <w:name w:val="bullets (T)"/>
    <w:basedOn w:val="1"/>
    <w:qFormat/>
    <w:uiPriority w:val="0"/>
    <w:pPr>
      <w:tabs>
        <w:tab w:val="left" w:pos="360"/>
      </w:tabs>
      <w:spacing w:after="100" w:afterLines="0" w:line="240" w:lineRule="exact"/>
      <w:ind w:left="360" w:hanging="360"/>
    </w:pPr>
    <w:rPr>
      <w:snapToGrid w:val="0"/>
      <w:color w:val="000000"/>
      <w:sz w:val="20"/>
      <w:szCs w:val="20"/>
    </w:rPr>
  </w:style>
  <w:style w:type="paragraph" w:customStyle="1" w:styleId="175">
    <w:name w:val="正文内容"/>
    <w:basedOn w:val="1"/>
    <w:qFormat/>
    <w:uiPriority w:val="0"/>
    <w:pPr>
      <w:ind w:firstLine="200" w:firstLineChars="200"/>
    </w:pPr>
    <w:rPr>
      <w:rFonts w:ascii="仿宋_GB2312" w:hAnsi="Calibri" w:eastAsia="仿宋_GB2312" w:cs="Times New Roman"/>
      <w:sz w:val="24"/>
      <w:szCs w:val="28"/>
    </w:rPr>
  </w:style>
  <w:style w:type="paragraph" w:customStyle="1" w:styleId="176">
    <w:name w:val="表格文字1"/>
    <w:basedOn w:val="1"/>
    <w:qFormat/>
    <w:uiPriority w:val="0"/>
    <w:pPr>
      <w:spacing w:line="320" w:lineRule="exact"/>
    </w:pPr>
    <w:rPr>
      <w:rFonts w:ascii="宋体" w:hAnsi="宋体"/>
      <w:spacing w:val="12"/>
      <w:szCs w:val="20"/>
    </w:rPr>
  </w:style>
  <w:style w:type="paragraph" w:customStyle="1" w:styleId="177">
    <w:name w:val="PP 行"/>
    <w:basedOn w:val="33"/>
    <w:qFormat/>
    <w:uiPriority w:val="0"/>
  </w:style>
  <w:style w:type="paragraph" w:customStyle="1" w:styleId="178">
    <w:name w:val=" Char1"/>
    <w:basedOn w:val="7"/>
    <w:qFormat/>
    <w:uiPriority w:val="0"/>
    <w:pPr>
      <w:spacing w:line="360" w:lineRule="auto"/>
      <w:ind w:firstLine="200" w:firstLineChars="200"/>
    </w:pPr>
    <w:rPr>
      <w:spacing w:val="0"/>
      <w:kern w:val="2"/>
      <w:szCs w:val="24"/>
    </w:rPr>
  </w:style>
  <w:style w:type="paragraph" w:customStyle="1" w:styleId="179">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Arial Unicode MS" w:hAnsi="Arial Unicode MS" w:eastAsia="Arial Unicode MS" w:cs="Courier New"/>
      <w:kern w:val="0"/>
      <w:sz w:val="24"/>
      <w:lang w:eastAsia="en-US"/>
    </w:rPr>
  </w:style>
  <w:style w:type="paragraph" w:customStyle="1" w:styleId="180">
    <w:name w:val="正文文字格式"/>
    <w:basedOn w:val="1"/>
    <w:qFormat/>
    <w:uiPriority w:val="0"/>
    <w:pPr>
      <w:spacing w:line="460" w:lineRule="exact"/>
      <w:ind w:firstLine="505"/>
      <w:jc w:val="left"/>
    </w:pPr>
    <w:rPr>
      <w:rFonts w:ascii="宋体"/>
      <w:kern w:val="24"/>
      <w:sz w:val="24"/>
      <w:szCs w:val="20"/>
    </w:rPr>
  </w:style>
  <w:style w:type="paragraph" w:customStyle="1" w:styleId="181">
    <w:name w:val="菲页1"/>
    <w:basedOn w:val="3"/>
    <w:qFormat/>
    <w:uiPriority w:val="0"/>
    <w:pPr>
      <w:keepNext w:val="0"/>
      <w:widowControl/>
      <w:jc w:val="center"/>
    </w:pPr>
    <w:rPr>
      <w:rFonts w:ascii="黑体" w:hAnsi="宋体"/>
      <w:b w:val="0"/>
      <w:bCs w:val="0"/>
      <w:color w:val="000000"/>
      <w:kern w:val="0"/>
      <w:sz w:val="52"/>
      <w:szCs w:val="20"/>
    </w:rPr>
  </w:style>
  <w:style w:type="paragraph" w:customStyle="1" w:styleId="182">
    <w:name w:val="_Style 181"/>
    <w:qFormat/>
    <w:uiPriority w:val="0"/>
    <w:rPr>
      <w:rFonts w:ascii="方正综艺简体" w:hAnsi="方正综艺简体" w:eastAsia="方正综艺简体" w:cs="方正综艺简体"/>
      <w:kern w:val="2"/>
      <w:sz w:val="21"/>
      <w:szCs w:val="24"/>
      <w:lang w:val="en-US" w:eastAsia="zh-CN" w:bidi="ar-SA"/>
    </w:rPr>
  </w:style>
  <w:style w:type="paragraph" w:styleId="183">
    <w:name w:val="List Paragraph"/>
    <w:basedOn w:val="1"/>
    <w:qFormat/>
    <w:uiPriority w:val="0"/>
    <w:pPr>
      <w:widowControl/>
      <w:ind w:firstLine="420" w:firstLineChars="200"/>
      <w:jc w:val="left"/>
    </w:pPr>
    <w:rPr>
      <w:kern w:val="0"/>
      <w:szCs w:val="20"/>
    </w:rPr>
  </w:style>
  <w:style w:type="paragraph" w:customStyle="1" w:styleId="184">
    <w:name w:val="Char Char Char"/>
    <w:basedOn w:val="1"/>
    <w:qFormat/>
    <w:uiPriority w:val="0"/>
    <w:rPr>
      <w:szCs w:val="20"/>
    </w:rPr>
  </w:style>
  <w:style w:type="paragraph" w:customStyle="1" w:styleId="185">
    <w:name w:val="xl77"/>
    <w:basedOn w:val="1"/>
    <w:qFormat/>
    <w:uiPriority w:val="0"/>
    <w:pPr>
      <w:widowControl/>
      <w:pBdr>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Arial Unicode MS" w:hAnsi="Arial Unicode MS"/>
      <w:b/>
      <w:bCs/>
      <w:kern w:val="0"/>
      <w:sz w:val="28"/>
      <w:szCs w:val="28"/>
    </w:rPr>
  </w:style>
  <w:style w:type="paragraph" w:customStyle="1" w:styleId="186">
    <w:name w:val="正文 + 仿宋_GB2312"/>
    <w:basedOn w:val="1"/>
    <w:qFormat/>
    <w:uiPriority w:val="0"/>
    <w:pPr>
      <w:widowControl/>
      <w:adjustRightInd w:val="0"/>
      <w:snapToGrid w:val="0"/>
      <w:spacing w:line="360" w:lineRule="exact"/>
      <w:ind w:left="480"/>
      <w:textAlignment w:val="baseline"/>
    </w:pPr>
    <w:rPr>
      <w:rFonts w:ascii="仿宋_GB2312" w:eastAsia="仿宋_GB2312" w:cs="仿宋_GB2312"/>
      <w:kern w:val="0"/>
      <w:szCs w:val="21"/>
    </w:rPr>
  </w:style>
  <w:style w:type="paragraph" w:customStyle="1" w:styleId="187">
    <w:name w:val="样式3"/>
    <w:basedOn w:val="26"/>
    <w:qFormat/>
    <w:uiPriority w:val="0"/>
    <w:pPr>
      <w:spacing w:line="0" w:lineRule="atLeast"/>
      <w:outlineLvl w:val="0"/>
    </w:pPr>
    <w:rPr>
      <w:sz w:val="28"/>
    </w:rPr>
  </w:style>
  <w:style w:type="paragraph" w:customStyle="1" w:styleId="188">
    <w:name w:val="目录文字"/>
    <w:basedOn w:val="1"/>
    <w:qFormat/>
    <w:uiPriority w:val="0"/>
    <w:pPr>
      <w:widowControl/>
      <w:spacing w:line="480" w:lineRule="auto"/>
      <w:jc w:val="left"/>
    </w:pPr>
    <w:rPr>
      <w:rFonts w:ascii="宋体" w:hAnsi="宋体"/>
      <w:kern w:val="0"/>
      <w:sz w:val="24"/>
      <w:szCs w:val="20"/>
    </w:rPr>
  </w:style>
  <w:style w:type="paragraph" w:customStyle="1" w:styleId="189">
    <w:name w:val="pbj1"/>
    <w:basedOn w:val="1"/>
    <w:qFormat/>
    <w:uiPriority w:val="0"/>
    <w:pPr>
      <w:widowControl/>
      <w:jc w:val="left"/>
    </w:pPr>
    <w:rPr>
      <w:rFonts w:ascii="方正综艺简体" w:hAnsi="方正综艺简体" w:eastAsia="方正综艺简体" w:cs="方正综艺简体"/>
      <w:kern w:val="0"/>
      <w:sz w:val="24"/>
    </w:rPr>
  </w:style>
  <w:style w:type="paragraph" w:customStyle="1" w:styleId="190">
    <w:name w:val="正文文字表格居中"/>
    <w:basedOn w:val="1"/>
    <w:next w:val="42"/>
    <w:qFormat/>
    <w:uiPriority w:val="0"/>
    <w:pPr>
      <w:spacing w:line="400" w:lineRule="exact"/>
      <w:jc w:val="center"/>
    </w:pPr>
    <w:rPr>
      <w:b/>
      <w:bCs/>
      <w:sz w:val="24"/>
    </w:rPr>
  </w:style>
  <w:style w:type="paragraph" w:customStyle="1" w:styleId="191">
    <w:name w:val="样式 标题 3 + 红色"/>
    <w:basedOn w:val="4"/>
    <w:qFormat/>
    <w:uiPriority w:val="0"/>
    <w:pPr>
      <w:spacing w:before="120" w:beforeLines="0" w:after="120" w:afterLines="0" w:line="700" w:lineRule="exact"/>
      <w:jc w:val="left"/>
    </w:pPr>
    <w:rPr>
      <w:rFonts w:ascii="宋体" w:hAnsi="宋体" w:eastAsia="宋体"/>
      <w:b w:val="0"/>
      <w:bCs w:val="0"/>
      <w:color w:val="FF0000"/>
      <w:spacing w:val="10"/>
      <w:szCs w:val="32"/>
    </w:rPr>
  </w:style>
  <w:style w:type="paragraph" w:customStyle="1" w:styleId="192">
    <w:name w:val=" Char Char"/>
    <w:basedOn w:val="1"/>
    <w:qFormat/>
    <w:uiPriority w:val="0"/>
    <w:rPr>
      <w:rFonts w:ascii="Tahoma" w:hAnsi="Tahoma"/>
      <w:sz w:val="24"/>
      <w:szCs w:val="20"/>
    </w:rPr>
  </w:style>
  <w:style w:type="paragraph" w:customStyle="1" w:styleId="193">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Arial Unicode MS" w:hAnsi="Arial Unicode MS" w:eastAsia="Arial Unicode MS" w:cs="Courier New"/>
      <w:kern w:val="0"/>
      <w:szCs w:val="21"/>
      <w:lang w:eastAsia="en-US"/>
    </w:rPr>
  </w:style>
  <w:style w:type="paragraph" w:customStyle="1" w:styleId="194">
    <w:name w:val="font7"/>
    <w:basedOn w:val="1"/>
    <w:qFormat/>
    <w:uiPriority w:val="0"/>
    <w:pPr>
      <w:widowControl/>
      <w:spacing w:before="100" w:beforeLines="0" w:beforeAutospacing="1" w:after="100" w:afterLines="0" w:afterAutospacing="1"/>
      <w:jc w:val="left"/>
    </w:pPr>
    <w:rPr>
      <w:rFonts w:hint="eastAsia" w:ascii="宋体" w:hAnsi="宋体" w:cs="Courier New"/>
      <w:kern w:val="0"/>
      <w:szCs w:val="21"/>
      <w:lang w:eastAsia="en-US"/>
    </w:rPr>
  </w:style>
  <w:style w:type="paragraph" w:customStyle="1" w:styleId="195">
    <w:name w:val=" Char1 Char Char Char"/>
    <w:basedOn w:val="7"/>
    <w:qFormat/>
    <w:uiPriority w:val="0"/>
    <w:pPr>
      <w:spacing w:line="360" w:lineRule="auto"/>
      <w:ind w:firstLine="200" w:firstLineChars="200"/>
    </w:pPr>
    <w:rPr>
      <w:spacing w:val="0"/>
      <w:kern w:val="2"/>
      <w:szCs w:val="24"/>
    </w:rPr>
  </w:style>
  <w:style w:type="paragraph" w:customStyle="1" w:styleId="196">
    <w:name w:val="my title2"/>
    <w:basedOn w:val="1"/>
    <w:qFormat/>
    <w:uiPriority w:val="0"/>
    <w:pPr>
      <w:widowControl/>
    </w:pPr>
    <w:rPr>
      <w:rFonts w:eastAsia="仿宋_GB2312"/>
      <w:kern w:val="0"/>
      <w:sz w:val="24"/>
      <w:szCs w:val="20"/>
    </w:rPr>
  </w:style>
  <w:style w:type="paragraph" w:customStyle="1" w:styleId="197">
    <w:name w:val="zbzw2"/>
    <w:basedOn w:val="152"/>
    <w:qFormat/>
    <w:uiPriority w:val="0"/>
    <w:pPr>
      <w:tabs>
        <w:tab w:val="left" w:pos="720"/>
      </w:tabs>
      <w:spacing w:before="0" w:after="0" w:line="380" w:lineRule="exact"/>
      <w:ind w:right="-76" w:firstLine="420" w:firstLineChars="200"/>
    </w:pPr>
    <w:rPr>
      <w:b w:val="0"/>
      <w:sz w:val="21"/>
      <w:szCs w:val="21"/>
    </w:rPr>
  </w:style>
  <w:style w:type="paragraph" w:customStyle="1" w:styleId="198">
    <w:name w:val="Normal"/>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199">
    <w:name w:val="正文－恩普"/>
    <w:basedOn w:val="7"/>
    <w:qFormat/>
    <w:uiPriority w:val="0"/>
    <w:pPr>
      <w:spacing w:line="360" w:lineRule="auto"/>
      <w:ind w:firstLine="200" w:firstLineChars="200"/>
    </w:pPr>
    <w:rPr>
      <w:spacing w:val="0"/>
      <w:kern w:val="2"/>
      <w:szCs w:val="24"/>
    </w:rPr>
  </w:style>
  <w:style w:type="paragraph" w:customStyle="1" w:styleId="200">
    <w:name w:val="zbzw1"/>
    <w:qFormat/>
    <w:uiPriority w:val="0"/>
    <w:pPr>
      <w:tabs>
        <w:tab w:val="left" w:pos="720"/>
      </w:tabs>
      <w:spacing w:line="360" w:lineRule="exact"/>
      <w:ind w:firstLine="414" w:firstLineChars="200"/>
    </w:pPr>
    <w:rPr>
      <w:rFonts w:ascii="Times New Roman" w:hAnsi="Times New Roman" w:eastAsia="宋体" w:cs="Times New Roman"/>
      <w:spacing w:val="-2"/>
      <w:sz w:val="21"/>
      <w:szCs w:val="24"/>
      <w:lang w:val="en-US" w:eastAsia="zh-CN" w:bidi="ar-SA"/>
    </w:rPr>
  </w:style>
  <w:style w:type="paragraph" w:customStyle="1" w:styleId="201">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eastAsia="Arial Unicode MS"/>
      <w:kern w:val="0"/>
      <w:sz w:val="16"/>
      <w:szCs w:val="16"/>
      <w:lang w:eastAsia="en-US"/>
    </w:rPr>
  </w:style>
  <w:style w:type="paragraph" w:customStyle="1" w:styleId="202">
    <w:name w:val="段"/>
    <w:qFormat/>
    <w:uiPriority w:val="0"/>
    <w:pPr>
      <w:tabs>
        <w:tab w:val="center" w:pos="4201"/>
        <w:tab w:val="right" w:leader="dot" w:pos="9298"/>
      </w:tabs>
      <w:autoSpaceDE w:val="0"/>
      <w:autoSpaceDN w:val="0"/>
      <w:ind w:firstLine="420" w:firstLineChars="200"/>
      <w:jc w:val="both"/>
    </w:pPr>
    <w:rPr>
      <w:rFonts w:ascii="宋体" w:hAnsi="Times New Roman" w:eastAsia="Times New Roman" w:cs="Times New Roman"/>
      <w:sz w:val="21"/>
      <w:lang w:val="en-US" w:eastAsia="zh-CN" w:bidi="ar-SA"/>
    </w:rPr>
  </w:style>
  <w:style w:type="paragraph" w:customStyle="1" w:styleId="203">
    <w:name w:val="重正文"/>
    <w:basedOn w:val="1"/>
    <w:qFormat/>
    <w:uiPriority w:val="0"/>
    <w:pPr>
      <w:numPr>
        <w:ilvl w:val="1"/>
        <w:numId w:val="2"/>
      </w:numPr>
      <w:spacing w:before="5" w:after="200" w:afterLines="50" w:line="390" w:lineRule="atLeast"/>
      <w:ind w:left="0" w:firstLine="480"/>
    </w:pPr>
    <w:rPr>
      <w:rFonts w:ascii="宋体" w:hAnsi="宋体"/>
      <w:sz w:val="24"/>
    </w:rPr>
  </w:style>
  <w:style w:type="paragraph" w:customStyle="1" w:styleId="204">
    <w:name w:val="菲页(卷)"/>
    <w:basedOn w:val="2"/>
    <w:next w:val="198"/>
    <w:qFormat/>
    <w:uiPriority w:val="0"/>
    <w:pPr>
      <w:keepLines w:val="0"/>
      <w:widowControl/>
      <w:tabs>
        <w:tab w:val="left" w:pos="1595"/>
      </w:tabs>
      <w:spacing w:before="0" w:beforeLines="0" w:after="0" w:afterLines="0" w:line="240" w:lineRule="auto"/>
      <w:ind w:left="1595" w:hanging="425"/>
      <w:outlineLvl w:val="1"/>
    </w:pPr>
    <w:rPr>
      <w:rFonts w:ascii="黑体" w:eastAsia="黑体"/>
      <w:b w:val="0"/>
      <w:spacing w:val="0"/>
      <w:kern w:val="0"/>
      <w:sz w:val="52"/>
    </w:rPr>
  </w:style>
  <w:style w:type="paragraph" w:customStyle="1" w:styleId="205">
    <w:name w:val="表内文字"/>
    <w:basedOn w:val="1"/>
    <w:qFormat/>
    <w:uiPriority w:val="0"/>
    <w:pPr>
      <w:spacing w:line="240" w:lineRule="atLeast"/>
      <w:jc w:val="center"/>
    </w:pPr>
    <w:rPr>
      <w:rFonts w:ascii="Arial" w:hAnsi="Arial" w:cs="Arial"/>
      <w:b/>
      <w:bCs/>
    </w:rPr>
  </w:style>
  <w:style w:type="paragraph" w:customStyle="1" w:styleId="206">
    <w:name w:val="p0"/>
    <w:basedOn w:val="1"/>
    <w:qFormat/>
    <w:uiPriority w:val="0"/>
    <w:pPr>
      <w:widowControl/>
    </w:pPr>
    <w:rPr>
      <w:kern w:val="0"/>
      <w:szCs w:val="21"/>
    </w:rPr>
  </w:style>
  <w:style w:type="paragraph" w:customStyle="1" w:styleId="207">
    <w:name w:val="Indent a)"/>
    <w:basedOn w:val="1"/>
    <w:qFormat/>
    <w:uiPriority w:val="0"/>
    <w:pPr>
      <w:widowControl/>
      <w:tabs>
        <w:tab w:val="left" w:pos="1843"/>
        <w:tab w:val="right" w:pos="9072"/>
      </w:tabs>
      <w:suppressAutoHyphens/>
      <w:spacing w:line="360" w:lineRule="auto"/>
      <w:ind w:right="-21" w:rightChars="-10" w:firstLine="420" w:firstLineChars="200"/>
    </w:pPr>
    <w:rPr>
      <w:rFonts w:ascii="宋体" w:hAnsi="宋体"/>
      <w:color w:val="000000"/>
      <w:szCs w:val="20"/>
    </w:rPr>
  </w:style>
  <w:style w:type="paragraph" w:customStyle="1" w:styleId="208">
    <w:name w:val="font8"/>
    <w:basedOn w:val="1"/>
    <w:qFormat/>
    <w:uiPriority w:val="0"/>
    <w:pPr>
      <w:widowControl/>
      <w:spacing w:before="100" w:beforeLines="0" w:beforeAutospacing="1" w:after="100" w:afterLines="0" w:afterAutospacing="1"/>
      <w:jc w:val="left"/>
    </w:pPr>
    <w:rPr>
      <w:rFonts w:eastAsia="Arial Unicode MS"/>
      <w:kern w:val="0"/>
      <w:sz w:val="24"/>
      <w:lang w:eastAsia="en-US"/>
    </w:rPr>
  </w:style>
  <w:style w:type="paragraph" w:customStyle="1" w:styleId="209">
    <w:name w:val="正文（项目编号）"/>
    <w:basedOn w:val="1"/>
    <w:qFormat/>
    <w:uiPriority w:val="0"/>
    <w:pPr>
      <w:tabs>
        <w:tab w:val="left" w:pos="980"/>
      </w:tabs>
      <w:spacing w:line="480" w:lineRule="exact"/>
      <w:ind w:left="980" w:hanging="420"/>
    </w:pPr>
    <w:rPr>
      <w:bCs/>
      <w:sz w:val="28"/>
      <w:szCs w:val="20"/>
    </w:rPr>
  </w:style>
  <w:style w:type="paragraph" w:customStyle="1" w:styleId="210">
    <w:name w:val="font6"/>
    <w:basedOn w:val="1"/>
    <w:qFormat/>
    <w:uiPriority w:val="0"/>
    <w:pPr>
      <w:widowControl/>
      <w:spacing w:before="100" w:beforeLines="0" w:beforeAutospacing="1" w:after="100" w:afterLines="0" w:afterAutospacing="1"/>
      <w:jc w:val="left"/>
    </w:pPr>
    <w:rPr>
      <w:rFonts w:eastAsia="Arial Unicode MS"/>
      <w:kern w:val="0"/>
      <w:szCs w:val="21"/>
      <w:lang w:eastAsia="en-US"/>
    </w:rPr>
  </w:style>
  <w:style w:type="paragraph" w:customStyle="1" w:styleId="211">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Arial Unicode MS" w:hAnsi="Arial Unicode MS" w:eastAsia="Arial Unicode MS" w:cs="Courier New"/>
      <w:kern w:val="0"/>
      <w:sz w:val="14"/>
      <w:szCs w:val="14"/>
      <w:lang w:eastAsia="en-US"/>
    </w:rPr>
  </w:style>
  <w:style w:type="paragraph" w:customStyle="1" w:styleId="212">
    <w:name w:val="_Style 211"/>
    <w:basedOn w:val="2"/>
    <w:next w:val="1"/>
    <w:qFormat/>
    <w:uiPriority w:val="39"/>
    <w:pPr>
      <w:widowControl/>
      <w:spacing w:before="480" w:after="0" w:line="276" w:lineRule="auto"/>
      <w:jc w:val="left"/>
      <w:outlineLvl w:val="9"/>
    </w:pPr>
    <w:rPr>
      <w:rFonts w:ascii="Cambria" w:hAnsi="Cambria" w:eastAsia="宋体" w:cs="Times New Roman"/>
      <w:bCs/>
      <w:color w:val="365F91"/>
      <w:spacing w:val="0"/>
      <w:kern w:val="0"/>
      <w:sz w:val="28"/>
      <w:szCs w:val="28"/>
    </w:rPr>
  </w:style>
  <w:style w:type="paragraph" w:customStyle="1" w:styleId="213">
    <w:name w:val=" Char Char Char Char1"/>
    <w:basedOn w:val="1"/>
    <w:qFormat/>
    <w:uiPriority w:val="0"/>
  </w:style>
  <w:style w:type="paragraph" w:customStyle="1" w:styleId="214">
    <w:name w:val="flNote"/>
    <w:basedOn w:val="1"/>
    <w:qFormat/>
    <w:uiPriority w:val="0"/>
    <w:pPr>
      <w:adjustRightInd w:val="0"/>
      <w:spacing w:before="320" w:after="160" w:line="360" w:lineRule="atLeast"/>
      <w:jc w:val="center"/>
      <w:textAlignment w:val="baseline"/>
    </w:pPr>
    <w:rPr>
      <w:rFonts w:ascii="方正综艺简体" w:hAnsi="方正综艺简体" w:eastAsia="方正综艺简体" w:cs="方正综艺简体"/>
      <w:kern w:val="0"/>
      <w:sz w:val="30"/>
      <w:szCs w:val="20"/>
    </w:rPr>
  </w:style>
  <w:style w:type="paragraph" w:customStyle="1" w:styleId="215">
    <w:name w:val="table_1stline"/>
    <w:basedOn w:val="1"/>
    <w:qFormat/>
    <w:uiPriority w:val="0"/>
    <w:pPr>
      <w:widowControl/>
      <w:spacing w:before="120" w:beforeLines="0"/>
      <w:jc w:val="left"/>
    </w:pPr>
    <w:rPr>
      <w:bCs/>
      <w:kern w:val="0"/>
      <w:sz w:val="20"/>
      <w:szCs w:val="20"/>
      <w:lang w:val="de-DE" w:eastAsia="de-DE"/>
    </w:rPr>
  </w:style>
  <w:style w:type="paragraph" w:customStyle="1" w:styleId="216">
    <w:name w:val="font0"/>
    <w:basedOn w:val="1"/>
    <w:qFormat/>
    <w:uiPriority w:val="0"/>
    <w:pPr>
      <w:widowControl/>
      <w:spacing w:before="100" w:beforeLines="0" w:beforeAutospacing="1" w:after="100" w:afterLines="0" w:afterAutospacing="1"/>
      <w:jc w:val="left"/>
    </w:pPr>
    <w:rPr>
      <w:rFonts w:hint="eastAsia" w:ascii="宋体" w:hAnsi="宋体" w:cs="Courier New"/>
      <w:kern w:val="0"/>
      <w:sz w:val="24"/>
      <w:lang w:eastAsia="en-US"/>
    </w:rPr>
  </w:style>
  <w:style w:type="paragraph" w:customStyle="1" w:styleId="217">
    <w:name w:val=" Char Char Char Char"/>
    <w:basedOn w:val="7"/>
    <w:qFormat/>
    <w:uiPriority w:val="0"/>
    <w:pPr>
      <w:spacing w:line="360" w:lineRule="auto"/>
      <w:ind w:firstLine="200" w:firstLineChars="200"/>
    </w:pPr>
    <w:rPr>
      <w:spacing w:val="0"/>
      <w:kern w:val="2"/>
      <w:szCs w:val="24"/>
    </w:rPr>
  </w:style>
  <w:style w:type="paragraph" w:customStyle="1" w:styleId="218">
    <w:name w:val="Char Char"/>
    <w:basedOn w:val="1"/>
    <w:qFormat/>
    <w:uiPriority w:val="0"/>
    <w:rPr>
      <w:rFonts w:ascii="仿宋_GB2312" w:eastAsia="仿宋_GB2312"/>
      <w:b/>
      <w:sz w:val="32"/>
      <w:szCs w:val="32"/>
    </w:rPr>
  </w:style>
  <w:style w:type="paragraph" w:customStyle="1" w:styleId="219">
    <w:name w:val="xl22"/>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Arial Unicode MS" w:hAnsi="Arial Unicode MS"/>
      <w:kern w:val="0"/>
      <w:sz w:val="18"/>
      <w:szCs w:val="18"/>
    </w:rPr>
  </w:style>
  <w:style w:type="paragraph" w:customStyle="1" w:styleId="220">
    <w:name w:val="标书正文"/>
    <w:basedOn w:val="19"/>
    <w:qFormat/>
    <w:uiPriority w:val="0"/>
    <w:pPr>
      <w:adjustRightInd w:val="0"/>
      <w:snapToGrid w:val="0"/>
      <w:spacing w:after="0" w:afterLines="0" w:line="400" w:lineRule="exact"/>
      <w:ind w:firstLine="1276"/>
    </w:pPr>
    <w:rPr>
      <w:rFonts w:ascii="宋体" w:hAnsi="宋体" w:eastAsia="黑体"/>
      <w:kern w:val="0"/>
      <w:sz w:val="24"/>
      <w:szCs w:val="20"/>
    </w:rPr>
  </w:style>
  <w:style w:type="paragraph" w:customStyle="1" w:styleId="221">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222">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Arial Unicode MS" w:hAnsi="Arial Unicode MS" w:eastAsia="Arial Unicode MS" w:cs="Courier New"/>
      <w:kern w:val="0"/>
      <w:sz w:val="20"/>
      <w:szCs w:val="20"/>
      <w:lang w:eastAsia="en-US"/>
    </w:rPr>
  </w:style>
  <w:style w:type="paragraph" w:styleId="223">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4">
    <w:name w:val="xl55"/>
    <w:basedOn w:val="1"/>
    <w:qFormat/>
    <w:uiPriority w:val="0"/>
    <w:pPr>
      <w:widowControl/>
      <w:spacing w:before="100" w:beforeLines="0" w:beforeAutospacing="1" w:after="100" w:afterLines="0" w:afterAutospacing="1"/>
      <w:jc w:val="center"/>
      <w:textAlignment w:val="center"/>
    </w:pPr>
    <w:rPr>
      <w:rFonts w:ascii="Arial Unicode MS" w:hAnsi="Arial Unicode MS"/>
      <w:kern w:val="0"/>
      <w:sz w:val="24"/>
    </w:rPr>
  </w:style>
  <w:style w:type="paragraph" w:customStyle="1" w:styleId="225">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eastAsia="Arial Unicode MS"/>
      <w:kern w:val="0"/>
      <w:sz w:val="24"/>
      <w:lang w:eastAsia="en-US"/>
    </w:rPr>
  </w:style>
  <w:style w:type="paragraph" w:customStyle="1" w:styleId="226">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Arial Unicode MS" w:hAnsi="Arial Unicode MS" w:eastAsia="Arial Unicode MS" w:cs="Courier New"/>
      <w:kern w:val="0"/>
      <w:szCs w:val="21"/>
      <w:lang w:eastAsia="en-US"/>
    </w:rPr>
  </w:style>
  <w:style w:type="paragraph" w:customStyle="1" w:styleId="227">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eastAsia="Arial Unicode MS"/>
      <w:kern w:val="0"/>
      <w:sz w:val="14"/>
      <w:szCs w:val="14"/>
      <w:lang w:eastAsia="en-US"/>
    </w:rPr>
  </w:style>
  <w:style w:type="paragraph" w:customStyle="1" w:styleId="228">
    <w:name w:val="(一)"/>
    <w:basedOn w:val="1"/>
    <w:qFormat/>
    <w:uiPriority w:val="0"/>
    <w:pPr>
      <w:jc w:val="left"/>
    </w:pPr>
    <w:rPr>
      <w:rFonts w:hAnsi="Times New Roman"/>
    </w:rPr>
  </w:style>
  <w:style w:type="paragraph" w:customStyle="1" w:styleId="229">
    <w:name w:val="1、"/>
    <w:basedOn w:val="1"/>
    <w:qFormat/>
    <w:uiPriority w:val="0"/>
    <w:pPr>
      <w:jc w:val="left"/>
    </w:pPr>
    <w:rPr>
      <w:rFonts w:hAnsi="Times New Roman"/>
    </w:rPr>
  </w:style>
  <w:style w:type="paragraph" w:customStyle="1" w:styleId="230">
    <w:name w:val="第一章"/>
    <w:basedOn w:val="1"/>
    <w:next w:val="1"/>
    <w:qFormat/>
    <w:uiPriority w:val="0"/>
    <w:pPr>
      <w:numPr>
        <w:ilvl w:val="0"/>
        <w:numId w:val="3"/>
      </w:numPr>
      <w:jc w:val="center"/>
    </w:pPr>
    <w:rPr>
      <w:rFonts w:eastAsia="仿宋_GB2312"/>
      <w:b/>
      <w:szCs w:val="32"/>
    </w:rPr>
  </w:style>
  <w:style w:type="paragraph" w:customStyle="1" w:styleId="231">
    <w:name w:val="List Paragraph1"/>
    <w:basedOn w:val="1"/>
    <w:qFormat/>
    <w:uiPriority w:val="0"/>
    <w:pPr>
      <w:widowControl w:val="0"/>
      <w:ind w:firstLine="420" w:firstLineChars="200"/>
      <w:jc w:val="both"/>
    </w:pPr>
    <w:rPr>
      <w:kern w:val="2"/>
      <w:szCs w:val="21"/>
    </w:rPr>
  </w:style>
  <w:style w:type="character" w:customStyle="1" w:styleId="232">
    <w:name w:val="NormalCharacter"/>
    <w:qFormat/>
    <w:uiPriority w:val="0"/>
  </w:style>
  <w:style w:type="character" w:customStyle="1" w:styleId="233">
    <w:name w:val="font31"/>
    <w:basedOn w:val="51"/>
    <w:qFormat/>
    <w:uiPriority w:val="0"/>
    <w:rPr>
      <w:rFonts w:hint="eastAsia" w:ascii="宋体" w:hAnsi="宋体" w:eastAsia="宋体" w:cs="宋体"/>
      <w:color w:val="000000"/>
      <w:sz w:val="20"/>
      <w:szCs w:val="20"/>
      <w:u w:val="none"/>
    </w:rPr>
  </w:style>
  <w:style w:type="character" w:customStyle="1" w:styleId="234">
    <w:name w:val="font41"/>
    <w:basedOn w:val="51"/>
    <w:qFormat/>
    <w:uiPriority w:val="0"/>
    <w:rPr>
      <w:rFonts w:hint="eastAsia" w:ascii="宋体" w:hAnsi="宋体" w:eastAsia="宋体" w:cs="宋体"/>
      <w:color w:val="000000"/>
      <w:sz w:val="20"/>
      <w:szCs w:val="20"/>
      <w:u w:val="none"/>
      <w:vertAlign w:val="superscript"/>
    </w:rPr>
  </w:style>
  <w:style w:type="character" w:customStyle="1" w:styleId="235">
    <w:name w:val="font11"/>
    <w:basedOn w:val="51"/>
    <w:qFormat/>
    <w:uiPriority w:val="0"/>
    <w:rPr>
      <w:rFonts w:hint="eastAsia" w:ascii="宋体" w:hAnsi="宋体" w:eastAsia="宋体" w:cs="宋体"/>
      <w:color w:val="000000"/>
      <w:sz w:val="21"/>
      <w:szCs w:val="21"/>
      <w:u w:val="none"/>
    </w:rPr>
  </w:style>
  <w:style w:type="paragraph" w:customStyle="1" w:styleId="236">
    <w:name w:val="Plain Text"/>
    <w:basedOn w:val="198"/>
    <w:qFormat/>
    <w:uiPriority w:val="0"/>
    <w:pPr>
      <w:widowControl/>
      <w:jc w:val="left"/>
    </w:pPr>
    <w:rPr>
      <w:rFonts w:ascii="宋体" w:hAnsi="Courier New"/>
    </w:rPr>
  </w:style>
  <w:style w:type="table" w:customStyle="1" w:styleId="237">
    <w:name w:val="Table Normal"/>
    <w:unhideWhenUsed/>
    <w:qFormat/>
    <w:uiPriority w:val="0"/>
    <w:tblPr>
      <w:tblCellMar>
        <w:top w:w="0" w:type="dxa"/>
        <w:left w:w="0" w:type="dxa"/>
        <w:bottom w:w="0" w:type="dxa"/>
        <w:right w:w="0" w:type="dxa"/>
      </w:tblCellMar>
    </w:tblPr>
  </w:style>
  <w:style w:type="character" w:customStyle="1" w:styleId="238">
    <w:name w:val="font91"/>
    <w:basedOn w:val="51"/>
    <w:qFormat/>
    <w:uiPriority w:val="0"/>
    <w:rPr>
      <w:rFonts w:hint="default" w:ascii="Arial" w:hAnsi="Arial" w:cs="Arial"/>
      <w:color w:val="000000"/>
      <w:sz w:val="20"/>
      <w:szCs w:val="20"/>
      <w:u w:val="none"/>
    </w:rPr>
  </w:style>
  <w:style w:type="paragraph" w:customStyle="1" w:styleId="239">
    <w:name w:val="Table Text"/>
    <w:basedOn w:val="1"/>
    <w:semiHidden/>
    <w:qFormat/>
    <w:uiPriority w:val="0"/>
    <w:rPr>
      <w:rFonts w:ascii="宋体" w:hAnsi="宋体" w:eastAsia="宋体" w:cs="宋体"/>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71</Pages>
  <Words>5616</Words>
  <Characters>6315</Characters>
  <Lines>403</Lines>
  <Paragraphs>113</Paragraphs>
  <TotalTime>160</TotalTime>
  <ScaleCrop>false</ScaleCrop>
  <LinksUpToDate>false</LinksUpToDate>
  <CharactersWithSpaces>6477</CharactersWithSpaces>
  <Application>WPS Office_12.8.2.19831_F1E327BC-269C-435d-A152-05C5408002CA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2021-02-09T03:55:00Z</dcterms:created>
  <dc:creator>ZJRY</dc:creator>
  <cp:keywords>招标文件</cp:keywords>
  <cp:lastModifiedBy>陈家伟</cp:lastModifiedBy>
  <cp:lastPrinted>2025-11-06T16:14:00Z</cp:lastPrinted>
  <dcterms:modified xsi:type="dcterms:W3CDTF">2025-11-28T16:10:05Z</dcterms:modified>
  <dc:title>2015年度瑞安市天然气工程</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2052-12.8.2.19831</vt:lpwstr>
  </property>
  <property fmtid="{D5CDD505-2E9C-101B-9397-08002B2CF9AE}" pid="3" name="ICV">
    <vt:lpwstr>50BCE1F0440F4D3EB94BA8431C0B6591_13</vt:lpwstr>
  </property>
  <property fmtid="{D5CDD505-2E9C-101B-9397-08002B2CF9AE}" pid="4" name="KSOTemplateDocerSaveRecord">
    <vt:lpwstr>eyJoZGlkIjoiNTQzZGE1N2Q1N2U5M2JmY2JlMzMwMGZmM2U2MWFhZDciLCJ1c2VySWQiOiIyMzU2MzQ2NDAifQ==</vt:lpwstr>
  </property>
</Properties>
</file>