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21DAA7">
      <w:pPr>
        <w:jc w:val="center"/>
        <w:rPr>
          <w:rFonts w:hint="eastAsia" w:ascii="新宋体" w:hAnsi="新宋体" w:eastAsia="新宋体" w:cs="新宋体"/>
          <w:b/>
          <w:bCs/>
          <w:color w:val="auto"/>
          <w:spacing w:val="20"/>
          <w:sz w:val="84"/>
          <w:szCs w:val="84"/>
          <w:highlight w:val="none"/>
        </w:rPr>
      </w:pPr>
    </w:p>
    <w:p w14:paraId="5D57ABF4">
      <w:pPr>
        <w:jc w:val="center"/>
        <w:rPr>
          <w:rFonts w:hint="eastAsia" w:ascii="新宋体" w:hAnsi="新宋体" w:eastAsia="新宋体" w:cs="新宋体"/>
          <w:b/>
          <w:bCs/>
          <w:color w:val="auto"/>
          <w:spacing w:val="20"/>
          <w:sz w:val="84"/>
          <w:szCs w:val="84"/>
          <w:highlight w:val="none"/>
        </w:rPr>
      </w:pPr>
      <w:r>
        <w:rPr>
          <w:rFonts w:hint="eastAsia" w:ascii="新宋体" w:hAnsi="新宋体" w:eastAsia="新宋体" w:cs="新宋体"/>
          <w:b/>
          <w:bCs/>
          <w:color w:val="auto"/>
          <w:spacing w:val="20"/>
          <w:sz w:val="84"/>
          <w:szCs w:val="84"/>
          <w:highlight w:val="none"/>
        </w:rPr>
        <w:t>温州市国有企业采购</w:t>
      </w:r>
    </w:p>
    <w:p w14:paraId="67E50F7C">
      <w:pPr>
        <w:ind w:firstLine="2357" w:firstLineChars="235"/>
        <w:rPr>
          <w:rFonts w:hint="eastAsia" w:ascii="新宋体" w:hAnsi="新宋体" w:eastAsia="新宋体" w:cs="新宋体"/>
          <w:b/>
          <w:bCs/>
          <w:color w:val="auto"/>
          <w:spacing w:val="140"/>
          <w:sz w:val="72"/>
          <w:highlight w:val="none"/>
        </w:rPr>
      </w:pPr>
    </w:p>
    <w:p w14:paraId="3FD0E000">
      <w:pPr>
        <w:spacing w:line="360" w:lineRule="exact"/>
        <w:jc w:val="center"/>
        <w:rPr>
          <w:rFonts w:hint="eastAsia" w:ascii="新宋体" w:hAnsi="新宋体" w:eastAsia="新宋体" w:cs="新宋体"/>
          <w:b/>
          <w:bCs/>
          <w:color w:val="auto"/>
          <w:spacing w:val="140"/>
          <w:sz w:val="72"/>
          <w:highlight w:val="none"/>
        </w:rPr>
      </w:pPr>
    </w:p>
    <w:p w14:paraId="77E1B0AE">
      <w:pPr>
        <w:spacing w:line="900" w:lineRule="exact"/>
        <w:jc w:val="center"/>
        <w:rPr>
          <w:rFonts w:hint="eastAsia" w:ascii="新宋体" w:hAnsi="新宋体" w:eastAsia="新宋体" w:cs="新宋体"/>
          <w:b/>
          <w:bCs/>
          <w:color w:val="auto"/>
          <w:spacing w:val="140"/>
          <w:sz w:val="84"/>
          <w:szCs w:val="84"/>
          <w:highlight w:val="none"/>
        </w:rPr>
      </w:pPr>
      <w:r>
        <w:rPr>
          <w:rFonts w:hint="eastAsia" w:ascii="新宋体" w:hAnsi="新宋体" w:eastAsia="新宋体" w:cs="新宋体"/>
          <w:b/>
          <w:bCs/>
          <w:color w:val="auto"/>
          <w:spacing w:val="140"/>
          <w:sz w:val="84"/>
          <w:szCs w:val="84"/>
          <w:highlight w:val="none"/>
        </w:rPr>
        <w:t xml:space="preserve"> 采购文件</w:t>
      </w:r>
    </w:p>
    <w:p w14:paraId="668C5267">
      <w:pPr>
        <w:spacing w:line="400" w:lineRule="exact"/>
        <w:jc w:val="center"/>
        <w:rPr>
          <w:rFonts w:hint="eastAsia" w:ascii="新宋体" w:hAnsi="新宋体" w:eastAsia="新宋体" w:cs="新宋体"/>
          <w:b/>
          <w:bCs/>
          <w:color w:val="auto"/>
          <w:sz w:val="32"/>
          <w:szCs w:val="32"/>
          <w:highlight w:val="none"/>
        </w:rPr>
      </w:pPr>
    </w:p>
    <w:p w14:paraId="567A7B39">
      <w:pPr>
        <w:spacing w:line="400" w:lineRule="exact"/>
        <w:jc w:val="center"/>
        <w:rPr>
          <w:rFonts w:hint="eastAsia" w:ascii="新宋体" w:hAnsi="新宋体" w:eastAsia="新宋体" w:cs="新宋体"/>
          <w:b/>
          <w:bCs/>
          <w:color w:val="auto"/>
          <w:sz w:val="32"/>
          <w:szCs w:val="32"/>
          <w:highlight w:val="none"/>
        </w:rPr>
      </w:pPr>
    </w:p>
    <w:p w14:paraId="74DC633C">
      <w:pPr>
        <w:pStyle w:val="29"/>
        <w:rPr>
          <w:rFonts w:hint="eastAsia" w:ascii="新宋体" w:hAnsi="新宋体" w:eastAsia="新宋体" w:cs="新宋体"/>
          <w:b/>
          <w:bCs/>
          <w:color w:val="auto"/>
          <w:sz w:val="32"/>
          <w:szCs w:val="32"/>
          <w:highlight w:val="none"/>
        </w:rPr>
      </w:pPr>
    </w:p>
    <w:p w14:paraId="63FB1DE6">
      <w:pPr>
        <w:pStyle w:val="29"/>
        <w:rPr>
          <w:rFonts w:hint="eastAsia" w:ascii="新宋体" w:hAnsi="新宋体" w:eastAsia="新宋体" w:cs="新宋体"/>
          <w:b/>
          <w:bCs/>
          <w:color w:val="auto"/>
          <w:sz w:val="32"/>
          <w:szCs w:val="32"/>
          <w:highlight w:val="none"/>
        </w:rPr>
      </w:pPr>
    </w:p>
    <w:p w14:paraId="478654F9">
      <w:pPr>
        <w:rPr>
          <w:rFonts w:hint="eastAsia" w:ascii="新宋体" w:hAnsi="新宋体" w:eastAsia="新宋体" w:cs="新宋体"/>
          <w:b/>
          <w:bCs/>
          <w:color w:val="auto"/>
          <w:sz w:val="24"/>
          <w:highlight w:val="none"/>
        </w:rPr>
      </w:pPr>
    </w:p>
    <w:p w14:paraId="0B1DEAB5">
      <w:pPr>
        <w:ind w:firstLine="1140" w:firstLineChars="300"/>
        <w:rPr>
          <w:rFonts w:hint="eastAsia" w:ascii="新宋体" w:hAnsi="新宋体" w:eastAsia="新宋体" w:cs="新宋体"/>
          <w:color w:val="auto"/>
          <w:spacing w:val="40"/>
          <w:sz w:val="30"/>
          <w:szCs w:val="30"/>
          <w:highlight w:val="none"/>
        </w:rPr>
      </w:pPr>
    </w:p>
    <w:tbl>
      <w:tblPr>
        <w:tblStyle w:val="31"/>
        <w:tblW w:w="0" w:type="auto"/>
        <w:jc w:val="center"/>
        <w:tblLayout w:type="fixed"/>
        <w:tblCellMar>
          <w:top w:w="0" w:type="dxa"/>
          <w:left w:w="108" w:type="dxa"/>
          <w:bottom w:w="0" w:type="dxa"/>
          <w:right w:w="108" w:type="dxa"/>
        </w:tblCellMar>
      </w:tblPr>
      <w:tblGrid>
        <w:gridCol w:w="2773"/>
        <w:gridCol w:w="4972"/>
      </w:tblGrid>
      <w:tr w14:paraId="7E5BD177">
        <w:tblPrEx>
          <w:tblCellMar>
            <w:top w:w="0" w:type="dxa"/>
            <w:left w:w="108" w:type="dxa"/>
            <w:bottom w:w="0" w:type="dxa"/>
            <w:right w:w="108" w:type="dxa"/>
          </w:tblCellMar>
        </w:tblPrEx>
        <w:trPr>
          <w:trHeight w:val="1077" w:hRule="atLeast"/>
          <w:jc w:val="center"/>
        </w:trPr>
        <w:tc>
          <w:tcPr>
            <w:tcW w:w="2773" w:type="dxa"/>
            <w:noWrap w:val="0"/>
            <w:vAlign w:val="center"/>
          </w:tcPr>
          <w:p w14:paraId="06C5E68A">
            <w:pPr>
              <w:snapToGrid w:val="0"/>
              <w:jc w:val="distribute"/>
              <w:rPr>
                <w:rFonts w:hint="eastAsia" w:ascii="新宋体" w:hAnsi="新宋体" w:eastAsia="新宋体" w:cs="新宋体"/>
                <w:b/>
                <w:color w:val="auto"/>
                <w:sz w:val="28"/>
                <w:szCs w:val="28"/>
                <w:highlight w:val="none"/>
              </w:rPr>
            </w:pPr>
            <w:r>
              <w:rPr>
                <w:rFonts w:hint="eastAsia" w:ascii="新宋体" w:hAnsi="新宋体" w:eastAsia="新宋体" w:cs="新宋体"/>
                <w:b/>
                <w:color w:val="auto"/>
                <w:sz w:val="28"/>
                <w:szCs w:val="28"/>
                <w:highlight w:val="none"/>
              </w:rPr>
              <w:t>项目</w:t>
            </w:r>
            <w:r>
              <w:rPr>
                <w:rFonts w:hint="eastAsia" w:ascii="新宋体" w:hAnsi="新宋体" w:eastAsia="新宋体" w:cs="新宋体"/>
                <w:b/>
                <w:color w:val="auto"/>
                <w:sz w:val="28"/>
                <w:szCs w:val="28"/>
                <w:highlight w:val="none"/>
                <w:lang w:val="en-US" w:eastAsia="zh-CN"/>
              </w:rPr>
              <w:t>编号</w:t>
            </w:r>
            <w:r>
              <w:rPr>
                <w:rFonts w:hint="eastAsia" w:ascii="新宋体" w:hAnsi="新宋体" w:eastAsia="新宋体" w:cs="新宋体"/>
                <w:b/>
                <w:color w:val="auto"/>
                <w:sz w:val="28"/>
                <w:szCs w:val="28"/>
                <w:highlight w:val="none"/>
              </w:rPr>
              <w:t>：</w:t>
            </w:r>
          </w:p>
        </w:tc>
        <w:tc>
          <w:tcPr>
            <w:tcW w:w="4972" w:type="dxa"/>
            <w:noWrap w:val="0"/>
            <w:vAlign w:val="center"/>
          </w:tcPr>
          <w:p w14:paraId="29BE15BB">
            <w:pPr>
              <w:snapToGrid w:val="0"/>
              <w:rPr>
                <w:rFonts w:hint="eastAsia" w:ascii="新宋体" w:hAnsi="新宋体" w:eastAsia="新宋体" w:cs="新宋体"/>
                <w:bCs/>
                <w:color w:val="auto"/>
                <w:sz w:val="28"/>
                <w:szCs w:val="28"/>
                <w:highlight w:val="none"/>
              </w:rPr>
            </w:pPr>
            <w:r>
              <w:rPr>
                <w:rFonts w:hint="eastAsia" w:ascii="新宋体" w:hAnsi="新宋体" w:eastAsia="新宋体" w:cs="新宋体"/>
                <w:b/>
                <w:bCs w:val="0"/>
                <w:color w:val="auto"/>
                <w:sz w:val="28"/>
                <w:szCs w:val="28"/>
                <w:highlight w:val="none"/>
                <w:lang w:eastAsia="zh-CN"/>
              </w:rPr>
              <w:t>WGSS-GYNY-X-2025013</w:t>
            </w:r>
          </w:p>
        </w:tc>
      </w:tr>
      <w:tr w14:paraId="28ABAC6B">
        <w:tblPrEx>
          <w:tblCellMar>
            <w:top w:w="0" w:type="dxa"/>
            <w:left w:w="108" w:type="dxa"/>
            <w:bottom w:w="0" w:type="dxa"/>
            <w:right w:w="108" w:type="dxa"/>
          </w:tblCellMar>
        </w:tblPrEx>
        <w:trPr>
          <w:trHeight w:val="1077" w:hRule="atLeast"/>
          <w:jc w:val="center"/>
        </w:trPr>
        <w:tc>
          <w:tcPr>
            <w:tcW w:w="2773" w:type="dxa"/>
            <w:noWrap w:val="0"/>
            <w:vAlign w:val="center"/>
          </w:tcPr>
          <w:p w14:paraId="62ADBAAD">
            <w:pPr>
              <w:snapToGrid w:val="0"/>
              <w:jc w:val="distribute"/>
              <w:rPr>
                <w:rFonts w:hint="eastAsia" w:ascii="新宋体" w:hAnsi="新宋体" w:eastAsia="新宋体" w:cs="新宋体"/>
                <w:b/>
                <w:color w:val="auto"/>
                <w:sz w:val="28"/>
                <w:szCs w:val="28"/>
                <w:highlight w:val="none"/>
              </w:rPr>
            </w:pPr>
            <w:r>
              <w:rPr>
                <w:rFonts w:hint="eastAsia" w:ascii="新宋体" w:hAnsi="新宋体" w:eastAsia="新宋体" w:cs="新宋体"/>
                <w:b/>
                <w:color w:val="auto"/>
                <w:sz w:val="28"/>
                <w:szCs w:val="28"/>
                <w:highlight w:val="none"/>
              </w:rPr>
              <w:t>项目名称：</w:t>
            </w:r>
          </w:p>
        </w:tc>
        <w:tc>
          <w:tcPr>
            <w:tcW w:w="4972" w:type="dxa"/>
            <w:noWrap w:val="0"/>
            <w:vAlign w:val="center"/>
          </w:tcPr>
          <w:p w14:paraId="3C0BF658">
            <w:pPr>
              <w:snapToGrid w:val="0"/>
              <w:rPr>
                <w:rFonts w:hint="eastAsia" w:ascii="新宋体" w:hAnsi="新宋体" w:eastAsia="新宋体" w:cs="新宋体"/>
                <w:b/>
                <w:bCs w:val="0"/>
                <w:color w:val="auto"/>
                <w:sz w:val="28"/>
                <w:szCs w:val="28"/>
                <w:highlight w:val="none"/>
                <w:lang w:eastAsia="zh-CN"/>
              </w:rPr>
            </w:pPr>
            <w:r>
              <w:rPr>
                <w:rFonts w:hint="eastAsia" w:ascii="新宋体" w:hAnsi="新宋体" w:eastAsia="新宋体" w:cs="新宋体"/>
                <w:b/>
                <w:bCs w:val="0"/>
                <w:color w:val="auto"/>
                <w:sz w:val="28"/>
                <w:szCs w:val="28"/>
                <w:highlight w:val="none"/>
                <w:lang w:eastAsia="zh-CN"/>
              </w:rPr>
              <w:t>医疗专区智慧医疗数据综合流通平台-区域医疗综合管理系统及多元数据治理</w:t>
            </w:r>
          </w:p>
        </w:tc>
      </w:tr>
      <w:tr w14:paraId="6AA8177D">
        <w:tblPrEx>
          <w:tblCellMar>
            <w:top w:w="0" w:type="dxa"/>
            <w:left w:w="108" w:type="dxa"/>
            <w:bottom w:w="0" w:type="dxa"/>
            <w:right w:w="108" w:type="dxa"/>
          </w:tblCellMar>
        </w:tblPrEx>
        <w:trPr>
          <w:trHeight w:val="1077" w:hRule="atLeast"/>
          <w:jc w:val="center"/>
        </w:trPr>
        <w:tc>
          <w:tcPr>
            <w:tcW w:w="2773" w:type="dxa"/>
            <w:noWrap w:val="0"/>
            <w:vAlign w:val="center"/>
          </w:tcPr>
          <w:p w14:paraId="716C5423">
            <w:pPr>
              <w:snapToGrid w:val="0"/>
              <w:jc w:val="distribute"/>
              <w:rPr>
                <w:rFonts w:hint="eastAsia" w:ascii="新宋体" w:hAnsi="新宋体" w:eastAsia="新宋体" w:cs="新宋体"/>
                <w:b/>
                <w:color w:val="auto"/>
                <w:sz w:val="28"/>
                <w:szCs w:val="28"/>
                <w:highlight w:val="none"/>
              </w:rPr>
            </w:pPr>
            <w:r>
              <w:rPr>
                <w:rFonts w:hint="eastAsia" w:ascii="新宋体" w:hAnsi="新宋体" w:eastAsia="新宋体" w:cs="新宋体"/>
                <w:b/>
                <w:color w:val="auto"/>
                <w:sz w:val="28"/>
                <w:szCs w:val="28"/>
                <w:highlight w:val="none"/>
              </w:rPr>
              <w:t>采购方式：</w:t>
            </w:r>
          </w:p>
        </w:tc>
        <w:tc>
          <w:tcPr>
            <w:tcW w:w="4972" w:type="dxa"/>
            <w:noWrap w:val="0"/>
            <w:vAlign w:val="center"/>
          </w:tcPr>
          <w:p w14:paraId="3CD4CC15">
            <w:pPr>
              <w:snapToGrid w:val="0"/>
              <w:jc w:val="left"/>
              <w:rPr>
                <w:rFonts w:hint="eastAsia" w:ascii="新宋体" w:hAnsi="新宋体" w:eastAsia="新宋体" w:cs="新宋体"/>
                <w:b/>
                <w:bCs w:val="0"/>
                <w:color w:val="auto"/>
                <w:sz w:val="28"/>
                <w:szCs w:val="28"/>
                <w:highlight w:val="none"/>
              </w:rPr>
            </w:pPr>
            <w:r>
              <w:rPr>
                <w:rFonts w:hint="eastAsia" w:ascii="新宋体" w:hAnsi="新宋体" w:eastAsia="新宋体" w:cs="新宋体"/>
                <w:b/>
                <w:bCs w:val="0"/>
                <w:color w:val="auto"/>
                <w:sz w:val="28"/>
                <w:szCs w:val="28"/>
                <w:highlight w:val="none"/>
              </w:rPr>
              <w:t>公开招标</w:t>
            </w:r>
          </w:p>
        </w:tc>
      </w:tr>
      <w:tr w14:paraId="10D940D8">
        <w:tblPrEx>
          <w:tblCellMar>
            <w:top w:w="0" w:type="dxa"/>
            <w:left w:w="108" w:type="dxa"/>
            <w:bottom w:w="0" w:type="dxa"/>
            <w:right w:w="108" w:type="dxa"/>
          </w:tblCellMar>
        </w:tblPrEx>
        <w:trPr>
          <w:trHeight w:val="1077" w:hRule="atLeast"/>
          <w:jc w:val="center"/>
        </w:trPr>
        <w:tc>
          <w:tcPr>
            <w:tcW w:w="2773" w:type="dxa"/>
            <w:noWrap w:val="0"/>
            <w:vAlign w:val="center"/>
          </w:tcPr>
          <w:p w14:paraId="14F13913">
            <w:pPr>
              <w:snapToGrid w:val="0"/>
              <w:jc w:val="distribute"/>
              <w:rPr>
                <w:rFonts w:hint="eastAsia" w:ascii="新宋体" w:hAnsi="新宋体" w:eastAsia="新宋体" w:cs="新宋体"/>
                <w:b/>
                <w:color w:val="auto"/>
                <w:sz w:val="28"/>
                <w:szCs w:val="28"/>
                <w:highlight w:val="none"/>
              </w:rPr>
            </w:pPr>
            <w:r>
              <w:rPr>
                <w:rFonts w:hint="eastAsia" w:ascii="新宋体" w:hAnsi="新宋体" w:eastAsia="新宋体" w:cs="新宋体"/>
                <w:b/>
                <w:color w:val="auto"/>
                <w:sz w:val="28"/>
                <w:szCs w:val="28"/>
                <w:highlight w:val="none"/>
              </w:rPr>
              <w:t>采购人：</w:t>
            </w:r>
          </w:p>
        </w:tc>
        <w:tc>
          <w:tcPr>
            <w:tcW w:w="4972" w:type="dxa"/>
            <w:noWrap w:val="0"/>
            <w:vAlign w:val="center"/>
          </w:tcPr>
          <w:p w14:paraId="33A5870D">
            <w:pPr>
              <w:snapToGrid w:val="0"/>
              <w:rPr>
                <w:rFonts w:hint="eastAsia" w:ascii="新宋体" w:hAnsi="新宋体" w:eastAsia="新宋体" w:cs="新宋体"/>
                <w:b/>
                <w:bCs w:val="0"/>
                <w:color w:val="auto"/>
                <w:sz w:val="28"/>
                <w:szCs w:val="28"/>
                <w:highlight w:val="none"/>
                <w:lang w:val="en-US" w:eastAsia="zh-CN"/>
              </w:rPr>
            </w:pPr>
            <w:r>
              <w:rPr>
                <w:rFonts w:hint="eastAsia" w:ascii="新宋体" w:hAnsi="新宋体" w:eastAsia="新宋体" w:cs="新宋体"/>
                <w:b/>
                <w:bCs w:val="0"/>
                <w:color w:val="auto"/>
                <w:sz w:val="28"/>
                <w:szCs w:val="28"/>
                <w:highlight w:val="none"/>
                <w:lang w:val="en-US" w:eastAsia="zh-CN"/>
              </w:rPr>
              <w:t>温州市数据集团有限公司</w:t>
            </w:r>
          </w:p>
        </w:tc>
      </w:tr>
      <w:tr w14:paraId="10471DF6">
        <w:tblPrEx>
          <w:tblCellMar>
            <w:top w:w="0" w:type="dxa"/>
            <w:left w:w="108" w:type="dxa"/>
            <w:bottom w:w="0" w:type="dxa"/>
            <w:right w:w="108" w:type="dxa"/>
          </w:tblCellMar>
        </w:tblPrEx>
        <w:trPr>
          <w:trHeight w:val="1077" w:hRule="atLeast"/>
          <w:jc w:val="center"/>
        </w:trPr>
        <w:tc>
          <w:tcPr>
            <w:tcW w:w="2773" w:type="dxa"/>
            <w:noWrap w:val="0"/>
            <w:vAlign w:val="center"/>
          </w:tcPr>
          <w:p w14:paraId="370D0035">
            <w:pPr>
              <w:snapToGrid w:val="0"/>
              <w:jc w:val="distribute"/>
              <w:rPr>
                <w:rFonts w:hint="eastAsia" w:ascii="新宋体" w:hAnsi="新宋体" w:eastAsia="新宋体" w:cs="新宋体"/>
                <w:b/>
                <w:color w:val="auto"/>
                <w:sz w:val="28"/>
                <w:szCs w:val="28"/>
                <w:highlight w:val="none"/>
              </w:rPr>
            </w:pPr>
            <w:r>
              <w:rPr>
                <w:rFonts w:hint="eastAsia" w:ascii="新宋体" w:hAnsi="新宋体" w:eastAsia="新宋体" w:cs="新宋体"/>
                <w:b/>
                <w:color w:val="auto"/>
                <w:sz w:val="28"/>
                <w:szCs w:val="28"/>
                <w:highlight w:val="none"/>
              </w:rPr>
              <w:t>采购代理机构：</w:t>
            </w:r>
          </w:p>
        </w:tc>
        <w:tc>
          <w:tcPr>
            <w:tcW w:w="4972" w:type="dxa"/>
            <w:noWrap w:val="0"/>
            <w:vAlign w:val="center"/>
          </w:tcPr>
          <w:p w14:paraId="6E7125ED">
            <w:pPr>
              <w:snapToGrid w:val="0"/>
              <w:rPr>
                <w:rFonts w:hint="eastAsia" w:ascii="新宋体" w:hAnsi="新宋体" w:eastAsia="新宋体" w:cs="新宋体"/>
                <w:b/>
                <w:bCs w:val="0"/>
                <w:color w:val="auto"/>
                <w:sz w:val="28"/>
                <w:szCs w:val="28"/>
                <w:highlight w:val="none"/>
                <w:lang w:eastAsia="zh-CN"/>
              </w:rPr>
            </w:pPr>
            <w:r>
              <w:rPr>
                <w:rFonts w:hint="eastAsia" w:ascii="新宋体" w:hAnsi="新宋体" w:eastAsia="新宋体" w:cs="新宋体"/>
                <w:b/>
                <w:bCs w:val="0"/>
                <w:color w:val="auto"/>
                <w:sz w:val="28"/>
                <w:szCs w:val="28"/>
                <w:highlight w:val="none"/>
                <w:lang w:eastAsia="zh-CN"/>
              </w:rPr>
              <w:t>温州品立项目管理有限公司</w:t>
            </w:r>
          </w:p>
        </w:tc>
      </w:tr>
    </w:tbl>
    <w:p w14:paraId="6597CA18">
      <w:pPr>
        <w:spacing w:line="600" w:lineRule="exact"/>
        <w:jc w:val="center"/>
        <w:rPr>
          <w:rFonts w:hint="eastAsia" w:ascii="新宋体" w:hAnsi="新宋体" w:eastAsia="新宋体" w:cs="新宋体"/>
          <w:b/>
          <w:color w:val="auto"/>
          <w:spacing w:val="40"/>
          <w:sz w:val="28"/>
          <w:szCs w:val="28"/>
          <w:highlight w:val="none"/>
        </w:rPr>
      </w:pPr>
    </w:p>
    <w:p w14:paraId="029DFA90">
      <w:pPr>
        <w:snapToGrid w:val="0"/>
        <w:jc w:val="center"/>
        <w:rPr>
          <w:rFonts w:hint="eastAsia" w:ascii="新宋体" w:hAnsi="新宋体" w:eastAsia="新宋体" w:cs="新宋体"/>
          <w:b/>
          <w:bCs w:val="0"/>
          <w:color w:val="auto"/>
          <w:sz w:val="28"/>
          <w:szCs w:val="28"/>
          <w:highlight w:val="none"/>
          <w:lang w:eastAsia="zh-CN"/>
        </w:rPr>
      </w:pPr>
      <w:r>
        <w:rPr>
          <w:rFonts w:hint="eastAsia" w:ascii="新宋体" w:hAnsi="新宋体" w:eastAsia="新宋体" w:cs="新宋体"/>
          <w:b/>
          <w:bCs w:val="0"/>
          <w:color w:val="auto"/>
          <w:sz w:val="28"/>
          <w:szCs w:val="28"/>
          <w:highlight w:val="none"/>
          <w:lang w:eastAsia="zh-CN"/>
        </w:rPr>
        <w:t>二〇二五年</w:t>
      </w:r>
      <w:r>
        <w:rPr>
          <w:rFonts w:hint="eastAsia" w:ascii="新宋体" w:hAnsi="新宋体" w:eastAsia="新宋体" w:cs="新宋体"/>
          <w:b/>
          <w:bCs w:val="0"/>
          <w:color w:val="auto"/>
          <w:sz w:val="28"/>
          <w:szCs w:val="28"/>
          <w:highlight w:val="none"/>
          <w:lang w:val="en-US" w:eastAsia="zh-CN"/>
        </w:rPr>
        <w:t>十一</w:t>
      </w:r>
      <w:r>
        <w:rPr>
          <w:rFonts w:hint="eastAsia" w:ascii="新宋体" w:hAnsi="新宋体" w:eastAsia="新宋体" w:cs="新宋体"/>
          <w:b/>
          <w:bCs w:val="0"/>
          <w:color w:val="auto"/>
          <w:sz w:val="28"/>
          <w:szCs w:val="28"/>
          <w:highlight w:val="none"/>
          <w:lang w:eastAsia="zh-CN"/>
        </w:rPr>
        <w:t>月</w:t>
      </w:r>
    </w:p>
    <w:p w14:paraId="49905435">
      <w:pPr>
        <w:rPr>
          <w:rFonts w:hint="eastAsia" w:ascii="新宋体" w:hAnsi="新宋体" w:eastAsia="新宋体" w:cs="新宋体"/>
          <w:color w:val="auto"/>
          <w:sz w:val="30"/>
          <w:szCs w:val="30"/>
          <w:highlight w:val="none"/>
        </w:rPr>
      </w:pPr>
    </w:p>
    <w:p w14:paraId="4262798A">
      <w:pPr>
        <w:overflowPunct w:val="0"/>
        <w:spacing w:line="360" w:lineRule="auto"/>
        <w:jc w:val="center"/>
        <w:rPr>
          <w:rFonts w:hint="eastAsia" w:ascii="新宋体" w:hAnsi="新宋体" w:eastAsia="新宋体" w:cs="新宋体"/>
          <w:b/>
          <w:bCs/>
          <w:color w:val="auto"/>
          <w:sz w:val="36"/>
          <w:szCs w:val="36"/>
          <w:highlight w:val="none"/>
        </w:rPr>
        <w:sectPr>
          <w:headerReference r:id="rId3" w:type="default"/>
          <w:pgSz w:w="11906" w:h="16838"/>
          <w:pgMar w:top="1134" w:right="1247" w:bottom="992" w:left="1417" w:header="851" w:footer="850" w:gutter="0"/>
          <w:pgBorders>
            <w:top w:val="none" w:sz="0" w:space="0"/>
            <w:left w:val="none" w:sz="0" w:space="0"/>
            <w:bottom w:val="none" w:sz="0" w:space="0"/>
            <w:right w:val="none" w:sz="0" w:space="0"/>
          </w:pgBorders>
          <w:cols w:space="720" w:num="1"/>
          <w:docGrid w:linePitch="316" w:charSpace="0"/>
        </w:sectPr>
      </w:pPr>
    </w:p>
    <w:p w14:paraId="5993CB27">
      <w:pPr>
        <w:overflowPunct w:val="0"/>
        <w:spacing w:line="360" w:lineRule="auto"/>
        <w:jc w:val="center"/>
        <w:rPr>
          <w:rFonts w:hint="eastAsia" w:ascii="新宋体" w:hAnsi="新宋体" w:eastAsia="新宋体" w:cs="新宋体"/>
          <w:color w:val="auto"/>
          <w:sz w:val="36"/>
          <w:szCs w:val="36"/>
          <w:highlight w:val="none"/>
        </w:rPr>
      </w:pPr>
      <w:r>
        <w:rPr>
          <w:rFonts w:hint="eastAsia" w:ascii="新宋体" w:hAnsi="新宋体" w:eastAsia="新宋体" w:cs="新宋体"/>
          <w:b/>
          <w:bCs/>
          <w:color w:val="auto"/>
          <w:sz w:val="36"/>
          <w:szCs w:val="36"/>
          <w:highlight w:val="none"/>
        </w:rPr>
        <w:t>目    录</w:t>
      </w:r>
    </w:p>
    <w:p w14:paraId="530BA281">
      <w:pPr>
        <w:pStyle w:val="29"/>
        <w:ind w:firstLine="210"/>
        <w:rPr>
          <w:rFonts w:hint="eastAsia" w:ascii="新宋体" w:hAnsi="新宋体" w:eastAsia="新宋体" w:cs="新宋体"/>
          <w:color w:val="auto"/>
          <w:highlight w:val="none"/>
        </w:rPr>
      </w:pPr>
    </w:p>
    <w:p w14:paraId="224F6082">
      <w:pPr>
        <w:pStyle w:val="21"/>
        <w:ind w:left="282" w:hanging="282"/>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温州市工业与能源集团所属温州市数据集团有限公司关于</w:t>
      </w:r>
      <w:r>
        <w:rPr>
          <w:rFonts w:hint="eastAsia" w:ascii="新宋体" w:hAnsi="新宋体" w:eastAsia="新宋体" w:cs="新宋体"/>
          <w:bCs/>
          <w:color w:val="auto"/>
          <w:sz w:val="22"/>
          <w:szCs w:val="22"/>
          <w:highlight w:val="none"/>
        </w:rPr>
        <w:fldChar w:fldCharType="begin"/>
      </w:r>
      <w:r>
        <w:rPr>
          <w:rStyle w:val="38"/>
          <w:rFonts w:hint="eastAsia" w:ascii="新宋体" w:hAnsi="新宋体" w:eastAsia="新宋体" w:cs="新宋体"/>
          <w:bCs/>
          <w:color w:val="auto"/>
          <w:sz w:val="22"/>
          <w:szCs w:val="22"/>
          <w:highlight w:val="none"/>
          <w:u w:val="none"/>
        </w:rPr>
        <w:instrText xml:space="preserve"> TOC \o "1-3" \h \z \u </w:instrText>
      </w:r>
      <w:r>
        <w:rPr>
          <w:rFonts w:hint="eastAsia" w:ascii="新宋体" w:hAnsi="新宋体" w:eastAsia="新宋体" w:cs="新宋体"/>
          <w:bCs/>
          <w:color w:val="auto"/>
          <w:sz w:val="22"/>
          <w:szCs w:val="22"/>
          <w:highlight w:val="none"/>
        </w:rPr>
        <w:fldChar w:fldCharType="separate"/>
      </w: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"_Toc75948394" </w:instrText>
      </w:r>
      <w:r>
        <w:rPr>
          <w:rFonts w:hint="eastAsia" w:ascii="新宋体" w:hAnsi="新宋体" w:eastAsia="新宋体" w:cs="新宋体"/>
          <w:color w:val="auto"/>
          <w:highlight w:val="none"/>
        </w:rPr>
        <w:fldChar w:fldCharType="separate"/>
      </w:r>
      <w:r>
        <w:rPr>
          <w:rStyle w:val="38"/>
          <w:rFonts w:hint="eastAsia" w:ascii="新宋体" w:hAnsi="新宋体" w:eastAsia="新宋体" w:cs="新宋体"/>
          <w:color w:val="auto"/>
          <w:sz w:val="22"/>
          <w:szCs w:val="22"/>
          <w:highlight w:val="none"/>
          <w:lang w:eastAsia="zh-CN"/>
        </w:rPr>
        <w:t>医疗专区智慧医疗数据综合流通平台-区域医疗综合管理系统及多元数据治理</w:t>
      </w:r>
      <w:r>
        <w:rPr>
          <w:rStyle w:val="38"/>
          <w:rFonts w:hint="eastAsia" w:ascii="新宋体" w:hAnsi="新宋体" w:eastAsia="新宋体" w:cs="新宋体"/>
          <w:color w:val="auto"/>
          <w:sz w:val="22"/>
          <w:szCs w:val="22"/>
          <w:highlight w:val="none"/>
        </w:rPr>
        <w:t>项目采购公告</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_Toc75948394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highlight w:val="none"/>
        </w:rPr>
        <w:fldChar w:fldCharType="end"/>
      </w:r>
    </w:p>
    <w:p w14:paraId="432C51AC">
      <w:pPr>
        <w:pStyle w:val="21"/>
        <w:ind w:left="0" w:firstLine="0" w:firstLineChars="0"/>
        <w:rPr>
          <w:rFonts w:hint="eastAsia" w:ascii="新宋体" w:hAnsi="新宋体" w:eastAsia="新宋体" w:cs="新宋体"/>
          <w:color w:val="auto"/>
          <w:sz w:val="22"/>
          <w:szCs w:val="22"/>
          <w:highlight w:val="none"/>
        </w:rPr>
      </w:pPr>
      <w:r>
        <w:rPr>
          <w:rStyle w:val="38"/>
          <w:rFonts w:hint="eastAsia" w:ascii="新宋体" w:hAnsi="新宋体" w:eastAsia="新宋体" w:cs="新宋体"/>
          <w:color w:val="auto"/>
          <w:sz w:val="22"/>
          <w:szCs w:val="22"/>
          <w:highlight w:val="none"/>
          <w:lang w:eastAsia="zh-CN"/>
        </w:rPr>
        <w:t>温州市工业与能源集团所属温州市数据集团有限公司关于</w:t>
      </w: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"_Toc75948395" </w:instrText>
      </w:r>
      <w:r>
        <w:rPr>
          <w:rFonts w:hint="eastAsia" w:ascii="新宋体" w:hAnsi="新宋体" w:eastAsia="新宋体" w:cs="新宋体"/>
          <w:color w:val="auto"/>
          <w:highlight w:val="none"/>
        </w:rPr>
        <w:fldChar w:fldCharType="separate"/>
      </w:r>
      <w:r>
        <w:rPr>
          <w:rStyle w:val="38"/>
          <w:rFonts w:hint="eastAsia" w:ascii="新宋体" w:hAnsi="新宋体" w:eastAsia="新宋体" w:cs="新宋体"/>
          <w:color w:val="auto"/>
          <w:sz w:val="22"/>
          <w:szCs w:val="22"/>
          <w:highlight w:val="none"/>
          <w:lang w:eastAsia="zh-CN"/>
        </w:rPr>
        <w:t>医疗专区智慧医疗数据综合流通平台-区域医疗综合管理系统及多元数据治理</w:t>
      </w:r>
      <w:r>
        <w:rPr>
          <w:rStyle w:val="38"/>
          <w:rFonts w:hint="eastAsia" w:ascii="新宋体" w:hAnsi="新宋体" w:eastAsia="新宋体" w:cs="新宋体"/>
          <w:color w:val="auto"/>
          <w:sz w:val="22"/>
          <w:szCs w:val="22"/>
          <w:highlight w:val="none"/>
        </w:rPr>
        <w:t>项目采购文件征求意见公示</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_Toc75948395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highlight w:val="none"/>
        </w:rPr>
        <w:fldChar w:fldCharType="end"/>
      </w:r>
    </w:p>
    <w:p w14:paraId="557CBD8F">
      <w:pPr>
        <w:pStyle w:val="21"/>
        <w:ind w:left="269" w:hanging="269"/>
        <w:rPr>
          <w:rFonts w:hint="eastAsia" w:ascii="新宋体" w:hAnsi="新宋体" w:eastAsia="新宋体" w:cs="新宋体"/>
          <w:color w:val="auto"/>
          <w:sz w:val="22"/>
          <w:szCs w:val="22"/>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"_Toc75948396" </w:instrText>
      </w:r>
      <w:r>
        <w:rPr>
          <w:rFonts w:hint="eastAsia" w:ascii="新宋体" w:hAnsi="新宋体" w:eastAsia="新宋体" w:cs="新宋体"/>
          <w:color w:val="auto"/>
          <w:highlight w:val="none"/>
        </w:rPr>
        <w:fldChar w:fldCharType="separate"/>
      </w:r>
      <w:r>
        <w:rPr>
          <w:rStyle w:val="38"/>
          <w:rFonts w:hint="eastAsia" w:ascii="新宋体" w:hAnsi="新宋体" w:eastAsia="新宋体" w:cs="新宋体"/>
          <w:color w:val="auto"/>
          <w:sz w:val="22"/>
          <w:szCs w:val="22"/>
          <w:highlight w:val="none"/>
        </w:rPr>
        <w:t>投标供应商须知前附表</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_Toc75948396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highlight w:val="none"/>
        </w:rPr>
        <w:fldChar w:fldCharType="end"/>
      </w:r>
    </w:p>
    <w:p w14:paraId="278740E2">
      <w:pPr>
        <w:pStyle w:val="21"/>
        <w:ind w:left="269" w:hanging="269"/>
        <w:rPr>
          <w:rFonts w:hint="eastAsia" w:ascii="新宋体" w:hAnsi="新宋体" w:eastAsia="新宋体" w:cs="新宋体"/>
          <w:color w:val="auto"/>
          <w:sz w:val="22"/>
          <w:szCs w:val="22"/>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"_Toc75948397" </w:instrText>
      </w:r>
      <w:r>
        <w:rPr>
          <w:rFonts w:hint="eastAsia" w:ascii="新宋体" w:hAnsi="新宋体" w:eastAsia="新宋体" w:cs="新宋体"/>
          <w:color w:val="auto"/>
          <w:highlight w:val="none"/>
        </w:rPr>
        <w:fldChar w:fldCharType="separate"/>
      </w:r>
      <w:r>
        <w:rPr>
          <w:rStyle w:val="38"/>
          <w:rFonts w:hint="eastAsia" w:ascii="新宋体" w:hAnsi="新宋体" w:eastAsia="新宋体" w:cs="新宋体"/>
          <w:color w:val="auto"/>
          <w:sz w:val="22"/>
          <w:szCs w:val="22"/>
          <w:highlight w:val="none"/>
        </w:rPr>
        <w:t>第一部分    投标供应商须知</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_Toc75948397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highlight w:val="none"/>
        </w:rPr>
        <w:fldChar w:fldCharType="end"/>
      </w:r>
    </w:p>
    <w:p w14:paraId="60650A73">
      <w:pPr>
        <w:pStyle w:val="21"/>
        <w:ind w:left="269" w:hanging="269"/>
        <w:rPr>
          <w:rFonts w:hint="eastAsia" w:ascii="新宋体" w:hAnsi="新宋体" w:eastAsia="新宋体" w:cs="新宋体"/>
          <w:color w:val="auto"/>
          <w:sz w:val="22"/>
          <w:szCs w:val="22"/>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"_Toc75948398" </w:instrText>
      </w:r>
      <w:r>
        <w:rPr>
          <w:rFonts w:hint="eastAsia" w:ascii="新宋体" w:hAnsi="新宋体" w:eastAsia="新宋体" w:cs="新宋体"/>
          <w:color w:val="auto"/>
          <w:highlight w:val="none"/>
        </w:rPr>
        <w:fldChar w:fldCharType="separate"/>
      </w:r>
      <w:r>
        <w:rPr>
          <w:rStyle w:val="38"/>
          <w:rFonts w:hint="eastAsia" w:ascii="新宋体" w:hAnsi="新宋体" w:eastAsia="新宋体" w:cs="新宋体"/>
          <w:color w:val="auto"/>
          <w:sz w:val="22"/>
          <w:szCs w:val="22"/>
          <w:highlight w:val="none"/>
        </w:rPr>
        <w:t>一、  说明</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_Toc75948398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highlight w:val="none"/>
        </w:rPr>
        <w:fldChar w:fldCharType="end"/>
      </w:r>
    </w:p>
    <w:p w14:paraId="36737A78">
      <w:pPr>
        <w:pStyle w:val="21"/>
        <w:ind w:left="269" w:hanging="269"/>
        <w:rPr>
          <w:rFonts w:hint="eastAsia" w:ascii="新宋体" w:hAnsi="新宋体" w:eastAsia="新宋体" w:cs="新宋体"/>
          <w:color w:val="auto"/>
          <w:sz w:val="22"/>
          <w:szCs w:val="22"/>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"_Toc75948399" </w:instrText>
      </w:r>
      <w:r>
        <w:rPr>
          <w:rFonts w:hint="eastAsia" w:ascii="新宋体" w:hAnsi="新宋体" w:eastAsia="新宋体" w:cs="新宋体"/>
          <w:color w:val="auto"/>
          <w:highlight w:val="none"/>
        </w:rPr>
        <w:fldChar w:fldCharType="separate"/>
      </w:r>
      <w:r>
        <w:rPr>
          <w:rStyle w:val="38"/>
          <w:rFonts w:hint="eastAsia" w:ascii="新宋体" w:hAnsi="新宋体" w:eastAsia="新宋体" w:cs="新宋体"/>
          <w:color w:val="auto"/>
          <w:sz w:val="22"/>
          <w:szCs w:val="22"/>
          <w:highlight w:val="none"/>
        </w:rPr>
        <w:t>二、 采购文件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_Toc75948399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highlight w:val="none"/>
        </w:rPr>
        <w:fldChar w:fldCharType="end"/>
      </w:r>
    </w:p>
    <w:p w14:paraId="0FAF5D34">
      <w:pPr>
        <w:pStyle w:val="21"/>
        <w:ind w:left="269" w:hanging="269"/>
        <w:rPr>
          <w:rFonts w:hint="eastAsia" w:ascii="新宋体" w:hAnsi="新宋体" w:eastAsia="新宋体" w:cs="新宋体"/>
          <w:color w:val="auto"/>
          <w:sz w:val="22"/>
          <w:szCs w:val="22"/>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"_Toc75948400" </w:instrText>
      </w:r>
      <w:r>
        <w:rPr>
          <w:rFonts w:hint="eastAsia" w:ascii="新宋体" w:hAnsi="新宋体" w:eastAsia="新宋体" w:cs="新宋体"/>
          <w:color w:val="auto"/>
          <w:highlight w:val="none"/>
        </w:rPr>
        <w:fldChar w:fldCharType="separate"/>
      </w:r>
      <w:r>
        <w:rPr>
          <w:rStyle w:val="38"/>
          <w:rFonts w:hint="eastAsia" w:ascii="新宋体" w:hAnsi="新宋体" w:eastAsia="新宋体" w:cs="新宋体"/>
          <w:color w:val="auto"/>
          <w:sz w:val="22"/>
          <w:szCs w:val="22"/>
          <w:highlight w:val="none"/>
        </w:rPr>
        <w:t>三、 投标文件的编制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_Toc75948400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highlight w:val="none"/>
        </w:rPr>
        <w:fldChar w:fldCharType="end"/>
      </w:r>
    </w:p>
    <w:p w14:paraId="5113CFC2">
      <w:pPr>
        <w:pStyle w:val="21"/>
        <w:ind w:left="269" w:hanging="269"/>
        <w:rPr>
          <w:rFonts w:hint="eastAsia" w:ascii="新宋体" w:hAnsi="新宋体" w:eastAsia="新宋体" w:cs="新宋体"/>
          <w:color w:val="auto"/>
          <w:sz w:val="22"/>
          <w:szCs w:val="22"/>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"_Toc75948401" </w:instrText>
      </w:r>
      <w:r>
        <w:rPr>
          <w:rFonts w:hint="eastAsia" w:ascii="新宋体" w:hAnsi="新宋体" w:eastAsia="新宋体" w:cs="新宋体"/>
          <w:color w:val="auto"/>
          <w:highlight w:val="none"/>
        </w:rPr>
        <w:fldChar w:fldCharType="separate"/>
      </w:r>
      <w:r>
        <w:rPr>
          <w:rStyle w:val="38"/>
          <w:rFonts w:hint="eastAsia" w:ascii="新宋体" w:hAnsi="新宋体" w:eastAsia="新宋体" w:cs="新宋体"/>
          <w:color w:val="auto"/>
          <w:sz w:val="22"/>
          <w:szCs w:val="22"/>
          <w:highlight w:val="none"/>
        </w:rPr>
        <w:t>四、 投标文件的递交</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_Toc75948401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highlight w:val="none"/>
        </w:rPr>
        <w:fldChar w:fldCharType="end"/>
      </w:r>
    </w:p>
    <w:p w14:paraId="43171EF9">
      <w:pPr>
        <w:pStyle w:val="21"/>
        <w:ind w:left="269" w:hanging="269"/>
        <w:rPr>
          <w:rFonts w:hint="eastAsia" w:ascii="新宋体" w:hAnsi="新宋体" w:eastAsia="新宋体" w:cs="新宋体"/>
          <w:color w:val="auto"/>
          <w:highlight w:val="none"/>
          <w:lang w:val="en-US" w:eastAsia="zh-CN"/>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"_Toc75948402" </w:instrText>
      </w:r>
      <w:r>
        <w:rPr>
          <w:rFonts w:hint="eastAsia" w:ascii="新宋体" w:hAnsi="新宋体" w:eastAsia="新宋体" w:cs="新宋体"/>
          <w:color w:val="auto"/>
          <w:highlight w:val="none"/>
        </w:rPr>
        <w:fldChar w:fldCharType="separate"/>
      </w:r>
      <w:r>
        <w:rPr>
          <w:rStyle w:val="38"/>
          <w:rFonts w:hint="eastAsia" w:ascii="新宋体" w:hAnsi="新宋体" w:eastAsia="新宋体" w:cs="新宋体"/>
          <w:color w:val="auto"/>
          <w:sz w:val="22"/>
          <w:szCs w:val="22"/>
          <w:highlight w:val="none"/>
        </w:rPr>
        <w:t>五、 开标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highlight w:val="none"/>
        </w:rPr>
        <w:fldChar w:fldCharType="end"/>
      </w:r>
      <w:r>
        <w:rPr>
          <w:rFonts w:hint="eastAsia" w:ascii="新宋体" w:hAnsi="新宋体" w:eastAsia="新宋体" w:cs="新宋体"/>
          <w:color w:val="auto"/>
          <w:highlight w:val="none"/>
          <w:lang w:val="en-US" w:eastAsia="zh-CN"/>
        </w:rPr>
        <w:t>1</w:t>
      </w:r>
    </w:p>
    <w:p w14:paraId="73A430B5">
      <w:pPr>
        <w:pStyle w:val="21"/>
        <w:ind w:left="269" w:hanging="269"/>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"_Toc75948402" </w:instrText>
      </w:r>
      <w:r>
        <w:rPr>
          <w:rFonts w:hint="eastAsia" w:ascii="新宋体" w:hAnsi="新宋体" w:eastAsia="新宋体" w:cs="新宋体"/>
          <w:color w:val="auto"/>
          <w:highlight w:val="none"/>
        </w:rPr>
        <w:fldChar w:fldCharType="separate"/>
      </w:r>
      <w:r>
        <w:rPr>
          <w:rStyle w:val="38"/>
          <w:rFonts w:hint="eastAsia" w:ascii="新宋体" w:hAnsi="新宋体" w:eastAsia="新宋体" w:cs="新宋体"/>
          <w:color w:val="auto"/>
          <w:sz w:val="22"/>
          <w:szCs w:val="22"/>
          <w:highlight w:val="none"/>
          <w:lang w:val="en-US" w:eastAsia="zh-CN"/>
        </w:rPr>
        <w:t>六</w:t>
      </w:r>
      <w:r>
        <w:rPr>
          <w:rStyle w:val="38"/>
          <w:rFonts w:hint="eastAsia" w:ascii="新宋体" w:hAnsi="新宋体" w:eastAsia="新宋体" w:cs="新宋体"/>
          <w:color w:val="auto"/>
          <w:sz w:val="22"/>
          <w:szCs w:val="22"/>
          <w:highlight w:val="none"/>
        </w:rPr>
        <w:t xml:space="preserve">、 </w:t>
      </w:r>
      <w:r>
        <w:rPr>
          <w:rStyle w:val="38"/>
          <w:rFonts w:hint="eastAsia" w:ascii="新宋体" w:hAnsi="新宋体" w:eastAsia="新宋体" w:cs="新宋体"/>
          <w:color w:val="auto"/>
          <w:sz w:val="22"/>
          <w:szCs w:val="22"/>
          <w:highlight w:val="none"/>
          <w:lang w:val="en-US" w:eastAsia="zh-CN"/>
        </w:rPr>
        <w:t>评</w:t>
      </w:r>
      <w:r>
        <w:rPr>
          <w:rStyle w:val="38"/>
          <w:rFonts w:hint="eastAsia" w:ascii="新宋体" w:hAnsi="新宋体" w:eastAsia="新宋体" w:cs="新宋体"/>
          <w:color w:val="auto"/>
          <w:sz w:val="22"/>
          <w:szCs w:val="22"/>
          <w:highlight w:val="none"/>
        </w:rPr>
        <w:t>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highlight w:val="none"/>
        </w:rPr>
        <w:fldChar w:fldCharType="end"/>
      </w:r>
      <w:r>
        <w:rPr>
          <w:rFonts w:hint="eastAsia" w:ascii="新宋体" w:hAnsi="新宋体" w:eastAsia="新宋体" w:cs="新宋体"/>
          <w:color w:val="auto"/>
          <w:highlight w:val="none"/>
          <w:lang w:val="en-US" w:eastAsia="zh-CN"/>
        </w:rPr>
        <w:t>3</w:t>
      </w:r>
    </w:p>
    <w:p w14:paraId="6D9A2C9B">
      <w:pPr>
        <w:pStyle w:val="21"/>
        <w:ind w:left="269" w:hanging="269"/>
        <w:rPr>
          <w:rFonts w:hint="eastAsia" w:ascii="新宋体" w:hAnsi="新宋体" w:eastAsia="新宋体" w:cs="新宋体"/>
          <w:color w:val="auto"/>
          <w:sz w:val="22"/>
          <w:szCs w:val="22"/>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"_Toc75948403" </w:instrText>
      </w:r>
      <w:r>
        <w:rPr>
          <w:rFonts w:hint="eastAsia" w:ascii="新宋体" w:hAnsi="新宋体" w:eastAsia="新宋体" w:cs="新宋体"/>
          <w:color w:val="auto"/>
          <w:highlight w:val="none"/>
        </w:rPr>
        <w:fldChar w:fldCharType="separate"/>
      </w:r>
      <w:r>
        <w:rPr>
          <w:rStyle w:val="38"/>
          <w:rFonts w:hint="eastAsia" w:ascii="新宋体" w:hAnsi="新宋体" w:eastAsia="新宋体" w:cs="新宋体"/>
          <w:color w:val="auto"/>
          <w:sz w:val="22"/>
          <w:szCs w:val="22"/>
          <w:highlight w:val="none"/>
          <w:lang w:val="en-US" w:eastAsia="zh-CN"/>
        </w:rPr>
        <w:t>七</w:t>
      </w:r>
      <w:r>
        <w:rPr>
          <w:rStyle w:val="38"/>
          <w:rFonts w:hint="eastAsia" w:ascii="新宋体" w:hAnsi="新宋体" w:eastAsia="新宋体" w:cs="新宋体"/>
          <w:color w:val="auto"/>
          <w:sz w:val="22"/>
          <w:szCs w:val="22"/>
          <w:highlight w:val="none"/>
        </w:rPr>
        <w:t>、 授予合同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_Toc75948403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highlight w:val="none"/>
        </w:rPr>
        <w:fldChar w:fldCharType="end"/>
      </w:r>
    </w:p>
    <w:p w14:paraId="3BB9C93D">
      <w:pPr>
        <w:pStyle w:val="21"/>
        <w:ind w:left="269" w:hanging="269"/>
        <w:rPr>
          <w:rFonts w:hint="eastAsia" w:ascii="新宋体" w:hAnsi="新宋体" w:eastAsia="新宋体" w:cs="新宋体"/>
          <w:color w:val="auto"/>
          <w:sz w:val="22"/>
          <w:szCs w:val="22"/>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"_Toc75948404" </w:instrText>
      </w:r>
      <w:r>
        <w:rPr>
          <w:rFonts w:hint="eastAsia" w:ascii="新宋体" w:hAnsi="新宋体" w:eastAsia="新宋体" w:cs="新宋体"/>
          <w:color w:val="auto"/>
          <w:highlight w:val="none"/>
        </w:rPr>
        <w:fldChar w:fldCharType="separate"/>
      </w:r>
      <w:r>
        <w:rPr>
          <w:rStyle w:val="38"/>
          <w:rFonts w:hint="eastAsia" w:ascii="新宋体" w:hAnsi="新宋体" w:eastAsia="新宋体" w:cs="新宋体"/>
          <w:color w:val="auto"/>
          <w:sz w:val="22"/>
          <w:szCs w:val="22"/>
          <w:highlight w:val="none"/>
        </w:rPr>
        <w:t xml:space="preserve">第二部分   </w:t>
      </w:r>
      <w:r>
        <w:rPr>
          <w:rStyle w:val="38"/>
          <w:rFonts w:hint="eastAsia" w:ascii="新宋体" w:hAnsi="新宋体" w:eastAsia="新宋体" w:cs="新宋体"/>
          <w:color w:val="auto"/>
          <w:sz w:val="22"/>
          <w:szCs w:val="22"/>
          <w:highlight w:val="none"/>
          <w:lang w:eastAsia="zh-CN"/>
        </w:rPr>
        <w:t>合同条款及格式</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_Toc75948404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highlight w:val="none"/>
        </w:rPr>
        <w:fldChar w:fldCharType="end"/>
      </w:r>
    </w:p>
    <w:p w14:paraId="2D9822C1">
      <w:pPr>
        <w:pStyle w:val="21"/>
        <w:ind w:left="269" w:hanging="269"/>
        <w:rPr>
          <w:rFonts w:hint="eastAsia" w:ascii="新宋体" w:hAnsi="新宋体" w:eastAsia="新宋体" w:cs="新宋体"/>
          <w:color w:val="auto"/>
          <w:sz w:val="22"/>
          <w:szCs w:val="22"/>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HYPERLINK  \l "_Toc75948405" </w:instrText>
      </w:r>
      <w:r>
        <w:rPr>
          <w:rFonts w:hint="eastAsia" w:ascii="新宋体" w:hAnsi="新宋体" w:eastAsia="新宋体" w:cs="新宋体"/>
          <w:color w:val="auto"/>
          <w:highlight w:val="none"/>
        </w:rPr>
        <w:fldChar w:fldCharType="separate"/>
      </w:r>
      <w:r>
        <w:rPr>
          <w:rStyle w:val="38"/>
          <w:rFonts w:hint="eastAsia" w:ascii="新宋体" w:hAnsi="新宋体" w:eastAsia="新宋体" w:cs="新宋体"/>
          <w:color w:val="auto"/>
          <w:sz w:val="22"/>
          <w:szCs w:val="22"/>
          <w:highlight w:val="none"/>
        </w:rPr>
        <w:t>第三部分   投标文件格式</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_Toc75948405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highlight w:val="none"/>
        </w:rPr>
        <w:fldChar w:fldCharType="end"/>
      </w:r>
    </w:p>
    <w:p w14:paraId="115D5CE4">
      <w:pPr>
        <w:pStyle w:val="21"/>
        <w:ind w:left="269" w:hanging="269"/>
        <w:rPr>
          <w:rFonts w:hint="eastAsia" w:ascii="新宋体" w:hAnsi="新宋体" w:eastAsia="新宋体" w:cs="新宋体"/>
          <w:color w:val="auto"/>
          <w:sz w:val="22"/>
          <w:szCs w:val="22"/>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 HYPERLINK \l "_Toc75948406" </w:instrText>
      </w:r>
      <w:r>
        <w:rPr>
          <w:rFonts w:hint="eastAsia" w:ascii="新宋体" w:hAnsi="新宋体" w:eastAsia="新宋体" w:cs="新宋体"/>
          <w:color w:val="auto"/>
          <w:highlight w:val="none"/>
        </w:rPr>
        <w:fldChar w:fldCharType="separate"/>
      </w:r>
      <w:r>
        <w:rPr>
          <w:rStyle w:val="38"/>
          <w:rFonts w:hint="eastAsia" w:ascii="新宋体" w:hAnsi="新宋体" w:eastAsia="新宋体" w:cs="新宋体"/>
          <w:color w:val="auto"/>
          <w:sz w:val="22"/>
          <w:szCs w:val="22"/>
          <w:highlight w:val="none"/>
        </w:rPr>
        <w:t xml:space="preserve">第四部分   </w:t>
      </w:r>
      <w:r>
        <w:rPr>
          <w:rStyle w:val="38"/>
          <w:rFonts w:hint="eastAsia" w:ascii="新宋体" w:hAnsi="新宋体" w:eastAsia="新宋体" w:cs="新宋体"/>
          <w:color w:val="auto"/>
          <w:sz w:val="22"/>
          <w:szCs w:val="22"/>
          <w:highlight w:val="none"/>
          <w:lang w:eastAsia="zh-CN"/>
        </w:rPr>
        <w:t>采购内容及要求</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_Toc75948406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49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EBCC486">
      <w:pPr>
        <w:pStyle w:val="21"/>
        <w:ind w:left="269" w:hanging="269"/>
        <w:rPr>
          <w:rFonts w:hint="eastAsia" w:ascii="新宋体" w:hAnsi="新宋体" w:eastAsia="新宋体" w:cs="新宋体"/>
          <w:color w:val="auto"/>
          <w:sz w:val="22"/>
          <w:szCs w:val="22"/>
          <w:highlight w:val="none"/>
        </w:rPr>
      </w:pP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 HYPERLINK \l "_Toc75948407" </w:instrText>
      </w:r>
      <w:r>
        <w:rPr>
          <w:rFonts w:hint="eastAsia" w:ascii="新宋体" w:hAnsi="新宋体" w:eastAsia="新宋体" w:cs="新宋体"/>
          <w:color w:val="auto"/>
          <w:highlight w:val="none"/>
        </w:rPr>
        <w:fldChar w:fldCharType="separate"/>
      </w:r>
      <w:r>
        <w:rPr>
          <w:rStyle w:val="38"/>
          <w:rFonts w:hint="eastAsia" w:ascii="新宋体" w:hAnsi="新宋体" w:eastAsia="新宋体" w:cs="新宋体"/>
          <w:color w:val="auto"/>
          <w:sz w:val="22"/>
          <w:szCs w:val="22"/>
          <w:highlight w:val="none"/>
        </w:rPr>
        <w:t>第五部分   评标原则及方法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_Toc75948407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401041D">
      <w:pPr>
        <w:overflowPunct w:val="0"/>
        <w:spacing w:line="480" w:lineRule="auto"/>
        <w:rPr>
          <w:rStyle w:val="38"/>
          <w:rFonts w:hint="eastAsia" w:ascii="新宋体" w:hAnsi="新宋体" w:eastAsia="新宋体" w:cs="新宋体"/>
          <w:color w:val="auto"/>
          <w:sz w:val="22"/>
          <w:szCs w:val="22"/>
          <w:highlight w:val="none"/>
          <w:u w:val="none"/>
        </w:rPr>
      </w:pPr>
      <w:r>
        <w:rPr>
          <w:rFonts w:hint="eastAsia" w:ascii="新宋体" w:hAnsi="新宋体" w:eastAsia="新宋体" w:cs="新宋体"/>
          <w:color w:val="auto"/>
          <w:sz w:val="22"/>
          <w:szCs w:val="22"/>
          <w:highlight w:val="none"/>
        </w:rPr>
        <w:fldChar w:fldCharType="end"/>
      </w:r>
    </w:p>
    <w:p w14:paraId="681EB72D">
      <w:pPr>
        <w:overflowPunct w:val="0"/>
        <w:spacing w:line="480" w:lineRule="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注：采购文件中加“▲”且加下划线的条款，为采购的实质性要求和条件，着重提醒各投标供应商注意，并认真查看采购文件中的每一个条款及要求，因误读采购文件而造成的后果，采购人概不负责。</w:t>
      </w:r>
    </w:p>
    <w:p w14:paraId="62947EEC">
      <w:pPr>
        <w:pStyle w:val="3"/>
        <w:spacing w:line="360" w:lineRule="auto"/>
        <w:rPr>
          <w:rFonts w:hint="eastAsia" w:ascii="新宋体" w:hAnsi="新宋体" w:eastAsia="新宋体" w:cs="新宋体"/>
          <w:color w:val="auto"/>
          <w:sz w:val="36"/>
          <w:szCs w:val="36"/>
          <w:highlight w:val="none"/>
          <w:lang w:eastAsia="zh-CN"/>
        </w:rPr>
        <w:sectPr>
          <w:footerReference r:id="rId4" w:type="default"/>
          <w:pgSz w:w="11906" w:h="16838"/>
          <w:pgMar w:top="1134" w:right="1247" w:bottom="992" w:left="1417" w:header="851" w:footer="850" w:gutter="0"/>
          <w:pgBorders>
            <w:top w:val="none" w:sz="0" w:space="0"/>
            <w:left w:val="none" w:sz="0" w:space="0"/>
            <w:bottom w:val="none" w:sz="0" w:space="0"/>
            <w:right w:val="none" w:sz="0" w:space="0"/>
          </w:pgBorders>
          <w:pgNumType w:start="1"/>
          <w:cols w:space="720" w:num="1"/>
          <w:docGrid w:linePitch="316" w:charSpace="0"/>
        </w:sectPr>
      </w:pPr>
      <w:bookmarkStart w:id="0" w:name="_Toc75948394"/>
      <w:bookmarkStart w:id="1" w:name="_Toc15028"/>
      <w:bookmarkStart w:id="2" w:name="_Toc10923"/>
      <w:bookmarkStart w:id="3" w:name="_Toc24159"/>
      <w:bookmarkStart w:id="4" w:name="_Toc223715993"/>
      <w:bookmarkStart w:id="5" w:name="_Toc241404197"/>
      <w:bookmarkStart w:id="6" w:name="_Toc245722276"/>
      <w:bookmarkStart w:id="7" w:name="_Toc221356946"/>
      <w:bookmarkStart w:id="8" w:name="_Toc221374621"/>
      <w:bookmarkStart w:id="9" w:name="_Toc251325209"/>
      <w:bookmarkStart w:id="10" w:name="_Toc246261260"/>
      <w:bookmarkStart w:id="11" w:name="_Toc239145349"/>
      <w:bookmarkStart w:id="12" w:name="_Toc251592732"/>
      <w:bookmarkStart w:id="13" w:name="_Toc221356881"/>
      <w:bookmarkStart w:id="14" w:name="_Toc222114874"/>
      <w:bookmarkStart w:id="15" w:name="_Toc252194847"/>
      <w:bookmarkStart w:id="16" w:name="_Toc221423614"/>
      <w:bookmarkStart w:id="17" w:name="_Toc245191309"/>
    </w:p>
    <w:p w14:paraId="04208B4B">
      <w:pPr>
        <w:pStyle w:val="3"/>
        <w:spacing w:line="360" w:lineRule="auto"/>
        <w:rPr>
          <w:rFonts w:hint="eastAsia" w:ascii="新宋体" w:hAnsi="新宋体" w:eastAsia="新宋体" w:cs="新宋体"/>
          <w:b w:val="0"/>
          <w:bCs w:val="0"/>
          <w:color w:val="auto"/>
          <w:kern w:val="0"/>
          <w:sz w:val="30"/>
          <w:szCs w:val="30"/>
          <w:highlight w:val="none"/>
        </w:rPr>
      </w:pPr>
      <w:r>
        <w:rPr>
          <w:rFonts w:hint="eastAsia" w:ascii="新宋体" w:hAnsi="新宋体" w:eastAsia="新宋体" w:cs="新宋体"/>
          <w:color w:val="auto"/>
          <w:sz w:val="36"/>
          <w:szCs w:val="36"/>
          <w:highlight w:val="none"/>
          <w:lang w:eastAsia="zh-CN"/>
        </w:rPr>
        <w:t>温州市工业与能源集团</w:t>
      </w:r>
      <w:r>
        <w:rPr>
          <w:rFonts w:hint="eastAsia" w:ascii="新宋体" w:hAnsi="新宋体" w:eastAsia="新宋体" w:cs="新宋体"/>
          <w:color w:val="auto"/>
          <w:sz w:val="36"/>
          <w:szCs w:val="36"/>
          <w:highlight w:val="none"/>
        </w:rPr>
        <w:t>所属</w:t>
      </w:r>
      <w:r>
        <w:rPr>
          <w:rFonts w:hint="eastAsia" w:ascii="新宋体" w:hAnsi="新宋体" w:eastAsia="新宋体" w:cs="新宋体"/>
          <w:color w:val="auto"/>
          <w:sz w:val="36"/>
          <w:szCs w:val="36"/>
          <w:highlight w:val="none"/>
          <w:lang w:eastAsia="zh-CN"/>
        </w:rPr>
        <w:t>温州市数据集团有限公司</w:t>
      </w:r>
      <w:r>
        <w:rPr>
          <w:rFonts w:hint="eastAsia" w:ascii="新宋体" w:hAnsi="新宋体" w:eastAsia="新宋体" w:cs="新宋体"/>
          <w:color w:val="auto"/>
          <w:sz w:val="36"/>
          <w:szCs w:val="36"/>
          <w:highlight w:val="none"/>
        </w:rPr>
        <w:t>关于</w:t>
      </w:r>
      <w:r>
        <w:rPr>
          <w:rFonts w:hint="eastAsia" w:ascii="新宋体" w:hAnsi="新宋体" w:eastAsia="新宋体" w:cs="新宋体"/>
          <w:color w:val="auto"/>
          <w:sz w:val="36"/>
          <w:szCs w:val="36"/>
          <w:highlight w:val="none"/>
          <w:lang w:eastAsia="zh-CN"/>
        </w:rPr>
        <w:t>医疗专区智慧医疗数据综合流通平台-区域医疗综合管理系统及多元数据治理</w:t>
      </w:r>
      <w:r>
        <w:rPr>
          <w:rFonts w:hint="eastAsia" w:ascii="新宋体" w:hAnsi="新宋体" w:eastAsia="新宋体" w:cs="新宋体"/>
          <w:color w:val="auto"/>
          <w:sz w:val="36"/>
          <w:szCs w:val="36"/>
          <w:highlight w:val="none"/>
        </w:rPr>
        <w:t>项目采购公告</w:t>
      </w:r>
      <w:bookmarkEnd w:id="0"/>
      <w:bookmarkEnd w:id="1"/>
      <w:bookmarkEnd w:id="2"/>
      <w:bookmarkEnd w:id="3"/>
    </w:p>
    <w:p w14:paraId="10A979B5">
      <w:pPr>
        <w:widowControl/>
        <w:spacing w:line="360" w:lineRule="auto"/>
        <w:ind w:left="61" w:leftChars="29" w:right="62"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w:t>
      </w:r>
      <w:r>
        <w:rPr>
          <w:rFonts w:hint="eastAsia" w:ascii="新宋体" w:hAnsi="新宋体" w:eastAsia="新宋体" w:cs="新宋体"/>
          <w:color w:val="auto"/>
          <w:sz w:val="22"/>
          <w:szCs w:val="22"/>
          <w:highlight w:val="none"/>
          <w:lang w:eastAsia="zh-CN"/>
        </w:rPr>
        <w:t>温州市市属国有企业采购管理办法</w:t>
      </w:r>
      <w:r>
        <w:rPr>
          <w:rFonts w:hint="eastAsia" w:ascii="新宋体" w:hAnsi="新宋体" w:eastAsia="新宋体" w:cs="新宋体"/>
          <w:color w:val="auto"/>
          <w:sz w:val="22"/>
          <w:szCs w:val="22"/>
          <w:highlight w:val="none"/>
        </w:rPr>
        <w:t>》等有关规定，</w:t>
      </w:r>
      <w:r>
        <w:rPr>
          <w:rFonts w:hint="eastAsia" w:ascii="新宋体" w:hAnsi="新宋体" w:eastAsia="新宋体" w:cs="新宋体"/>
          <w:color w:val="auto"/>
          <w:sz w:val="22"/>
          <w:szCs w:val="22"/>
          <w:highlight w:val="none"/>
          <w:lang w:eastAsia="zh-CN"/>
        </w:rPr>
        <w:t>温州品立项目管理有限公司</w:t>
      </w:r>
      <w:r>
        <w:rPr>
          <w:rFonts w:hint="eastAsia" w:ascii="新宋体" w:hAnsi="新宋体" w:eastAsia="新宋体" w:cs="新宋体"/>
          <w:color w:val="auto"/>
          <w:sz w:val="22"/>
          <w:szCs w:val="22"/>
          <w:highlight w:val="none"/>
        </w:rPr>
        <w:t>受</w:t>
      </w:r>
      <w:r>
        <w:rPr>
          <w:rFonts w:hint="eastAsia" w:ascii="新宋体" w:hAnsi="新宋体" w:eastAsia="新宋体" w:cs="新宋体"/>
          <w:color w:val="auto"/>
          <w:sz w:val="22"/>
          <w:szCs w:val="22"/>
          <w:highlight w:val="none"/>
          <w:lang w:eastAsia="zh-CN"/>
        </w:rPr>
        <w:t>温州市数据集团有限公司</w:t>
      </w:r>
      <w:r>
        <w:rPr>
          <w:rFonts w:hint="eastAsia" w:ascii="新宋体" w:hAnsi="新宋体" w:eastAsia="新宋体" w:cs="新宋体"/>
          <w:color w:val="auto"/>
          <w:sz w:val="22"/>
          <w:szCs w:val="22"/>
          <w:highlight w:val="none"/>
        </w:rPr>
        <w:t>委托，就</w:t>
      </w:r>
      <w:r>
        <w:rPr>
          <w:rFonts w:hint="eastAsia" w:ascii="新宋体" w:hAnsi="新宋体" w:eastAsia="新宋体" w:cs="新宋体"/>
          <w:color w:val="auto"/>
          <w:sz w:val="22"/>
          <w:szCs w:val="22"/>
          <w:highlight w:val="none"/>
          <w:lang w:eastAsia="zh-CN"/>
        </w:rPr>
        <w:t>医疗专区智慧医疗数据综合流通平台-区域医疗综合管理系统及多元数据治理</w:t>
      </w:r>
      <w:r>
        <w:rPr>
          <w:rFonts w:hint="eastAsia" w:ascii="新宋体" w:hAnsi="新宋体" w:eastAsia="新宋体" w:cs="新宋体"/>
          <w:color w:val="auto"/>
          <w:sz w:val="22"/>
          <w:szCs w:val="22"/>
          <w:highlight w:val="none"/>
        </w:rPr>
        <w:t>项目以公开招标方式进行国企采购，欢迎国内合格的投标供应商前来投标。</w:t>
      </w:r>
    </w:p>
    <w:p w14:paraId="610BB1D8">
      <w:pPr>
        <w:widowControl/>
        <w:spacing w:line="360" w:lineRule="auto"/>
        <w:ind w:right="62" w:firstLine="200"/>
        <w:jc w:val="left"/>
        <w:rPr>
          <w:rFonts w:hint="eastAsia" w:ascii="新宋体" w:hAnsi="新宋体" w:eastAsia="新宋体" w:cs="新宋体"/>
          <w:bCs/>
          <w:color w:val="auto"/>
          <w:sz w:val="22"/>
          <w:szCs w:val="22"/>
          <w:highlight w:val="none"/>
          <w:u w:val="single"/>
        </w:rPr>
      </w:pPr>
      <w:r>
        <w:rPr>
          <w:rFonts w:hint="eastAsia" w:ascii="新宋体" w:hAnsi="新宋体" w:eastAsia="新宋体" w:cs="新宋体"/>
          <w:bCs/>
          <w:color w:val="auto"/>
          <w:sz w:val="22"/>
          <w:szCs w:val="22"/>
          <w:highlight w:val="none"/>
        </w:rPr>
        <w:t>一、项目编号:</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eastAsia="zh-CN"/>
        </w:rPr>
        <w:t>WGSS-GYNY-X-2025013</w:t>
      </w:r>
    </w:p>
    <w:p w14:paraId="1D4A5BA3">
      <w:pPr>
        <w:widowControl/>
        <w:spacing w:line="360" w:lineRule="auto"/>
        <w:ind w:right="62" w:firstLine="200"/>
        <w:jc w:val="lef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二、采购项目性质：国企采购（非政府采购）</w:t>
      </w:r>
      <w:r>
        <w:rPr>
          <w:rFonts w:hint="eastAsia" w:ascii="新宋体" w:hAnsi="新宋体" w:eastAsia="新宋体" w:cs="新宋体"/>
          <w:color w:val="auto"/>
          <w:sz w:val="22"/>
          <w:szCs w:val="22"/>
          <w:highlight w:val="none"/>
        </w:rPr>
        <w:t>；</w:t>
      </w:r>
    </w:p>
    <w:p w14:paraId="3E442B5C">
      <w:pPr>
        <w:widowControl/>
        <w:spacing w:line="360" w:lineRule="auto"/>
        <w:ind w:right="62" w:firstLine="200"/>
        <w:jc w:val="lef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三、</w:t>
      </w:r>
      <w:bookmarkStart w:id="18" w:name="_Hlk3463270"/>
      <w:r>
        <w:rPr>
          <w:rFonts w:hint="eastAsia" w:ascii="新宋体" w:hAnsi="新宋体" w:eastAsia="新宋体" w:cs="新宋体"/>
          <w:bCs/>
          <w:color w:val="auto"/>
          <w:sz w:val="22"/>
          <w:szCs w:val="22"/>
          <w:highlight w:val="none"/>
        </w:rPr>
        <w:t>采购项目概况</w:t>
      </w:r>
      <w:bookmarkEnd w:id="18"/>
      <w:r>
        <w:rPr>
          <w:rFonts w:hint="eastAsia" w:ascii="新宋体" w:hAnsi="新宋体" w:eastAsia="新宋体" w:cs="新宋体"/>
          <w:bCs/>
          <w:color w:val="auto"/>
          <w:sz w:val="22"/>
          <w:szCs w:val="22"/>
          <w:highlight w:val="none"/>
        </w:rPr>
        <w:t>（标项内容、数量、简要技术要求等）：</w:t>
      </w:r>
    </w:p>
    <w:p w14:paraId="3F3F2BE4">
      <w:pPr>
        <w:spacing w:line="360" w:lineRule="auto"/>
        <w:rPr>
          <w:rFonts w:hint="eastAsia" w:ascii="新宋体" w:hAnsi="新宋体" w:eastAsia="新宋体" w:cs="新宋体"/>
          <w:vanish/>
          <w:color w:val="auto"/>
          <w:sz w:val="22"/>
          <w:szCs w:val="22"/>
          <w:highlight w:val="none"/>
        </w:rPr>
      </w:pPr>
      <w:bookmarkStart w:id="19" w:name="B09_招标内容"/>
      <w:bookmarkEnd w:id="19"/>
    </w:p>
    <w:tbl>
      <w:tblPr>
        <w:tblStyle w:val="31"/>
        <w:tblpPr w:leftFromText="180" w:rightFromText="180" w:vertAnchor="text" w:horzAnchor="margin" w:tblpXSpec="center" w:tblpY="221"/>
        <w:tblW w:w="9122" w:type="dxa"/>
        <w:tblInd w:w="-6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2313"/>
        <w:gridCol w:w="775"/>
        <w:gridCol w:w="1950"/>
        <w:gridCol w:w="3414"/>
      </w:tblGrid>
      <w:tr w14:paraId="753DE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670" w:type="dxa"/>
            <w:vAlign w:val="center"/>
          </w:tcPr>
          <w:p w14:paraId="68EC3B1C">
            <w:pPr>
              <w:widowControl/>
              <w:spacing w:line="360" w:lineRule="auto"/>
              <w:ind w:right="6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序号</w:t>
            </w:r>
          </w:p>
        </w:tc>
        <w:tc>
          <w:tcPr>
            <w:tcW w:w="2313" w:type="dxa"/>
            <w:vAlign w:val="center"/>
          </w:tcPr>
          <w:p w14:paraId="3D636CB1">
            <w:pPr>
              <w:widowControl/>
              <w:spacing w:line="360" w:lineRule="auto"/>
              <w:ind w:right="6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标项内容</w:t>
            </w:r>
          </w:p>
        </w:tc>
        <w:tc>
          <w:tcPr>
            <w:tcW w:w="775" w:type="dxa"/>
            <w:vAlign w:val="center"/>
          </w:tcPr>
          <w:p w14:paraId="62455B5C">
            <w:pPr>
              <w:widowControl/>
              <w:spacing w:line="360" w:lineRule="auto"/>
              <w:ind w:right="6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数量</w:t>
            </w:r>
          </w:p>
        </w:tc>
        <w:tc>
          <w:tcPr>
            <w:tcW w:w="1950" w:type="dxa"/>
            <w:vAlign w:val="center"/>
          </w:tcPr>
          <w:p w14:paraId="6A4B05E6">
            <w:pPr>
              <w:widowControl/>
              <w:spacing w:line="360" w:lineRule="auto"/>
              <w:ind w:right="60"/>
              <w:jc w:val="center"/>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采购预算金额</w:t>
            </w:r>
          </w:p>
          <w:p w14:paraId="57198328">
            <w:pPr>
              <w:widowControl/>
              <w:spacing w:line="360" w:lineRule="auto"/>
              <w:ind w:right="60"/>
              <w:jc w:val="center"/>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最高限价</w:t>
            </w:r>
            <w:r>
              <w:rPr>
                <w:rFonts w:hint="eastAsia" w:ascii="新宋体" w:hAnsi="新宋体" w:eastAsia="新宋体" w:cs="新宋体"/>
                <w:b w:val="0"/>
                <w:bCs w:val="0"/>
                <w:color w:val="auto"/>
                <w:sz w:val="22"/>
                <w:szCs w:val="22"/>
                <w:highlight w:val="none"/>
              </w:rPr>
              <w:t>）</w:t>
            </w:r>
          </w:p>
        </w:tc>
        <w:tc>
          <w:tcPr>
            <w:tcW w:w="3414" w:type="dxa"/>
            <w:vAlign w:val="center"/>
          </w:tcPr>
          <w:p w14:paraId="48D7D211">
            <w:pPr>
              <w:widowControl/>
              <w:spacing w:line="360" w:lineRule="auto"/>
              <w:ind w:right="6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简要技术要求</w:t>
            </w:r>
          </w:p>
        </w:tc>
      </w:tr>
      <w:tr w14:paraId="4CBB6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9" w:hRule="atLeast"/>
        </w:trPr>
        <w:tc>
          <w:tcPr>
            <w:tcW w:w="670" w:type="dxa"/>
            <w:vAlign w:val="center"/>
          </w:tcPr>
          <w:p w14:paraId="4C08EBD8">
            <w:pPr>
              <w:widowControl/>
              <w:spacing w:line="360" w:lineRule="auto"/>
              <w:ind w:right="60"/>
              <w:jc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p>
        </w:tc>
        <w:tc>
          <w:tcPr>
            <w:tcW w:w="2313" w:type="dxa"/>
            <w:vAlign w:val="center"/>
          </w:tcPr>
          <w:p w14:paraId="1F6CD665">
            <w:pPr>
              <w:widowControl/>
              <w:spacing w:line="360" w:lineRule="auto"/>
              <w:ind w:right="60"/>
              <w:jc w:val="center"/>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lang w:eastAsia="zh-CN"/>
              </w:rPr>
              <w:t>医疗专区智慧医疗数据综合流通平台-区域医疗综合管理系统及多元数据治理</w:t>
            </w:r>
          </w:p>
        </w:tc>
        <w:tc>
          <w:tcPr>
            <w:tcW w:w="775" w:type="dxa"/>
            <w:vAlign w:val="center"/>
          </w:tcPr>
          <w:p w14:paraId="64F3E080">
            <w:pPr>
              <w:widowControl/>
              <w:spacing w:line="360" w:lineRule="auto"/>
              <w:ind w:right="60"/>
              <w:jc w:val="center"/>
              <w:rPr>
                <w:rFonts w:hint="default"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lang w:val="en-US" w:eastAsia="zh-CN"/>
              </w:rPr>
              <w:t>1项</w:t>
            </w:r>
          </w:p>
        </w:tc>
        <w:tc>
          <w:tcPr>
            <w:tcW w:w="1950" w:type="dxa"/>
            <w:vAlign w:val="center"/>
          </w:tcPr>
          <w:p w14:paraId="37AAC7BF">
            <w:pPr>
              <w:widowControl/>
              <w:spacing w:line="360" w:lineRule="auto"/>
              <w:ind w:right="60"/>
              <w:jc w:val="center"/>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eastAsia="zh-CN"/>
              </w:rPr>
              <w:t>687</w:t>
            </w:r>
            <w:r>
              <w:rPr>
                <w:rFonts w:hint="eastAsia" w:ascii="新宋体" w:hAnsi="新宋体" w:eastAsia="新宋体" w:cs="新宋体"/>
                <w:b w:val="0"/>
                <w:bCs w:val="0"/>
                <w:color w:val="auto"/>
                <w:sz w:val="22"/>
                <w:szCs w:val="22"/>
                <w:highlight w:val="none"/>
              </w:rPr>
              <w:t>万元</w:t>
            </w:r>
          </w:p>
        </w:tc>
        <w:tc>
          <w:tcPr>
            <w:tcW w:w="3414" w:type="dxa"/>
            <w:vAlign w:val="center"/>
          </w:tcPr>
          <w:p w14:paraId="5D30C728">
            <w:pPr>
              <w:widowControl/>
              <w:spacing w:line="360" w:lineRule="auto"/>
              <w:ind w:right="60"/>
              <w:jc w:val="left"/>
              <w:rPr>
                <w:rFonts w:hint="eastAsia"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lang w:eastAsia="zh-CN"/>
              </w:rPr>
              <w:t>温州市数据集团有限公司医疗专区智慧医疗数据综合流通平台-区域医疗综合管理系统及多元数据治理</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bCs/>
                <w:color w:val="auto"/>
                <w:kern w:val="0"/>
                <w:sz w:val="22"/>
                <w:szCs w:val="22"/>
                <w:highlight w:val="none"/>
              </w:rPr>
              <w:t>具体采购内容及详细技术要求见采购文件</w:t>
            </w:r>
            <w:r>
              <w:rPr>
                <w:rFonts w:hint="eastAsia" w:ascii="新宋体" w:hAnsi="新宋体" w:eastAsia="新宋体" w:cs="新宋体"/>
                <w:bCs/>
                <w:color w:val="auto"/>
                <w:kern w:val="0"/>
                <w:sz w:val="22"/>
                <w:szCs w:val="22"/>
                <w:highlight w:val="none"/>
                <w:lang w:val="en-US" w:eastAsia="zh-CN"/>
              </w:rPr>
              <w:t>第四</w:t>
            </w:r>
            <w:r>
              <w:rPr>
                <w:rFonts w:hint="eastAsia" w:ascii="新宋体" w:hAnsi="新宋体" w:eastAsia="新宋体" w:cs="新宋体"/>
                <w:bCs/>
                <w:color w:val="auto"/>
                <w:kern w:val="0"/>
                <w:sz w:val="22"/>
                <w:szCs w:val="22"/>
                <w:highlight w:val="none"/>
              </w:rPr>
              <w:t>部分。</w:t>
            </w:r>
          </w:p>
        </w:tc>
      </w:tr>
    </w:tbl>
    <w:p w14:paraId="45FF0701">
      <w:pPr>
        <w:widowControl/>
        <w:spacing w:line="360" w:lineRule="auto"/>
        <w:ind w:left="60" w:right="60" w:firstLine="200"/>
        <w:jc w:val="left"/>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四、投标供应商资格要求：</w:t>
      </w:r>
    </w:p>
    <w:p w14:paraId="346F118B">
      <w:pPr>
        <w:keepNext w:val="0"/>
        <w:keepLines w:val="0"/>
        <w:pageBreakBefore w:val="0"/>
        <w:widowControl/>
        <w:kinsoku/>
        <w:wordWrap/>
        <w:overflowPunct/>
        <w:topLinePunct w:val="0"/>
        <w:bidi w:val="0"/>
        <w:snapToGrid/>
        <w:spacing w:line="360" w:lineRule="auto"/>
        <w:ind w:right="60" w:firstLine="440" w:firstLineChars="200"/>
        <w:jc w:val="left"/>
        <w:textAlignment w:val="auto"/>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rPr>
        <w:t>1.符合《温州市市属国有企业采购管理办法》第十八条对供应商参加温州市国有企业采购活动应当具备的条件的要求；</w:t>
      </w:r>
    </w:p>
    <w:p w14:paraId="1BC3E95D">
      <w:pPr>
        <w:keepNext w:val="0"/>
        <w:keepLines w:val="0"/>
        <w:pageBreakBefore w:val="0"/>
        <w:widowControl/>
        <w:kinsoku/>
        <w:wordWrap/>
        <w:overflowPunct/>
        <w:topLinePunct w:val="0"/>
        <w:bidi w:val="0"/>
        <w:snapToGrid/>
        <w:spacing w:line="360" w:lineRule="auto"/>
        <w:ind w:right="60" w:firstLine="440" w:firstLineChars="200"/>
        <w:jc w:val="left"/>
        <w:textAlignment w:val="auto"/>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rPr>
        <w:t>2.投标供应商未被列入“信用中国”网(</w:t>
      </w: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 HYPERLINK "http://www.creditchina.gov.cn" </w:instrText>
      </w:r>
      <w:r>
        <w:rPr>
          <w:rFonts w:hint="eastAsia" w:ascii="新宋体" w:hAnsi="新宋体" w:eastAsia="新宋体" w:cs="新宋体"/>
          <w:color w:val="auto"/>
          <w:highlight w:val="none"/>
        </w:rPr>
        <w:fldChar w:fldCharType="separate"/>
      </w:r>
      <w:r>
        <w:rPr>
          <w:rFonts w:hint="eastAsia" w:ascii="新宋体" w:hAnsi="新宋体" w:eastAsia="新宋体" w:cs="新宋体"/>
          <w:snapToGrid w:val="0"/>
          <w:color w:val="auto"/>
          <w:sz w:val="22"/>
          <w:szCs w:val="22"/>
          <w:highlight w:val="none"/>
        </w:rPr>
        <w:t>www.creditchina.gov.cn</w:t>
      </w:r>
      <w:r>
        <w:rPr>
          <w:rFonts w:hint="eastAsia" w:ascii="新宋体" w:hAnsi="新宋体" w:eastAsia="新宋体" w:cs="新宋体"/>
          <w:snapToGrid w:val="0"/>
          <w:color w:val="auto"/>
          <w:sz w:val="22"/>
          <w:szCs w:val="22"/>
          <w:highlight w:val="none"/>
        </w:rPr>
        <w:fldChar w:fldCharType="end"/>
      </w:r>
      <w:r>
        <w:rPr>
          <w:rFonts w:hint="eastAsia" w:ascii="新宋体" w:hAnsi="新宋体" w:eastAsia="新宋体" w:cs="新宋体"/>
          <w:snapToGrid w:val="0"/>
          <w:color w:val="auto"/>
          <w:sz w:val="22"/>
          <w:szCs w:val="22"/>
          <w:highlight w:val="none"/>
        </w:rPr>
        <w:t>)、中国政府采购网（http://www.ccgp.gov.cn/）失信被执行人、</w:t>
      </w:r>
      <w:r>
        <w:rPr>
          <w:rFonts w:hint="eastAsia" w:ascii="新宋体" w:hAnsi="新宋体" w:eastAsia="新宋体" w:cs="新宋体"/>
          <w:snapToGrid w:val="0"/>
          <w:color w:val="auto"/>
          <w:sz w:val="22"/>
          <w:szCs w:val="22"/>
          <w:highlight w:val="none"/>
          <w:lang w:eastAsia="zh-CN"/>
        </w:rPr>
        <w:t>重大税收违法失信主体名单</w:t>
      </w:r>
      <w:r>
        <w:rPr>
          <w:rFonts w:hint="eastAsia" w:ascii="新宋体" w:hAnsi="新宋体" w:eastAsia="新宋体" w:cs="新宋体"/>
          <w:snapToGrid w:val="0"/>
          <w:color w:val="auto"/>
          <w:sz w:val="22"/>
          <w:szCs w:val="22"/>
          <w:highlight w:val="none"/>
        </w:rPr>
        <w:t>、政府采购严重违法失信行为记录名单且尚处于禁止参加采购活动期内；</w:t>
      </w:r>
    </w:p>
    <w:p w14:paraId="377D537E">
      <w:pPr>
        <w:keepNext w:val="0"/>
        <w:keepLines w:val="0"/>
        <w:pageBreakBefore w:val="0"/>
        <w:widowControl/>
        <w:kinsoku/>
        <w:wordWrap/>
        <w:overflowPunct/>
        <w:topLinePunct w:val="0"/>
        <w:bidi w:val="0"/>
        <w:snapToGrid/>
        <w:spacing w:line="360" w:lineRule="auto"/>
        <w:ind w:right="60" w:firstLine="440" w:firstLineChars="200"/>
        <w:jc w:val="left"/>
        <w:textAlignment w:val="auto"/>
        <w:rPr>
          <w:rFonts w:hint="eastAsia" w:ascii="新宋体" w:hAnsi="新宋体" w:eastAsia="新宋体" w:cs="新宋体"/>
          <w:snapToGrid w:val="0"/>
          <w:color w:val="auto"/>
          <w:sz w:val="22"/>
          <w:szCs w:val="22"/>
          <w:highlight w:val="none"/>
          <w:lang w:eastAsia="zh-CN"/>
        </w:rPr>
      </w:pPr>
      <w:r>
        <w:rPr>
          <w:rFonts w:hint="eastAsia" w:ascii="新宋体" w:hAnsi="新宋体" w:eastAsia="新宋体" w:cs="新宋体"/>
          <w:snapToGrid w:val="0"/>
          <w:color w:val="auto"/>
          <w:sz w:val="22"/>
          <w:szCs w:val="22"/>
          <w:highlight w:val="none"/>
        </w:rPr>
        <w:t>3.单位负责人为同一人或者存在直接控股、管理关系的不同供应商，不得参加同一合同项下的国企采购活动</w:t>
      </w:r>
      <w:r>
        <w:rPr>
          <w:rFonts w:hint="eastAsia" w:ascii="新宋体" w:hAnsi="新宋体" w:eastAsia="新宋体" w:cs="新宋体"/>
          <w:snapToGrid w:val="0"/>
          <w:color w:val="auto"/>
          <w:sz w:val="22"/>
          <w:szCs w:val="22"/>
          <w:highlight w:val="none"/>
          <w:lang w:eastAsia="zh-CN"/>
        </w:rPr>
        <w:t>，</w:t>
      </w:r>
      <w:r>
        <w:rPr>
          <w:rFonts w:hint="eastAsia" w:ascii="新宋体" w:hAnsi="新宋体" w:eastAsia="新宋体" w:cs="新宋体"/>
          <w:color w:val="auto"/>
          <w:sz w:val="22"/>
          <w:highlight w:val="none"/>
        </w:rPr>
        <w:t>违反该款规定的，相关投标均无效</w:t>
      </w:r>
      <w:r>
        <w:rPr>
          <w:rFonts w:hint="eastAsia" w:ascii="新宋体" w:hAnsi="新宋体" w:eastAsia="新宋体" w:cs="新宋体"/>
          <w:color w:val="auto"/>
          <w:sz w:val="22"/>
          <w:highlight w:val="none"/>
          <w:lang w:val="en-US" w:eastAsia="zh-CN"/>
        </w:rPr>
        <w:t>；</w:t>
      </w:r>
    </w:p>
    <w:p w14:paraId="1963D10A">
      <w:pPr>
        <w:keepNext w:val="0"/>
        <w:keepLines w:val="0"/>
        <w:pageBreakBefore w:val="0"/>
        <w:widowControl/>
        <w:kinsoku/>
        <w:wordWrap/>
        <w:overflowPunct/>
        <w:topLinePunct w:val="0"/>
        <w:bidi w:val="0"/>
        <w:snapToGrid/>
        <w:spacing w:line="360" w:lineRule="auto"/>
        <w:ind w:right="60" w:firstLine="440" w:firstLineChars="200"/>
        <w:jc w:val="left"/>
        <w:textAlignment w:val="auto"/>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lang w:val="en-US" w:eastAsia="zh-CN"/>
        </w:rPr>
        <w:t>4</w:t>
      </w:r>
      <w:r>
        <w:rPr>
          <w:rFonts w:hint="eastAsia" w:ascii="新宋体" w:hAnsi="新宋体" w:eastAsia="新宋体" w:cs="新宋体"/>
          <w:snapToGrid w:val="0"/>
          <w:color w:val="auto"/>
          <w:sz w:val="22"/>
          <w:szCs w:val="22"/>
          <w:highlight w:val="none"/>
        </w:rPr>
        <w:t>.本项目不接受联合体投标。</w:t>
      </w:r>
    </w:p>
    <w:p w14:paraId="5C6701A8">
      <w:pPr>
        <w:widowControl/>
        <w:spacing w:line="360" w:lineRule="auto"/>
        <w:ind w:left="60" w:right="60" w:firstLine="200"/>
        <w:jc w:val="lef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五、获取（下载）采购文件：</w:t>
      </w:r>
    </w:p>
    <w:p w14:paraId="2D085D22">
      <w:pPr>
        <w:widowControl/>
        <w:spacing w:line="360" w:lineRule="auto"/>
        <w:ind w:left="60" w:right="62" w:firstLine="429" w:firstLineChars="195"/>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kern w:val="0"/>
          <w:sz w:val="22"/>
          <w:szCs w:val="22"/>
          <w:highlight w:val="none"/>
        </w:rPr>
        <w:t>时间：</w:t>
      </w:r>
      <w:r>
        <w:rPr>
          <w:rFonts w:hint="eastAsia" w:ascii="新宋体" w:hAnsi="新宋体" w:eastAsia="新宋体" w:cs="新宋体"/>
          <w:snapToGrid w:val="0"/>
          <w:color w:val="auto"/>
          <w:sz w:val="22"/>
          <w:szCs w:val="22"/>
          <w:highlight w:val="none"/>
        </w:rPr>
        <w:t>公告发布之日起至</w:t>
      </w:r>
      <w:r>
        <w:rPr>
          <w:rFonts w:hint="eastAsia" w:ascii="新宋体" w:hAnsi="新宋体" w:eastAsia="新宋体" w:cs="新宋体"/>
          <w:color w:val="auto"/>
          <w:kern w:val="0"/>
          <w:sz w:val="22"/>
          <w:szCs w:val="22"/>
          <w:highlight w:val="none"/>
        </w:rPr>
        <w:t>投标文件递交截止时间前，每天上午00:00至12:00，下午12:00至23:59（北京时间，线上获取法定节假日均可，线下获取文件法定节假日除外）</w:t>
      </w:r>
      <w:r>
        <w:rPr>
          <w:rFonts w:hint="eastAsia" w:ascii="新宋体" w:hAnsi="新宋体" w:eastAsia="新宋体" w:cs="新宋体"/>
          <w:color w:val="auto"/>
          <w:sz w:val="22"/>
          <w:szCs w:val="22"/>
          <w:highlight w:val="none"/>
        </w:rPr>
        <w:t>；</w:t>
      </w:r>
    </w:p>
    <w:p w14:paraId="53DC4C81">
      <w:pPr>
        <w:widowControl/>
        <w:spacing w:line="360" w:lineRule="auto"/>
        <w:ind w:left="60" w:right="62" w:firstLine="429" w:firstLineChars="195"/>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2、地点：</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https://www.lecaiyun.com/</w:t>
      </w:r>
      <w:r>
        <w:rPr>
          <w:rFonts w:hint="eastAsia" w:ascii="新宋体" w:hAnsi="新宋体" w:eastAsia="新宋体" w:cs="新宋体"/>
          <w:color w:val="auto"/>
          <w:sz w:val="22"/>
          <w:szCs w:val="22"/>
          <w:highlight w:val="none"/>
        </w:rPr>
        <w:t>）；</w:t>
      </w:r>
    </w:p>
    <w:p w14:paraId="0B98FC7E">
      <w:pPr>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方式：供应商登录</w:t>
      </w:r>
      <w:r>
        <w:rPr>
          <w:rFonts w:hint="eastAsia" w:ascii="新宋体" w:hAnsi="新宋体" w:eastAsia="新宋体" w:cs="新宋体"/>
          <w:color w:val="auto"/>
          <w:sz w:val="22"/>
          <w:szCs w:val="22"/>
          <w:highlight w:val="none"/>
          <w:lang w:val="en-US" w:eastAsia="zh-CN"/>
        </w:rPr>
        <w:t>乐</w:t>
      </w:r>
      <w:r>
        <w:rPr>
          <w:rFonts w:hint="eastAsia" w:ascii="新宋体" w:hAnsi="新宋体" w:eastAsia="新宋体" w:cs="新宋体"/>
          <w:color w:val="auto"/>
          <w:sz w:val="22"/>
          <w:szCs w:val="22"/>
          <w:highlight w:val="none"/>
        </w:rPr>
        <w:t>采云平台</w:t>
      </w:r>
      <w:r>
        <w:rPr>
          <w:rFonts w:hint="eastAsia" w:ascii="新宋体" w:hAnsi="新宋体" w:eastAsia="新宋体" w:cs="新宋体"/>
          <w:color w:val="auto"/>
          <w:sz w:val="22"/>
          <w:szCs w:val="22"/>
          <w:highlight w:val="none"/>
          <w:lang w:eastAsia="zh-CN"/>
        </w:rPr>
        <w:t>https://www.lecaiyun.com/</w:t>
      </w:r>
      <w:r>
        <w:rPr>
          <w:rFonts w:hint="eastAsia" w:ascii="新宋体" w:hAnsi="新宋体" w:eastAsia="新宋体" w:cs="新宋体"/>
          <w:color w:val="auto"/>
          <w:sz w:val="22"/>
          <w:szCs w:val="22"/>
          <w:highlight w:val="none"/>
        </w:rPr>
        <w:t>在线申请获取采购文件（进入“项目采购”应用，在获取采购文件菜单中选择项目，申请获取采购文件），不提供纸制版</w:t>
      </w:r>
      <w:r>
        <w:rPr>
          <w:rFonts w:hint="eastAsia" w:ascii="新宋体" w:hAnsi="新宋体" w:eastAsia="新宋体" w:cs="新宋体"/>
          <w:color w:val="auto"/>
          <w:sz w:val="22"/>
          <w:szCs w:val="22"/>
          <w:highlight w:val="none"/>
          <w:lang w:eastAsia="zh-CN"/>
        </w:rPr>
        <w:t>采购文件</w:t>
      </w:r>
      <w:r>
        <w:rPr>
          <w:rFonts w:hint="eastAsia" w:ascii="新宋体" w:hAnsi="新宋体" w:eastAsia="新宋体" w:cs="新宋体"/>
          <w:color w:val="auto"/>
          <w:sz w:val="22"/>
          <w:szCs w:val="22"/>
          <w:highlight w:val="none"/>
        </w:rPr>
        <w:t>；供应商只有在“</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”完成获取</w:t>
      </w:r>
      <w:r>
        <w:rPr>
          <w:rFonts w:hint="eastAsia" w:ascii="新宋体" w:hAnsi="新宋体" w:eastAsia="新宋体" w:cs="新宋体"/>
          <w:color w:val="auto"/>
          <w:sz w:val="22"/>
          <w:szCs w:val="22"/>
          <w:highlight w:val="none"/>
          <w:lang w:eastAsia="zh-CN"/>
        </w:rPr>
        <w:t>采购文件</w:t>
      </w:r>
      <w:r>
        <w:rPr>
          <w:rFonts w:hint="eastAsia" w:ascii="新宋体" w:hAnsi="新宋体" w:eastAsia="新宋体" w:cs="新宋体"/>
          <w:color w:val="auto"/>
          <w:sz w:val="22"/>
          <w:szCs w:val="22"/>
          <w:highlight w:val="none"/>
        </w:rPr>
        <w:t>申请并下载了</w:t>
      </w:r>
      <w:r>
        <w:rPr>
          <w:rFonts w:hint="eastAsia" w:ascii="新宋体" w:hAnsi="新宋体" w:eastAsia="新宋体" w:cs="新宋体"/>
          <w:color w:val="auto"/>
          <w:sz w:val="22"/>
          <w:szCs w:val="22"/>
          <w:highlight w:val="none"/>
          <w:lang w:eastAsia="zh-CN"/>
        </w:rPr>
        <w:t>采购文件</w:t>
      </w:r>
      <w:r>
        <w:rPr>
          <w:rFonts w:hint="eastAsia" w:ascii="新宋体" w:hAnsi="新宋体" w:eastAsia="新宋体" w:cs="新宋体"/>
          <w:color w:val="auto"/>
          <w:sz w:val="22"/>
          <w:szCs w:val="22"/>
          <w:highlight w:val="none"/>
        </w:rPr>
        <w:t>后才视作依法获取</w:t>
      </w:r>
      <w:r>
        <w:rPr>
          <w:rFonts w:hint="eastAsia" w:ascii="新宋体" w:hAnsi="新宋体" w:eastAsia="新宋体" w:cs="新宋体"/>
          <w:color w:val="auto"/>
          <w:sz w:val="22"/>
          <w:szCs w:val="22"/>
          <w:highlight w:val="none"/>
          <w:lang w:eastAsia="zh-CN"/>
        </w:rPr>
        <w:t>采购文件</w:t>
      </w:r>
      <w:r>
        <w:rPr>
          <w:rFonts w:hint="eastAsia" w:ascii="新宋体" w:hAnsi="新宋体" w:eastAsia="新宋体" w:cs="新宋体"/>
          <w:color w:val="auto"/>
          <w:sz w:val="22"/>
          <w:szCs w:val="22"/>
          <w:highlight w:val="none"/>
        </w:rPr>
        <w:t>。</w:t>
      </w:r>
    </w:p>
    <w:p w14:paraId="552FA5E8">
      <w:pPr>
        <w:spacing w:line="360" w:lineRule="auto"/>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售价(元)：</w:t>
      </w:r>
      <w:r>
        <w:rPr>
          <w:rFonts w:hint="eastAsia" w:ascii="新宋体" w:hAnsi="新宋体" w:eastAsia="新宋体" w:cs="新宋体"/>
          <w:color w:val="auto"/>
          <w:sz w:val="22"/>
          <w:szCs w:val="22"/>
          <w:highlight w:val="none"/>
          <w:lang w:val="en-US" w:eastAsia="zh-CN"/>
        </w:rPr>
        <w:t>50</w:t>
      </w:r>
      <w:r>
        <w:rPr>
          <w:rFonts w:hint="eastAsia" w:ascii="新宋体" w:hAnsi="新宋体" w:eastAsia="新宋体" w:cs="新宋体"/>
          <w:color w:val="auto"/>
          <w:sz w:val="22"/>
          <w:szCs w:val="22"/>
          <w:highlight w:val="none"/>
        </w:rPr>
        <w:t>0</w:t>
      </w:r>
      <w:r>
        <w:rPr>
          <w:rFonts w:hint="eastAsia" w:ascii="新宋体" w:hAnsi="新宋体" w:eastAsia="新宋体" w:cs="新宋体"/>
          <w:color w:val="auto"/>
          <w:sz w:val="22"/>
          <w:szCs w:val="22"/>
          <w:highlight w:val="none"/>
          <w:lang w:val="en-US" w:eastAsia="zh-CN"/>
        </w:rPr>
        <w:t>(售后不退)，报名费转支付宝账号：53514766@qq.com，注明投标单位名称。</w:t>
      </w:r>
    </w:p>
    <w:p w14:paraId="46923F51">
      <w:pPr>
        <w:widowControl/>
        <w:spacing w:line="360" w:lineRule="auto"/>
        <w:ind w:left="60" w:right="62" w:firstLine="200"/>
        <w:jc w:val="lef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注：</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请供应商按上述要求获取采购文件，如未在“</w:t>
      </w:r>
      <w:r>
        <w:rPr>
          <w:rFonts w:hint="eastAsia" w:ascii="新宋体" w:hAnsi="新宋体" w:eastAsia="新宋体" w:cs="新宋体"/>
          <w:color w:val="auto"/>
          <w:sz w:val="22"/>
          <w:szCs w:val="22"/>
          <w:highlight w:val="none"/>
          <w:lang w:eastAsia="zh-CN"/>
        </w:rPr>
        <w:t>乐采云</w:t>
      </w:r>
      <w:r>
        <w:rPr>
          <w:rFonts w:hint="eastAsia" w:ascii="新宋体" w:hAnsi="新宋体" w:eastAsia="新宋体" w:cs="新宋体"/>
          <w:color w:val="auto"/>
          <w:sz w:val="22"/>
          <w:szCs w:val="22"/>
          <w:highlight w:val="none"/>
        </w:rPr>
        <w:t>”系统内完成相关流程，引起的投标无效责任自负。</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投标</w:t>
      </w:r>
      <w:r>
        <w:rPr>
          <w:rFonts w:hint="eastAsia" w:ascii="新宋体" w:hAnsi="新宋体" w:eastAsia="新宋体" w:cs="新宋体"/>
          <w:color w:val="auto"/>
          <w:sz w:val="22"/>
          <w:szCs w:val="22"/>
          <w:highlight w:val="none"/>
          <w:lang w:val="en-US" w:eastAsia="zh-CN"/>
        </w:rPr>
        <w:t>供应商</w:t>
      </w:r>
      <w:r>
        <w:rPr>
          <w:rFonts w:hint="eastAsia" w:ascii="新宋体" w:hAnsi="新宋体" w:eastAsia="新宋体" w:cs="新宋体"/>
          <w:color w:val="auto"/>
          <w:sz w:val="22"/>
          <w:szCs w:val="22"/>
          <w:highlight w:val="none"/>
        </w:rPr>
        <w:t>应在投标前完成CA数字证书办理。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“乐采云电子交易客户端”请自行前往“乐采云平台”进行下载；通过“乐采云平台”参与在线投标时如遇平台技术问题详询95763。</w:t>
      </w:r>
    </w:p>
    <w:p w14:paraId="782912D8">
      <w:pPr>
        <w:widowControl/>
        <w:spacing w:line="360" w:lineRule="auto"/>
        <w:ind w:left="60" w:right="62" w:firstLine="200"/>
        <w:jc w:val="left"/>
        <w:rPr>
          <w:rFonts w:hint="eastAsia" w:ascii="新宋体" w:hAnsi="新宋体" w:eastAsia="新宋体" w:cs="新宋体"/>
          <w:b w:val="0"/>
          <w:bCs/>
          <w:color w:val="auto"/>
          <w:sz w:val="22"/>
          <w:szCs w:val="22"/>
          <w:highlight w:val="none"/>
        </w:rPr>
      </w:pPr>
      <w:r>
        <w:rPr>
          <w:rFonts w:hint="eastAsia" w:ascii="新宋体" w:hAnsi="新宋体" w:eastAsia="新宋体" w:cs="新宋体"/>
          <w:bCs/>
          <w:color w:val="auto"/>
          <w:sz w:val="22"/>
          <w:szCs w:val="22"/>
          <w:highlight w:val="none"/>
        </w:rPr>
        <w:t>六、</w:t>
      </w:r>
      <w:bookmarkStart w:id="20" w:name="_Hlk3379525"/>
      <w:r>
        <w:rPr>
          <w:rFonts w:hint="eastAsia" w:ascii="新宋体" w:hAnsi="新宋体" w:eastAsia="新宋体" w:cs="新宋体"/>
          <w:bCs/>
          <w:color w:val="auto"/>
          <w:sz w:val="22"/>
          <w:szCs w:val="22"/>
          <w:highlight w:val="none"/>
        </w:rPr>
        <w:t>投标文件递交截止时间</w:t>
      </w:r>
      <w:bookmarkEnd w:id="20"/>
      <w:r>
        <w:rPr>
          <w:rFonts w:hint="eastAsia" w:ascii="新宋体" w:hAnsi="新宋体" w:eastAsia="新宋体" w:cs="新宋体"/>
          <w:bCs/>
          <w:color w:val="auto"/>
          <w:sz w:val="22"/>
          <w:szCs w:val="22"/>
          <w:highlight w:val="none"/>
        </w:rPr>
        <w:t>：</w:t>
      </w:r>
      <w:bookmarkStart w:id="21" w:name="B23_谈判响应文件提交截止日期"/>
      <w:bookmarkEnd w:id="21"/>
      <w:bookmarkStart w:id="22" w:name="B24_谈判响应文件提交截止时间"/>
      <w:r>
        <w:rPr>
          <w:rFonts w:hint="eastAsia" w:ascii="新宋体" w:hAnsi="新宋体" w:eastAsia="新宋体" w:cs="新宋体"/>
          <w:b w:val="0"/>
          <w:bCs/>
          <w:color w:val="auto"/>
          <w:sz w:val="22"/>
          <w:szCs w:val="22"/>
          <w:highlight w:val="none"/>
          <w:u w:val="none"/>
          <w:lang w:eastAsia="zh-CN"/>
        </w:rPr>
        <w:t>2025年12月4日</w:t>
      </w:r>
      <w:bookmarkEnd w:id="22"/>
      <w:r>
        <w:rPr>
          <w:rFonts w:hint="eastAsia" w:ascii="新宋体" w:hAnsi="新宋体" w:eastAsia="新宋体" w:cs="新宋体"/>
          <w:b w:val="0"/>
          <w:bCs/>
          <w:color w:val="auto"/>
          <w:sz w:val="22"/>
          <w:szCs w:val="22"/>
          <w:highlight w:val="none"/>
          <w:lang w:eastAsia="zh-CN"/>
        </w:rPr>
        <w:t>14:30</w:t>
      </w:r>
      <w:r>
        <w:rPr>
          <w:rFonts w:hint="eastAsia" w:ascii="新宋体" w:hAnsi="新宋体" w:eastAsia="新宋体" w:cs="新宋体"/>
          <w:b w:val="0"/>
          <w:bCs/>
          <w:color w:val="auto"/>
          <w:sz w:val="22"/>
          <w:szCs w:val="22"/>
          <w:highlight w:val="none"/>
        </w:rPr>
        <w:t>(北京时间)</w:t>
      </w:r>
    </w:p>
    <w:p w14:paraId="42805C29">
      <w:pPr>
        <w:widowControl/>
        <w:spacing w:line="360" w:lineRule="auto"/>
        <w:ind w:left="60" w:right="60" w:firstLine="200"/>
        <w:jc w:val="lef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七、投标文件提交地点：</w:t>
      </w:r>
      <w:r>
        <w:rPr>
          <w:rFonts w:hint="eastAsia" w:ascii="新宋体" w:hAnsi="新宋体" w:eastAsia="新宋体" w:cs="新宋体"/>
          <w:bCs/>
          <w:color w:val="auto"/>
          <w:sz w:val="22"/>
          <w:szCs w:val="22"/>
          <w:highlight w:val="none"/>
          <w:u w:val="none"/>
        </w:rPr>
        <w:t>通过“</w:t>
      </w:r>
      <w:r>
        <w:rPr>
          <w:rFonts w:hint="eastAsia" w:ascii="新宋体" w:hAnsi="新宋体" w:eastAsia="新宋体" w:cs="新宋体"/>
          <w:bCs/>
          <w:color w:val="auto"/>
          <w:sz w:val="22"/>
          <w:szCs w:val="22"/>
          <w:highlight w:val="none"/>
          <w:u w:val="none"/>
          <w:lang w:eastAsia="zh-CN"/>
        </w:rPr>
        <w:t>乐采云平台</w:t>
      </w:r>
      <w:r>
        <w:rPr>
          <w:rFonts w:hint="eastAsia" w:ascii="新宋体" w:hAnsi="新宋体" w:eastAsia="新宋体" w:cs="新宋体"/>
          <w:bCs/>
          <w:color w:val="auto"/>
          <w:sz w:val="22"/>
          <w:szCs w:val="22"/>
          <w:highlight w:val="none"/>
          <w:u w:val="none"/>
        </w:rPr>
        <w:t>（</w:t>
      </w:r>
      <w:r>
        <w:rPr>
          <w:rFonts w:hint="eastAsia" w:ascii="新宋体" w:hAnsi="新宋体" w:eastAsia="新宋体" w:cs="新宋体"/>
          <w:bCs/>
          <w:color w:val="auto"/>
          <w:sz w:val="22"/>
          <w:szCs w:val="22"/>
          <w:highlight w:val="none"/>
          <w:u w:val="none"/>
          <w:lang w:eastAsia="zh-CN"/>
        </w:rPr>
        <w:t>https://www.lecaiyun.com/</w:t>
      </w:r>
      <w:r>
        <w:rPr>
          <w:rFonts w:hint="eastAsia" w:ascii="新宋体" w:hAnsi="新宋体" w:eastAsia="新宋体" w:cs="新宋体"/>
          <w:bCs/>
          <w:color w:val="auto"/>
          <w:sz w:val="22"/>
          <w:szCs w:val="22"/>
          <w:highlight w:val="none"/>
          <w:u w:val="none"/>
        </w:rPr>
        <w:t>）”实行在线投标响应。</w:t>
      </w:r>
    </w:p>
    <w:p w14:paraId="44DFFADD">
      <w:pPr>
        <w:widowControl/>
        <w:spacing w:line="360" w:lineRule="auto"/>
        <w:ind w:left="60" w:right="62" w:firstLine="200"/>
        <w:jc w:val="left"/>
        <w:rPr>
          <w:rFonts w:hint="eastAsia"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八、开标时间：</w:t>
      </w:r>
      <w:bookmarkStart w:id="23" w:name="B26_谈判时间日期"/>
      <w:bookmarkEnd w:id="23"/>
      <w:r>
        <w:rPr>
          <w:rFonts w:hint="eastAsia" w:ascii="新宋体" w:hAnsi="新宋体" w:eastAsia="新宋体" w:cs="新宋体"/>
          <w:b w:val="0"/>
          <w:bCs/>
          <w:color w:val="auto"/>
          <w:sz w:val="22"/>
          <w:szCs w:val="22"/>
          <w:highlight w:val="none"/>
          <w:u w:val="none"/>
        </w:rPr>
        <w:t>同投标文件递交截止时间。</w:t>
      </w:r>
    </w:p>
    <w:p w14:paraId="3AAFE2B5">
      <w:pPr>
        <w:widowControl/>
        <w:spacing w:line="360" w:lineRule="auto"/>
        <w:ind w:left="60" w:right="60" w:firstLine="200"/>
        <w:jc w:val="left"/>
        <w:rPr>
          <w:rFonts w:hint="eastAsia" w:ascii="新宋体" w:hAnsi="新宋体" w:eastAsia="新宋体" w:cs="新宋体"/>
          <w:bCs/>
          <w:color w:val="auto"/>
          <w:sz w:val="22"/>
          <w:szCs w:val="22"/>
          <w:highlight w:val="none"/>
          <w:u w:val="single"/>
        </w:rPr>
      </w:pPr>
      <w:r>
        <w:rPr>
          <w:rFonts w:hint="eastAsia" w:ascii="新宋体" w:hAnsi="新宋体" w:eastAsia="新宋体" w:cs="新宋体"/>
          <w:bCs/>
          <w:color w:val="auto"/>
          <w:sz w:val="22"/>
          <w:szCs w:val="22"/>
          <w:highlight w:val="none"/>
        </w:rPr>
        <w:t>九、开标地点：</w:t>
      </w:r>
      <w:r>
        <w:rPr>
          <w:rFonts w:hint="eastAsia" w:ascii="新宋体" w:hAnsi="新宋体" w:eastAsia="新宋体" w:cs="新宋体"/>
          <w:color w:val="auto"/>
          <w:sz w:val="22"/>
          <w:szCs w:val="22"/>
          <w:highlight w:val="none"/>
        </w:rPr>
        <w:t>在“</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https://www.lecaiyun.com/</w:t>
      </w:r>
      <w:r>
        <w:rPr>
          <w:rFonts w:hint="eastAsia" w:ascii="新宋体" w:hAnsi="新宋体" w:eastAsia="新宋体" w:cs="新宋体"/>
          <w:color w:val="auto"/>
          <w:sz w:val="22"/>
          <w:szCs w:val="22"/>
          <w:highlight w:val="none"/>
        </w:rPr>
        <w:t>）”上开启投标文件。</w:t>
      </w:r>
    </w:p>
    <w:p w14:paraId="69092D5C">
      <w:pPr>
        <w:widowControl/>
        <w:spacing w:line="360" w:lineRule="auto"/>
        <w:ind w:left="60" w:right="62" w:firstLine="200"/>
        <w:jc w:val="left"/>
        <w:rPr>
          <w:rFonts w:hint="default" w:ascii="新宋体" w:hAnsi="新宋体" w:eastAsia="新宋体" w:cs="新宋体"/>
          <w:b w:val="0"/>
          <w:bCs/>
          <w:color w:val="auto"/>
          <w:sz w:val="22"/>
          <w:szCs w:val="22"/>
          <w:highlight w:val="none"/>
          <w:lang w:val="en-US" w:eastAsia="zh-CN"/>
        </w:rPr>
      </w:pPr>
      <w:r>
        <w:rPr>
          <w:rFonts w:hint="eastAsia" w:ascii="新宋体" w:hAnsi="新宋体" w:eastAsia="新宋体" w:cs="新宋体"/>
          <w:b w:val="0"/>
          <w:bCs/>
          <w:color w:val="auto"/>
          <w:sz w:val="22"/>
          <w:szCs w:val="22"/>
          <w:highlight w:val="none"/>
        </w:rPr>
        <w:t>十、投标保证金及交付方式：</w:t>
      </w:r>
      <w:r>
        <w:rPr>
          <w:rFonts w:hint="eastAsia" w:ascii="新宋体" w:hAnsi="新宋体" w:eastAsia="新宋体" w:cs="新宋体"/>
          <w:b w:val="0"/>
          <w:bCs/>
          <w:color w:val="auto"/>
          <w:sz w:val="22"/>
          <w:szCs w:val="22"/>
          <w:highlight w:val="none"/>
          <w:lang w:val="en-US" w:eastAsia="zh-CN"/>
        </w:rPr>
        <w:t>不要求提供。</w:t>
      </w:r>
    </w:p>
    <w:p w14:paraId="2F420D72">
      <w:pPr>
        <w:widowControl/>
        <w:spacing w:line="360" w:lineRule="auto"/>
        <w:ind w:left="60" w:right="62" w:firstLine="200"/>
        <w:jc w:val="left"/>
        <w:rPr>
          <w:rFonts w:hint="eastAsia" w:ascii="新宋体" w:hAnsi="新宋体" w:eastAsia="新宋体" w:cs="新宋体"/>
          <w:bCs/>
          <w:color w:val="auto"/>
          <w:sz w:val="22"/>
          <w:szCs w:val="22"/>
          <w:highlight w:val="none"/>
        </w:rPr>
      </w:pPr>
      <w:bookmarkStart w:id="24" w:name="B29_谈判保证金"/>
      <w:bookmarkEnd w:id="24"/>
      <w:r>
        <w:rPr>
          <w:rFonts w:hint="eastAsia" w:ascii="新宋体" w:hAnsi="新宋体" w:eastAsia="新宋体" w:cs="新宋体"/>
          <w:bCs/>
          <w:color w:val="auto"/>
          <w:sz w:val="22"/>
          <w:szCs w:val="22"/>
          <w:highlight w:val="none"/>
        </w:rPr>
        <w:t>十</w:t>
      </w:r>
      <w:r>
        <w:rPr>
          <w:rFonts w:hint="eastAsia" w:ascii="新宋体" w:hAnsi="新宋体" w:eastAsia="新宋体" w:cs="新宋体"/>
          <w:bCs/>
          <w:color w:val="auto"/>
          <w:sz w:val="22"/>
          <w:szCs w:val="22"/>
          <w:highlight w:val="none"/>
          <w:lang w:val="en-US" w:eastAsia="zh-CN"/>
        </w:rPr>
        <w:t>一</w:t>
      </w:r>
      <w:r>
        <w:rPr>
          <w:rFonts w:hint="eastAsia" w:ascii="新宋体" w:hAnsi="新宋体" w:eastAsia="新宋体" w:cs="新宋体"/>
          <w:bCs/>
          <w:color w:val="auto"/>
          <w:sz w:val="22"/>
          <w:szCs w:val="22"/>
          <w:highlight w:val="none"/>
        </w:rPr>
        <w:t>、其他事项：</w:t>
      </w:r>
    </w:p>
    <w:p w14:paraId="21E954D4">
      <w:pPr>
        <w:widowControl/>
        <w:spacing w:line="360" w:lineRule="auto"/>
        <w:ind w:left="62" w:right="62" w:firstLine="440" w:firstLineChars="200"/>
        <w:jc w:val="left"/>
        <w:rPr>
          <w:rFonts w:hint="eastAsia" w:ascii="新宋体" w:hAnsi="新宋体" w:eastAsia="新宋体" w:cs="新宋体"/>
          <w:b w:val="0"/>
          <w:bCs/>
          <w:color w:val="auto"/>
          <w:kern w:val="0"/>
          <w:sz w:val="22"/>
          <w:szCs w:val="22"/>
          <w:highlight w:val="none"/>
          <w:u w:val="single"/>
        </w:rPr>
      </w:pPr>
      <w:r>
        <w:rPr>
          <w:rFonts w:hint="eastAsia" w:ascii="新宋体" w:hAnsi="新宋体" w:eastAsia="新宋体" w:cs="新宋体"/>
          <w:b w:val="0"/>
          <w:bCs/>
          <w:color w:val="auto"/>
          <w:kern w:val="0"/>
          <w:sz w:val="22"/>
          <w:szCs w:val="22"/>
          <w:highlight w:val="none"/>
          <w:lang w:val="en-US" w:eastAsia="zh-CN"/>
        </w:rPr>
        <w:t>1</w:t>
      </w:r>
      <w:r>
        <w:rPr>
          <w:rFonts w:hint="eastAsia" w:ascii="新宋体" w:hAnsi="新宋体" w:eastAsia="新宋体" w:cs="新宋体"/>
          <w:b w:val="0"/>
          <w:bCs/>
          <w:color w:val="auto"/>
          <w:kern w:val="0"/>
          <w:sz w:val="22"/>
          <w:szCs w:val="22"/>
          <w:highlight w:val="none"/>
        </w:rPr>
        <w:t>、</w:t>
      </w:r>
      <w:bookmarkStart w:id="25" w:name="_Hlk3452824"/>
      <w:r>
        <w:rPr>
          <w:rFonts w:hint="eastAsia" w:ascii="新宋体" w:hAnsi="新宋体" w:eastAsia="新宋体" w:cs="新宋体"/>
          <w:b w:val="0"/>
          <w:bCs/>
          <w:color w:val="auto"/>
          <w:kern w:val="0"/>
          <w:sz w:val="22"/>
          <w:szCs w:val="22"/>
          <w:highlight w:val="none"/>
          <w:u w:val="single"/>
        </w:rPr>
        <w:t>供应商认为采购文件使自己的权益受到损害的，可以自采购公告发出之日（采购公告发布当天不算）起6日内，以书面形式向采购人和采购代理机构提出质疑。质疑供应商对采购人、采购代理机构的答复不满意或者采购人、采购代理机构未在规定的时间内作出答复的，可以在答复期满后十五个工作日内向采购人的采购监管部门投诉。</w:t>
      </w:r>
    </w:p>
    <w:p w14:paraId="29CB246B">
      <w:pPr>
        <w:keepNext w:val="0"/>
        <w:keepLines w:val="0"/>
        <w:pageBreakBefore w:val="0"/>
        <w:widowControl/>
        <w:kinsoku/>
        <w:wordWrap/>
        <w:overflowPunct/>
        <w:topLinePunct w:val="0"/>
        <w:bidi w:val="0"/>
        <w:snapToGrid/>
        <w:spacing w:before="120" w:beforeLines="50"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bCs/>
          <w:color w:val="auto"/>
          <w:kern w:val="0"/>
          <w:sz w:val="22"/>
          <w:szCs w:val="22"/>
          <w:highlight w:val="none"/>
          <w:u w:val="single"/>
        </w:rPr>
        <w:t>温州市工业与能源发展集团有限公司负责对投标供应商反映的企业本部及所属企业在采购活动中出现的违法违规问题进行投诉回复。投标供应商认为</w:t>
      </w:r>
      <w:r>
        <w:rPr>
          <w:rFonts w:hint="eastAsia" w:ascii="新宋体" w:hAnsi="新宋体" w:eastAsia="新宋体" w:cs="新宋体"/>
          <w:bCs/>
          <w:color w:val="auto"/>
          <w:kern w:val="0"/>
          <w:sz w:val="22"/>
          <w:szCs w:val="22"/>
          <w:highlight w:val="none"/>
          <w:u w:val="single"/>
          <w:lang w:eastAsia="zh-CN"/>
        </w:rPr>
        <w:t>温州市工业与能源发展集团有限公司</w:t>
      </w:r>
      <w:r>
        <w:rPr>
          <w:rFonts w:hint="eastAsia" w:ascii="新宋体" w:hAnsi="新宋体" w:eastAsia="新宋体" w:cs="新宋体"/>
          <w:bCs/>
          <w:color w:val="auto"/>
          <w:kern w:val="0"/>
          <w:sz w:val="22"/>
          <w:szCs w:val="22"/>
          <w:highlight w:val="none"/>
          <w:u w:val="single"/>
        </w:rPr>
        <w:t>投诉回复处理结果不合法的，可以采购人或代理机构为对象依法向人民法院提起诉讼。</w:t>
      </w:r>
    </w:p>
    <w:bookmarkEnd w:id="25"/>
    <w:p w14:paraId="5539CB95">
      <w:pPr>
        <w:keepNext w:val="0"/>
        <w:keepLines w:val="0"/>
        <w:pageBreakBefore w:val="0"/>
        <w:widowControl/>
        <w:kinsoku/>
        <w:wordWrap/>
        <w:overflowPunct/>
        <w:topLinePunct w:val="0"/>
        <w:bidi w:val="0"/>
        <w:snapToGrid/>
        <w:spacing w:line="360" w:lineRule="auto"/>
        <w:ind w:firstLine="440" w:firstLineChars="200"/>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3</w:t>
      </w:r>
      <w:r>
        <w:rPr>
          <w:rFonts w:hint="eastAsia" w:ascii="新宋体" w:hAnsi="新宋体" w:eastAsia="新宋体" w:cs="新宋体"/>
          <w:color w:val="auto"/>
          <w:kern w:val="0"/>
          <w:sz w:val="22"/>
          <w:szCs w:val="22"/>
          <w:highlight w:val="none"/>
        </w:rPr>
        <w:t>.采购公告附件的采购文件仅供阅览使用，未按照本公告规定的方式获取采购文件的潜在供应商提起的质疑采购组织机构将不予受理、答复。</w:t>
      </w:r>
    </w:p>
    <w:p w14:paraId="42C6C918">
      <w:pPr>
        <w:keepNext w:val="0"/>
        <w:keepLines w:val="0"/>
        <w:pageBreakBefore w:val="0"/>
        <w:widowControl/>
        <w:kinsoku/>
        <w:wordWrap/>
        <w:overflowPunct/>
        <w:topLinePunct w:val="0"/>
        <w:bidi w:val="0"/>
        <w:snapToGrid/>
        <w:spacing w:line="360" w:lineRule="auto"/>
        <w:ind w:firstLine="440" w:firstLineChars="200"/>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4</w:t>
      </w:r>
      <w:r>
        <w:rPr>
          <w:rFonts w:hint="eastAsia" w:ascii="新宋体" w:hAnsi="新宋体" w:eastAsia="新宋体" w:cs="新宋体"/>
          <w:color w:val="auto"/>
          <w:kern w:val="0"/>
          <w:sz w:val="22"/>
          <w:szCs w:val="22"/>
          <w:highlight w:val="none"/>
        </w:rPr>
        <w:t>.投标供应商如对采购文件有疑问应按采购文件规定的询疑截止时间前提出，逾期提出的，采购代理机构可以不予受理、答复。</w:t>
      </w:r>
    </w:p>
    <w:p w14:paraId="2CAFA94D">
      <w:pPr>
        <w:keepNext w:val="0"/>
        <w:keepLines w:val="0"/>
        <w:pageBreakBefore w:val="0"/>
        <w:widowControl/>
        <w:kinsoku/>
        <w:wordWrap/>
        <w:overflowPunct/>
        <w:topLinePunct w:val="0"/>
        <w:bidi w:val="0"/>
        <w:snapToGrid/>
        <w:spacing w:line="360" w:lineRule="auto"/>
        <w:ind w:firstLine="440" w:firstLineChars="200"/>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5</w:t>
      </w:r>
      <w:r>
        <w:rPr>
          <w:rFonts w:hint="eastAsia" w:ascii="新宋体" w:hAnsi="新宋体" w:eastAsia="新宋体" w:cs="新宋体"/>
          <w:color w:val="auto"/>
          <w:kern w:val="0"/>
          <w:sz w:val="22"/>
          <w:szCs w:val="22"/>
          <w:highlight w:val="none"/>
        </w:rPr>
        <w:t>.书面质疑受理地点：</w:t>
      </w:r>
      <w:r>
        <w:rPr>
          <w:rFonts w:hint="eastAsia" w:ascii="新宋体" w:hAnsi="新宋体" w:eastAsia="新宋体" w:cs="新宋体"/>
          <w:color w:val="auto"/>
          <w:kern w:val="0"/>
          <w:sz w:val="22"/>
          <w:szCs w:val="22"/>
          <w:highlight w:val="none"/>
          <w:lang w:eastAsia="zh-CN"/>
        </w:rPr>
        <w:t>温州市鹿城区锦绣路19号宏嘉大厦2幢2005室</w:t>
      </w:r>
      <w:r>
        <w:rPr>
          <w:rFonts w:hint="eastAsia" w:ascii="新宋体" w:hAnsi="新宋体" w:eastAsia="新宋体" w:cs="新宋体"/>
          <w:color w:val="auto"/>
          <w:kern w:val="0"/>
          <w:sz w:val="22"/>
          <w:szCs w:val="22"/>
          <w:highlight w:val="none"/>
        </w:rPr>
        <w:t>，联系人：</w:t>
      </w:r>
      <w:r>
        <w:rPr>
          <w:rFonts w:hint="eastAsia" w:ascii="新宋体" w:hAnsi="新宋体" w:eastAsia="新宋体" w:cs="新宋体"/>
          <w:color w:val="auto"/>
          <w:kern w:val="0"/>
          <w:sz w:val="22"/>
          <w:szCs w:val="22"/>
          <w:highlight w:val="none"/>
          <w:lang w:eastAsia="zh-CN"/>
        </w:rPr>
        <w:t>潘晓洁</w:t>
      </w:r>
      <w:r>
        <w:rPr>
          <w:rFonts w:hint="eastAsia" w:ascii="新宋体" w:hAnsi="新宋体" w:eastAsia="新宋体" w:cs="新宋体"/>
          <w:color w:val="auto"/>
          <w:kern w:val="0"/>
          <w:sz w:val="22"/>
          <w:szCs w:val="22"/>
          <w:highlight w:val="none"/>
        </w:rPr>
        <w:t>，联系电话：</w:t>
      </w:r>
      <w:r>
        <w:rPr>
          <w:rFonts w:hint="eastAsia" w:ascii="新宋体" w:hAnsi="新宋体" w:eastAsia="新宋体" w:cs="新宋体"/>
          <w:color w:val="auto"/>
          <w:kern w:val="0"/>
          <w:sz w:val="22"/>
          <w:szCs w:val="22"/>
          <w:highlight w:val="none"/>
          <w:lang w:eastAsia="zh-CN"/>
        </w:rPr>
        <w:t>15267758672。</w:t>
      </w:r>
    </w:p>
    <w:p w14:paraId="1DABD507">
      <w:pPr>
        <w:pStyle w:val="29"/>
        <w:spacing w:line="360" w:lineRule="auto"/>
        <w:ind w:firstLine="22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kern w:val="0"/>
          <w:sz w:val="22"/>
          <w:szCs w:val="22"/>
          <w:highlight w:val="none"/>
        </w:rPr>
        <w:t xml:space="preserve"> </w:t>
      </w:r>
      <w:r>
        <w:rPr>
          <w:rFonts w:hint="eastAsia" w:ascii="新宋体" w:hAnsi="新宋体" w:eastAsia="新宋体" w:cs="新宋体"/>
          <w:b/>
          <w:color w:val="auto"/>
          <w:kern w:val="0"/>
          <w:sz w:val="22"/>
          <w:szCs w:val="22"/>
          <w:highlight w:val="none"/>
        </w:rPr>
        <w:t xml:space="preserve"> </w:t>
      </w:r>
      <w:r>
        <w:rPr>
          <w:rFonts w:hint="eastAsia" w:ascii="新宋体" w:hAnsi="新宋体" w:eastAsia="新宋体" w:cs="新宋体"/>
          <w:bCs/>
          <w:color w:val="auto"/>
          <w:sz w:val="22"/>
          <w:szCs w:val="22"/>
          <w:highlight w:val="none"/>
        </w:rPr>
        <w:t>十二、联系方式</w:t>
      </w:r>
    </w:p>
    <w:p w14:paraId="4AB4CFE0">
      <w:pPr>
        <w:widowControl/>
        <w:spacing w:line="360" w:lineRule="auto"/>
        <w:ind w:left="62" w:right="62" w:firstLine="440" w:firstLineChars="200"/>
        <w:jc w:val="left"/>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rPr>
        <w:t>1、采购人名称：</w:t>
      </w:r>
      <w:r>
        <w:rPr>
          <w:rFonts w:hint="eastAsia" w:ascii="新宋体" w:hAnsi="新宋体" w:eastAsia="新宋体" w:cs="新宋体"/>
          <w:bCs/>
          <w:color w:val="auto"/>
          <w:sz w:val="22"/>
          <w:szCs w:val="22"/>
          <w:highlight w:val="none"/>
          <w:lang w:eastAsia="zh-CN"/>
        </w:rPr>
        <w:t>温州市数据集团有限公司</w:t>
      </w:r>
    </w:p>
    <w:p w14:paraId="6A81F992">
      <w:pPr>
        <w:widowControl/>
        <w:spacing w:line="360" w:lineRule="auto"/>
        <w:ind w:left="62" w:right="62" w:firstLine="440" w:firstLineChars="200"/>
        <w:jc w:val="left"/>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rPr>
        <w:t>地 址：</w:t>
      </w:r>
      <w:r>
        <w:rPr>
          <w:rFonts w:hint="eastAsia" w:ascii="新宋体" w:hAnsi="新宋体" w:eastAsia="新宋体" w:cs="新宋体"/>
          <w:bCs/>
          <w:color w:val="auto"/>
          <w:sz w:val="22"/>
          <w:szCs w:val="22"/>
          <w:highlight w:val="none"/>
          <w:lang w:eastAsia="zh-CN"/>
        </w:rPr>
        <w:t>浙江省温州市瓯海区瓯海大道117号数安大厦A幢12层</w:t>
      </w:r>
    </w:p>
    <w:p w14:paraId="2432A2DB">
      <w:pPr>
        <w:widowControl/>
        <w:spacing w:line="360" w:lineRule="auto"/>
        <w:ind w:left="62" w:right="62" w:firstLine="440" w:firstLineChars="200"/>
        <w:jc w:val="left"/>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rPr>
        <w:t xml:space="preserve">联系人： </w:t>
      </w:r>
      <w:r>
        <w:rPr>
          <w:rFonts w:hint="eastAsia" w:ascii="新宋体" w:hAnsi="新宋体" w:eastAsia="新宋体" w:cs="新宋体"/>
          <w:bCs/>
          <w:color w:val="auto"/>
          <w:sz w:val="22"/>
          <w:szCs w:val="22"/>
          <w:highlight w:val="none"/>
          <w:lang w:eastAsia="zh-CN"/>
        </w:rPr>
        <w:t>王先生</w:t>
      </w:r>
    </w:p>
    <w:p w14:paraId="3307DD89">
      <w:pPr>
        <w:widowControl/>
        <w:spacing w:line="360" w:lineRule="auto"/>
        <w:ind w:left="62" w:right="62" w:firstLine="440" w:firstLineChars="200"/>
        <w:jc w:val="left"/>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rPr>
        <w:t>联系电话：</w:t>
      </w:r>
      <w:r>
        <w:rPr>
          <w:rFonts w:hint="eastAsia" w:ascii="新宋体" w:hAnsi="新宋体" w:eastAsia="新宋体" w:cs="新宋体"/>
          <w:bCs/>
          <w:color w:val="auto"/>
          <w:sz w:val="22"/>
          <w:szCs w:val="22"/>
          <w:highlight w:val="none"/>
          <w:lang w:eastAsia="zh-CN"/>
        </w:rPr>
        <w:t>0577-88151125</w:t>
      </w:r>
    </w:p>
    <w:p w14:paraId="645541C4">
      <w:pPr>
        <w:widowControl/>
        <w:spacing w:line="360" w:lineRule="auto"/>
        <w:ind w:left="62" w:right="62" w:firstLine="440" w:firstLineChars="200"/>
        <w:jc w:val="left"/>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rPr>
        <w:t>2、采购代理机构名称：</w:t>
      </w:r>
      <w:r>
        <w:rPr>
          <w:rFonts w:hint="eastAsia" w:ascii="新宋体" w:hAnsi="新宋体" w:eastAsia="新宋体" w:cs="新宋体"/>
          <w:bCs/>
          <w:color w:val="auto"/>
          <w:sz w:val="22"/>
          <w:szCs w:val="22"/>
          <w:highlight w:val="none"/>
          <w:lang w:eastAsia="zh-CN"/>
        </w:rPr>
        <w:t>温州品立项目管理有限公司</w:t>
      </w:r>
    </w:p>
    <w:p w14:paraId="1C53A73B">
      <w:pPr>
        <w:widowControl/>
        <w:spacing w:line="360" w:lineRule="auto"/>
        <w:ind w:left="62" w:right="62" w:firstLine="440" w:firstLineChars="200"/>
        <w:jc w:val="left"/>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rPr>
        <w:t>地 址：</w:t>
      </w:r>
      <w:r>
        <w:rPr>
          <w:rFonts w:hint="eastAsia" w:ascii="新宋体" w:hAnsi="新宋体" w:eastAsia="新宋体" w:cs="新宋体"/>
          <w:bCs/>
          <w:color w:val="auto"/>
          <w:sz w:val="22"/>
          <w:szCs w:val="22"/>
          <w:highlight w:val="none"/>
          <w:lang w:eastAsia="zh-CN"/>
        </w:rPr>
        <w:t>温州市鹿城区锦绣路19号宏嘉大厦2幢2005室</w:t>
      </w:r>
    </w:p>
    <w:p w14:paraId="1C57D478">
      <w:pPr>
        <w:widowControl/>
        <w:spacing w:line="360" w:lineRule="auto"/>
        <w:ind w:left="62" w:right="62" w:firstLine="440" w:firstLineChars="200"/>
        <w:jc w:val="left"/>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rPr>
        <w:t>联系人：</w:t>
      </w:r>
      <w:r>
        <w:rPr>
          <w:rFonts w:hint="eastAsia" w:ascii="新宋体" w:hAnsi="新宋体" w:eastAsia="新宋体" w:cs="新宋体"/>
          <w:bCs/>
          <w:color w:val="auto"/>
          <w:sz w:val="22"/>
          <w:szCs w:val="22"/>
          <w:highlight w:val="none"/>
          <w:lang w:eastAsia="zh-CN"/>
        </w:rPr>
        <w:t>邵海勇、泮赛琼</w:t>
      </w:r>
    </w:p>
    <w:p w14:paraId="174A9766">
      <w:pPr>
        <w:widowControl/>
        <w:spacing w:line="360" w:lineRule="auto"/>
        <w:ind w:left="62" w:right="62" w:firstLine="440" w:firstLineChars="200"/>
        <w:jc w:val="left"/>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lang w:val="en-US" w:eastAsia="zh-CN"/>
        </w:rPr>
        <w:t>联系</w:t>
      </w:r>
      <w:r>
        <w:rPr>
          <w:rFonts w:hint="eastAsia" w:ascii="新宋体" w:hAnsi="新宋体" w:eastAsia="新宋体" w:cs="新宋体"/>
          <w:bCs/>
          <w:color w:val="auto"/>
          <w:sz w:val="22"/>
          <w:szCs w:val="22"/>
          <w:highlight w:val="none"/>
        </w:rPr>
        <w:t>电话：</w:t>
      </w:r>
      <w:r>
        <w:rPr>
          <w:rFonts w:hint="eastAsia" w:ascii="新宋体" w:hAnsi="新宋体" w:eastAsia="新宋体" w:cs="新宋体"/>
          <w:bCs/>
          <w:color w:val="auto"/>
          <w:sz w:val="22"/>
          <w:szCs w:val="22"/>
          <w:highlight w:val="none"/>
          <w:lang w:eastAsia="zh-CN"/>
        </w:rPr>
        <w:t>18967751006、18158772688</w:t>
      </w:r>
    </w:p>
    <w:p w14:paraId="6E94C010">
      <w:pPr>
        <w:widowControl/>
        <w:spacing w:line="360" w:lineRule="auto"/>
        <w:ind w:left="62" w:right="62" w:firstLine="440" w:firstLineChars="200"/>
        <w:jc w:val="lef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3、采购监督管理部门名称：</w:t>
      </w:r>
      <w:r>
        <w:rPr>
          <w:rFonts w:hint="eastAsia" w:ascii="新宋体" w:hAnsi="新宋体" w:eastAsia="新宋体" w:cs="新宋体"/>
          <w:bCs/>
          <w:color w:val="auto"/>
          <w:sz w:val="22"/>
          <w:szCs w:val="22"/>
          <w:highlight w:val="none"/>
          <w:lang w:eastAsia="zh-CN"/>
        </w:rPr>
        <w:t>温州市工业与能源发展集团有限公司纪检监察室</w:t>
      </w:r>
    </w:p>
    <w:p w14:paraId="73A830C7">
      <w:pPr>
        <w:widowControl/>
        <w:spacing w:line="360" w:lineRule="auto"/>
        <w:ind w:left="62" w:right="62" w:firstLine="440" w:firstLineChars="200"/>
        <w:jc w:val="left"/>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rPr>
        <w:t>联系人：</w:t>
      </w:r>
      <w:r>
        <w:rPr>
          <w:rFonts w:hint="eastAsia" w:ascii="新宋体" w:hAnsi="新宋体" w:eastAsia="新宋体" w:cs="新宋体"/>
          <w:bCs/>
          <w:color w:val="auto"/>
          <w:sz w:val="22"/>
          <w:szCs w:val="22"/>
          <w:highlight w:val="none"/>
          <w:lang w:eastAsia="zh-CN"/>
        </w:rPr>
        <w:t>龚先生</w:t>
      </w:r>
    </w:p>
    <w:p w14:paraId="15C23097">
      <w:pPr>
        <w:widowControl/>
        <w:spacing w:line="360" w:lineRule="auto"/>
        <w:ind w:left="62" w:right="62" w:firstLine="440" w:firstLineChars="200"/>
        <w:jc w:val="left"/>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rPr>
        <w:t>联系方式：</w:t>
      </w:r>
      <w:r>
        <w:rPr>
          <w:rFonts w:hint="eastAsia" w:ascii="新宋体" w:hAnsi="新宋体" w:eastAsia="新宋体" w:cs="新宋体"/>
          <w:bCs/>
          <w:color w:val="auto"/>
          <w:sz w:val="22"/>
          <w:szCs w:val="22"/>
          <w:highlight w:val="none"/>
          <w:lang w:eastAsia="zh-CN"/>
        </w:rPr>
        <w:t>0577-55598012</w:t>
      </w:r>
    </w:p>
    <w:p w14:paraId="01581A0B">
      <w:pPr>
        <w:widowControl/>
        <w:spacing w:line="360" w:lineRule="auto"/>
        <w:jc w:val="right"/>
        <w:rPr>
          <w:rFonts w:hint="eastAsia" w:ascii="新宋体" w:hAnsi="新宋体" w:eastAsia="新宋体" w:cs="新宋体"/>
          <w:color w:val="auto"/>
          <w:kern w:val="0"/>
          <w:sz w:val="22"/>
          <w:szCs w:val="22"/>
          <w:highlight w:val="none"/>
        </w:rPr>
      </w:pPr>
    </w:p>
    <w:p w14:paraId="7F6263C5">
      <w:pPr>
        <w:widowControl/>
        <w:spacing w:line="360" w:lineRule="auto"/>
        <w:jc w:val="right"/>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温州市数据集团有限公司</w:t>
      </w:r>
    </w:p>
    <w:p w14:paraId="0D9F5C83">
      <w:pPr>
        <w:widowControl/>
        <w:spacing w:line="360" w:lineRule="auto"/>
        <w:jc w:val="right"/>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温州品立项目管理有限公司</w:t>
      </w:r>
    </w:p>
    <w:p w14:paraId="307AA145">
      <w:pPr>
        <w:widowControl/>
        <w:spacing w:line="360" w:lineRule="auto"/>
        <w:jc w:val="righ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2025年</w:t>
      </w:r>
      <w:r>
        <w:rPr>
          <w:rFonts w:hint="eastAsia" w:ascii="新宋体" w:hAnsi="新宋体" w:eastAsia="新宋体" w:cs="新宋体"/>
          <w:color w:val="auto"/>
          <w:kern w:val="0"/>
          <w:sz w:val="22"/>
          <w:szCs w:val="22"/>
          <w:highlight w:val="none"/>
          <w:lang w:val="en-US" w:eastAsia="zh-CN"/>
        </w:rPr>
        <w:t>11</w:t>
      </w:r>
      <w:r>
        <w:rPr>
          <w:rFonts w:hint="eastAsia" w:ascii="新宋体" w:hAnsi="新宋体" w:eastAsia="新宋体" w:cs="新宋体"/>
          <w:color w:val="auto"/>
          <w:kern w:val="0"/>
          <w:sz w:val="22"/>
          <w:szCs w:val="22"/>
          <w:highlight w:val="none"/>
          <w:lang w:eastAsia="zh-CN"/>
        </w:rPr>
        <w:t>月</w:t>
      </w:r>
      <w:r>
        <w:rPr>
          <w:rFonts w:hint="eastAsia" w:ascii="新宋体" w:hAnsi="新宋体" w:eastAsia="新宋体" w:cs="新宋体"/>
          <w:color w:val="auto"/>
          <w:kern w:val="0"/>
          <w:sz w:val="22"/>
          <w:szCs w:val="22"/>
          <w:highlight w:val="none"/>
          <w:lang w:val="en-US" w:eastAsia="zh-CN"/>
        </w:rPr>
        <w:t>24</w:t>
      </w:r>
      <w:r>
        <w:rPr>
          <w:rFonts w:hint="eastAsia" w:ascii="新宋体" w:hAnsi="新宋体" w:eastAsia="新宋体" w:cs="新宋体"/>
          <w:color w:val="auto"/>
          <w:kern w:val="0"/>
          <w:sz w:val="22"/>
          <w:szCs w:val="22"/>
          <w:highlight w:val="none"/>
          <w:lang w:eastAsia="zh-CN"/>
        </w:rPr>
        <w:t>日</w:t>
      </w:r>
    </w:p>
    <w:p w14:paraId="06C108D8">
      <w:pPr>
        <w:pStyle w:val="29"/>
        <w:ind w:firstLine="210"/>
        <w:rPr>
          <w:rFonts w:hint="eastAsia" w:ascii="新宋体" w:hAnsi="新宋体" w:eastAsia="新宋体" w:cs="新宋体"/>
          <w:color w:val="auto"/>
          <w:highlight w:val="none"/>
        </w:rPr>
      </w:pPr>
    </w:p>
    <w:p w14:paraId="693F0875">
      <w:pPr>
        <w:pStyle w:val="3"/>
        <w:rPr>
          <w:rFonts w:hint="eastAsia" w:ascii="新宋体" w:hAnsi="新宋体" w:eastAsia="新宋体" w:cs="新宋体"/>
          <w:b w:val="0"/>
          <w:bCs w:val="0"/>
          <w:color w:val="auto"/>
          <w:sz w:val="36"/>
          <w:szCs w:val="36"/>
          <w:highlight w:val="none"/>
        </w:rPr>
      </w:pPr>
      <w:bookmarkStart w:id="26" w:name="_Toc1649"/>
      <w:bookmarkStart w:id="27" w:name="_Toc12504"/>
      <w:bookmarkStart w:id="28" w:name="_Toc75948395"/>
      <w:r>
        <w:rPr>
          <w:rFonts w:hint="eastAsia" w:ascii="新宋体" w:hAnsi="新宋体" w:eastAsia="新宋体" w:cs="新宋体"/>
          <w:b w:val="0"/>
          <w:bCs w:val="0"/>
          <w:color w:val="auto"/>
          <w:sz w:val="36"/>
          <w:szCs w:val="36"/>
          <w:highlight w:val="none"/>
        </w:rPr>
        <w:br w:type="page"/>
      </w:r>
      <w:r>
        <w:rPr>
          <w:rFonts w:hint="eastAsia" w:ascii="新宋体" w:hAnsi="新宋体" w:eastAsia="新宋体" w:cs="新宋体"/>
          <w:b/>
          <w:bCs/>
          <w:color w:val="auto"/>
          <w:sz w:val="36"/>
          <w:szCs w:val="36"/>
          <w:highlight w:val="none"/>
          <w:lang w:eastAsia="zh-CN"/>
        </w:rPr>
        <w:t>温州市工业与能源集团</w:t>
      </w:r>
      <w:r>
        <w:rPr>
          <w:rFonts w:hint="eastAsia" w:ascii="新宋体" w:hAnsi="新宋体" w:eastAsia="新宋体" w:cs="新宋体"/>
          <w:b/>
          <w:bCs/>
          <w:color w:val="auto"/>
          <w:sz w:val="36"/>
          <w:szCs w:val="36"/>
          <w:highlight w:val="none"/>
        </w:rPr>
        <w:t>所属</w:t>
      </w:r>
      <w:r>
        <w:rPr>
          <w:rFonts w:hint="eastAsia" w:ascii="新宋体" w:hAnsi="新宋体" w:eastAsia="新宋体" w:cs="新宋体"/>
          <w:b/>
          <w:bCs/>
          <w:color w:val="auto"/>
          <w:sz w:val="36"/>
          <w:szCs w:val="36"/>
          <w:highlight w:val="none"/>
          <w:lang w:eastAsia="zh-CN"/>
        </w:rPr>
        <w:t>温州市数据集团有限公司</w:t>
      </w:r>
      <w:r>
        <w:rPr>
          <w:rFonts w:hint="eastAsia" w:ascii="新宋体" w:hAnsi="新宋体" w:eastAsia="新宋体" w:cs="新宋体"/>
          <w:b/>
          <w:bCs/>
          <w:color w:val="auto"/>
          <w:sz w:val="36"/>
          <w:szCs w:val="36"/>
          <w:highlight w:val="none"/>
        </w:rPr>
        <w:t>关于</w:t>
      </w:r>
      <w:r>
        <w:rPr>
          <w:rFonts w:hint="eastAsia" w:ascii="新宋体" w:hAnsi="新宋体" w:eastAsia="新宋体" w:cs="新宋体"/>
          <w:b/>
          <w:bCs/>
          <w:color w:val="auto"/>
          <w:sz w:val="36"/>
          <w:szCs w:val="36"/>
          <w:highlight w:val="none"/>
          <w:lang w:eastAsia="zh-CN"/>
        </w:rPr>
        <w:t>医疗专区智慧医疗数据综合流通平台-区域医疗综合管理系统及多元数据治理</w:t>
      </w:r>
      <w:r>
        <w:rPr>
          <w:rFonts w:hint="eastAsia" w:ascii="新宋体" w:hAnsi="新宋体" w:eastAsia="新宋体" w:cs="新宋体"/>
          <w:b/>
          <w:bCs/>
          <w:color w:val="auto"/>
          <w:sz w:val="36"/>
          <w:szCs w:val="36"/>
          <w:highlight w:val="none"/>
        </w:rPr>
        <w:t>项目征求意见公示</w:t>
      </w:r>
      <w:bookmarkEnd w:id="26"/>
      <w:bookmarkEnd w:id="27"/>
      <w:bookmarkEnd w:id="28"/>
    </w:p>
    <w:p w14:paraId="7234F373">
      <w:pPr>
        <w:keepNext w:val="0"/>
        <w:keepLines w:val="0"/>
        <w:pageBreakBefore w:val="0"/>
        <w:widowControl/>
        <w:kinsoku/>
        <w:wordWrap/>
        <w:overflowPunct/>
        <w:topLinePunct w:val="0"/>
        <w:autoSpaceDE/>
        <w:autoSpaceDN/>
        <w:bidi w:val="0"/>
        <w:adjustRightInd/>
        <w:snapToGrid/>
        <w:spacing w:line="360" w:lineRule="auto"/>
        <w:ind w:left="60" w:right="60" w:firstLine="435"/>
        <w:jc w:val="left"/>
        <w:textAlignment w:val="auto"/>
        <w:rPr>
          <w:rFonts w:hint="eastAsia" w:ascii="新宋体" w:hAnsi="新宋体" w:eastAsia="新宋体" w:cs="新宋体"/>
          <w:color w:val="auto"/>
          <w:kern w:val="0"/>
          <w:sz w:val="22"/>
          <w:szCs w:val="22"/>
          <w:highlight w:val="none"/>
          <w:lang w:eastAsia="zh-CN"/>
        </w:rPr>
      </w:pPr>
      <w:bookmarkStart w:id="29" w:name="_Toc13602"/>
      <w:bookmarkStart w:id="30" w:name="_Toc10872"/>
    </w:p>
    <w:p w14:paraId="05FAA45D">
      <w:pPr>
        <w:keepNext w:val="0"/>
        <w:keepLines w:val="0"/>
        <w:pageBreakBefore w:val="0"/>
        <w:widowControl/>
        <w:kinsoku/>
        <w:wordWrap/>
        <w:overflowPunct/>
        <w:topLinePunct w:val="0"/>
        <w:autoSpaceDE/>
        <w:autoSpaceDN/>
        <w:bidi w:val="0"/>
        <w:adjustRightInd/>
        <w:snapToGrid/>
        <w:spacing w:line="360" w:lineRule="auto"/>
        <w:ind w:left="60" w:right="60" w:firstLine="435"/>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eastAsia="zh-CN"/>
        </w:rPr>
        <w:t>温州品立项目管理有限公司</w:t>
      </w:r>
      <w:r>
        <w:rPr>
          <w:rFonts w:hint="eastAsia" w:ascii="新宋体" w:hAnsi="新宋体" w:eastAsia="新宋体" w:cs="新宋体"/>
          <w:color w:val="auto"/>
          <w:kern w:val="0"/>
          <w:sz w:val="22"/>
          <w:szCs w:val="22"/>
          <w:highlight w:val="none"/>
        </w:rPr>
        <w:t>就</w:t>
      </w:r>
      <w:r>
        <w:rPr>
          <w:rFonts w:hint="eastAsia" w:ascii="新宋体" w:hAnsi="新宋体" w:eastAsia="新宋体" w:cs="新宋体"/>
          <w:color w:val="auto"/>
          <w:kern w:val="0"/>
          <w:sz w:val="22"/>
          <w:szCs w:val="22"/>
          <w:highlight w:val="none"/>
          <w:lang w:eastAsia="zh-CN"/>
        </w:rPr>
        <w:t>温州市数据集团有限公司医疗专区智慧医疗数据综合流通平台-区域医疗综合管理系统及多元数据治理</w:t>
      </w:r>
      <w:r>
        <w:rPr>
          <w:rFonts w:hint="eastAsia" w:ascii="新宋体" w:hAnsi="新宋体" w:eastAsia="新宋体" w:cs="新宋体"/>
          <w:color w:val="auto"/>
          <w:kern w:val="0"/>
          <w:sz w:val="22"/>
          <w:szCs w:val="22"/>
          <w:highlight w:val="none"/>
        </w:rPr>
        <w:t>项目以公开招标方式进行国有企业采购。现将采购文件公布如下,并公开征求供应商及专家意见。</w:t>
      </w:r>
    </w:p>
    <w:p w14:paraId="1AE5177C">
      <w:pPr>
        <w:keepNext w:val="0"/>
        <w:keepLines w:val="0"/>
        <w:pageBreakBefore w:val="0"/>
        <w:widowControl/>
        <w:kinsoku/>
        <w:wordWrap/>
        <w:overflowPunct/>
        <w:topLinePunct w:val="0"/>
        <w:autoSpaceDE/>
        <w:autoSpaceDN/>
        <w:bidi w:val="0"/>
        <w:adjustRightInd/>
        <w:snapToGrid/>
        <w:spacing w:line="360" w:lineRule="auto"/>
        <w:ind w:left="60" w:right="60" w:firstLine="435"/>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一、征求意见范围：</w:t>
      </w:r>
    </w:p>
    <w:p w14:paraId="759C7CC2">
      <w:pPr>
        <w:keepNext w:val="0"/>
        <w:keepLines w:val="0"/>
        <w:pageBreakBefore w:val="0"/>
        <w:widowControl/>
        <w:kinsoku/>
        <w:wordWrap/>
        <w:overflowPunct/>
        <w:topLinePunct w:val="0"/>
        <w:autoSpaceDE/>
        <w:autoSpaceDN/>
        <w:bidi w:val="0"/>
        <w:adjustRightInd/>
        <w:snapToGrid/>
        <w:spacing w:line="360" w:lineRule="auto"/>
        <w:ind w:left="60" w:right="60" w:firstLine="435"/>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1.是否出现明显的倾向性意见和特定的性能指标；</w:t>
      </w:r>
    </w:p>
    <w:p w14:paraId="1163C522">
      <w:pPr>
        <w:keepNext w:val="0"/>
        <w:keepLines w:val="0"/>
        <w:pageBreakBefore w:val="0"/>
        <w:widowControl/>
        <w:kinsoku/>
        <w:wordWrap/>
        <w:overflowPunct/>
        <w:topLinePunct w:val="0"/>
        <w:autoSpaceDE/>
        <w:autoSpaceDN/>
        <w:bidi w:val="0"/>
        <w:adjustRightInd/>
        <w:snapToGrid/>
        <w:spacing w:line="360" w:lineRule="auto"/>
        <w:ind w:left="60" w:right="60" w:firstLine="435"/>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2.供应商资格条件是否具有明显倾向性和歧视性；</w:t>
      </w:r>
    </w:p>
    <w:p w14:paraId="3829D30B">
      <w:pPr>
        <w:keepNext w:val="0"/>
        <w:keepLines w:val="0"/>
        <w:pageBreakBefore w:val="0"/>
        <w:widowControl/>
        <w:kinsoku/>
        <w:wordWrap/>
        <w:overflowPunct/>
        <w:topLinePunct w:val="0"/>
        <w:autoSpaceDE/>
        <w:autoSpaceDN/>
        <w:bidi w:val="0"/>
        <w:adjustRightInd/>
        <w:snapToGrid/>
        <w:spacing w:line="360" w:lineRule="auto"/>
        <w:ind w:left="60" w:right="60" w:firstLine="435"/>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3.影响国有企业采购“公开、公平、公正”原则的其他情况。 </w:t>
      </w:r>
    </w:p>
    <w:p w14:paraId="61A5F58B">
      <w:pPr>
        <w:keepNext w:val="0"/>
        <w:keepLines w:val="0"/>
        <w:pageBreakBefore w:val="0"/>
        <w:widowControl/>
        <w:kinsoku/>
        <w:wordWrap/>
        <w:overflowPunct/>
        <w:topLinePunct w:val="0"/>
        <w:autoSpaceDE/>
        <w:autoSpaceDN/>
        <w:bidi w:val="0"/>
        <w:adjustRightInd/>
        <w:snapToGrid/>
        <w:spacing w:line="360" w:lineRule="auto"/>
        <w:ind w:left="60" w:right="60" w:firstLine="435"/>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二、征求意见的回复：</w:t>
      </w:r>
    </w:p>
    <w:p w14:paraId="1F320E7F">
      <w:pPr>
        <w:pStyle w:val="27"/>
        <w:keepNext w:val="0"/>
        <w:keepLines w:val="0"/>
        <w:pageBreakBefore w:val="0"/>
        <w:widowControl/>
        <w:shd w:val="clear" w:color="auto" w:fill="FFFFFF"/>
        <w:kinsoku/>
        <w:wordWrap/>
        <w:overflowPunct/>
        <w:topLinePunct w:val="0"/>
        <w:autoSpaceDE/>
        <w:autoSpaceDN/>
        <w:bidi w:val="0"/>
        <w:adjustRightInd/>
        <w:snapToGrid/>
        <w:spacing w:before="100" w:beforeAutospacing="1" w:line="360" w:lineRule="auto"/>
        <w:ind w:left="0" w:leftChars="0" w:right="0" w:rightChars="0" w:firstLine="290"/>
        <w:textAlignment w:val="auto"/>
        <w:outlineLvl w:val="9"/>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各供应商及专家提出修改理由和建议的，请于202</w:t>
      </w:r>
      <w:r>
        <w:rPr>
          <w:rFonts w:hint="eastAsia" w:ascii="新宋体" w:hAnsi="新宋体" w:eastAsia="新宋体" w:cs="新宋体"/>
          <w:color w:val="auto"/>
          <w:kern w:val="0"/>
          <w:sz w:val="22"/>
          <w:szCs w:val="22"/>
          <w:highlight w:val="none"/>
          <w:lang w:val="en-US" w:eastAsia="zh-CN"/>
        </w:rPr>
        <w:t>5</w:t>
      </w:r>
      <w:r>
        <w:rPr>
          <w:rFonts w:hint="eastAsia" w:ascii="新宋体" w:hAnsi="新宋体" w:eastAsia="新宋体" w:cs="新宋体"/>
          <w:color w:val="auto"/>
          <w:kern w:val="0"/>
          <w:sz w:val="22"/>
          <w:szCs w:val="22"/>
          <w:highlight w:val="none"/>
        </w:rPr>
        <w:t>年</w:t>
      </w:r>
      <w:r>
        <w:rPr>
          <w:rFonts w:hint="eastAsia" w:ascii="新宋体" w:hAnsi="新宋体" w:eastAsia="新宋体" w:cs="新宋体"/>
          <w:color w:val="auto"/>
          <w:kern w:val="0"/>
          <w:sz w:val="22"/>
          <w:szCs w:val="22"/>
          <w:highlight w:val="none"/>
          <w:lang w:val="en-US" w:eastAsia="zh-CN"/>
        </w:rPr>
        <w:t>11</w:t>
      </w:r>
      <w:r>
        <w:rPr>
          <w:rFonts w:hint="eastAsia" w:ascii="新宋体" w:hAnsi="新宋体" w:eastAsia="新宋体" w:cs="新宋体"/>
          <w:color w:val="auto"/>
          <w:kern w:val="0"/>
          <w:sz w:val="22"/>
          <w:szCs w:val="22"/>
          <w:highlight w:val="none"/>
        </w:rPr>
        <w:t>月</w:t>
      </w:r>
      <w:r>
        <w:rPr>
          <w:rFonts w:hint="eastAsia" w:ascii="新宋体" w:hAnsi="新宋体" w:eastAsia="新宋体" w:cs="新宋体"/>
          <w:color w:val="auto"/>
          <w:kern w:val="0"/>
          <w:sz w:val="22"/>
          <w:szCs w:val="22"/>
          <w:highlight w:val="none"/>
          <w:lang w:val="en-US" w:eastAsia="zh-CN"/>
        </w:rPr>
        <w:t>27</w:t>
      </w:r>
      <w:r>
        <w:rPr>
          <w:rFonts w:hint="eastAsia" w:ascii="新宋体" w:hAnsi="新宋体" w:eastAsia="新宋体" w:cs="新宋体"/>
          <w:color w:val="auto"/>
          <w:kern w:val="0"/>
          <w:sz w:val="22"/>
          <w:szCs w:val="22"/>
          <w:highlight w:val="none"/>
        </w:rPr>
        <w:t>日下午17:00前（节假日除外）将书面材料签字（盖章）并密封后送至</w:t>
      </w:r>
      <w:r>
        <w:rPr>
          <w:rFonts w:hint="eastAsia" w:ascii="新宋体" w:hAnsi="新宋体" w:eastAsia="新宋体" w:cs="新宋体"/>
          <w:color w:val="auto"/>
          <w:kern w:val="0"/>
          <w:sz w:val="22"/>
          <w:szCs w:val="22"/>
          <w:highlight w:val="none"/>
          <w:lang w:eastAsia="zh-CN"/>
        </w:rPr>
        <w:t>温州市鹿城区锦绣路19号宏嘉大厦2幢2005室，</w:t>
      </w:r>
      <w:r>
        <w:rPr>
          <w:rFonts w:hint="eastAsia" w:ascii="新宋体" w:hAnsi="新宋体" w:eastAsia="新宋体" w:cs="新宋体"/>
          <w:color w:val="auto"/>
          <w:kern w:val="0"/>
          <w:sz w:val="22"/>
          <w:szCs w:val="22"/>
          <w:highlight w:val="none"/>
        </w:rPr>
        <w:t>或先将扫描件及电子版发送至邮箱：</w:t>
      </w:r>
      <w:r>
        <w:rPr>
          <w:rFonts w:hint="eastAsia" w:ascii="新宋体" w:hAnsi="新宋体" w:eastAsia="新宋体" w:cs="新宋体"/>
          <w:color w:val="auto"/>
          <w:kern w:val="0"/>
          <w:sz w:val="22"/>
          <w:szCs w:val="22"/>
          <w:highlight w:val="none"/>
          <w:lang w:eastAsia="zh-CN"/>
        </w:rPr>
        <w:t>53514766@qq.com</w:t>
      </w:r>
      <w:r>
        <w:rPr>
          <w:rFonts w:hint="eastAsia" w:ascii="新宋体" w:hAnsi="新宋体" w:eastAsia="新宋体" w:cs="新宋体"/>
          <w:color w:val="auto"/>
          <w:kern w:val="0"/>
          <w:sz w:val="22"/>
          <w:szCs w:val="22"/>
          <w:highlight w:val="none"/>
        </w:rPr>
        <w:t>，并同时将该原件书面寄至温州市鹿城区锦绣路19号宏嘉大厦2幢2005室。</w:t>
      </w:r>
    </w:p>
    <w:p w14:paraId="4B94772E">
      <w:pPr>
        <w:pStyle w:val="27"/>
        <w:keepNext w:val="0"/>
        <w:keepLines w:val="0"/>
        <w:pageBreakBefore w:val="0"/>
        <w:widowControl/>
        <w:shd w:val="clear" w:color="auto" w:fill="FFFFFF"/>
        <w:kinsoku/>
        <w:wordWrap/>
        <w:overflowPunct/>
        <w:topLinePunct w:val="0"/>
        <w:autoSpaceDE/>
        <w:autoSpaceDN/>
        <w:bidi w:val="0"/>
        <w:adjustRightInd/>
        <w:snapToGrid/>
        <w:spacing w:before="100" w:beforeAutospacing="1" w:line="360" w:lineRule="auto"/>
        <w:ind w:left="0" w:leftChars="0" w:right="0" w:rightChars="0" w:firstLine="290"/>
        <w:textAlignment w:val="auto"/>
        <w:outlineLvl w:val="9"/>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lang w:val="en-US" w:eastAsia="zh-CN" w:bidi="ar-SA"/>
        </w:rPr>
        <w:t>项目联系人：邵海勇、泮赛琼，联系电话：18967751006、18158772688，对逾期送达的意见、建议书恕不接受。</w:t>
      </w:r>
    </w:p>
    <w:p w14:paraId="0959358B">
      <w:pPr>
        <w:pStyle w:val="27"/>
        <w:keepNext w:val="0"/>
        <w:keepLines w:val="0"/>
        <w:pageBreakBefore w:val="0"/>
        <w:widowControl/>
        <w:shd w:val="clear" w:color="auto" w:fill="FFFFFF"/>
        <w:kinsoku/>
        <w:wordWrap/>
        <w:overflowPunct/>
        <w:topLinePunct w:val="0"/>
        <w:autoSpaceDE/>
        <w:autoSpaceDN/>
        <w:bidi w:val="0"/>
        <w:adjustRightInd/>
        <w:snapToGrid/>
        <w:spacing w:before="100" w:beforeAutospacing="1" w:line="360" w:lineRule="auto"/>
        <w:ind w:left="0" w:leftChars="0" w:right="0" w:rightChars="0" w:firstLine="290"/>
        <w:textAlignment w:val="auto"/>
        <w:outlineLvl w:val="9"/>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lang w:val="en-US" w:eastAsia="zh-CN" w:bidi="ar-SA"/>
        </w:rPr>
        <w:t>三、相关附件：采购文件</w:t>
      </w:r>
    </w:p>
    <w:p w14:paraId="23A28DAA">
      <w:pPr>
        <w:keepNext w:val="0"/>
        <w:keepLines w:val="0"/>
        <w:pageBreakBefore w:val="0"/>
        <w:widowControl/>
        <w:kinsoku/>
        <w:wordWrap/>
        <w:overflowPunct/>
        <w:topLinePunct w:val="0"/>
        <w:autoSpaceDE/>
        <w:autoSpaceDN/>
        <w:bidi w:val="0"/>
        <w:adjustRightInd/>
        <w:snapToGrid/>
        <w:spacing w:line="360" w:lineRule="auto"/>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 </w:t>
      </w:r>
    </w:p>
    <w:p w14:paraId="23276FDE">
      <w:pPr>
        <w:keepNext w:val="0"/>
        <w:keepLines w:val="0"/>
        <w:pageBreakBefore w:val="0"/>
        <w:widowControl/>
        <w:kinsoku/>
        <w:wordWrap/>
        <w:overflowPunct/>
        <w:topLinePunct w:val="0"/>
        <w:autoSpaceDE/>
        <w:autoSpaceDN/>
        <w:bidi w:val="0"/>
        <w:adjustRightInd/>
        <w:snapToGrid/>
        <w:spacing w:line="360" w:lineRule="auto"/>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 </w:t>
      </w:r>
    </w:p>
    <w:p w14:paraId="75DD7500">
      <w:pPr>
        <w:keepNext w:val="0"/>
        <w:keepLines w:val="0"/>
        <w:pageBreakBefore w:val="0"/>
        <w:widowControl/>
        <w:kinsoku/>
        <w:wordWrap/>
        <w:overflowPunct/>
        <w:topLinePunct w:val="0"/>
        <w:autoSpaceDE/>
        <w:autoSpaceDN/>
        <w:bidi w:val="0"/>
        <w:adjustRightInd/>
        <w:snapToGrid/>
        <w:spacing w:line="360" w:lineRule="auto"/>
        <w:jc w:val="righ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kern w:val="0"/>
          <w:sz w:val="22"/>
          <w:szCs w:val="22"/>
          <w:highlight w:val="none"/>
          <w:lang w:eastAsia="zh-CN"/>
        </w:rPr>
        <w:t>温州市数据集团有限公司</w:t>
      </w:r>
    </w:p>
    <w:p w14:paraId="7D0DA55F">
      <w:pPr>
        <w:keepNext w:val="0"/>
        <w:keepLines w:val="0"/>
        <w:pageBreakBefore w:val="0"/>
        <w:widowControl/>
        <w:kinsoku/>
        <w:wordWrap/>
        <w:overflowPunct/>
        <w:topLinePunct w:val="0"/>
        <w:autoSpaceDE/>
        <w:autoSpaceDN/>
        <w:bidi w:val="0"/>
        <w:adjustRightInd/>
        <w:snapToGrid/>
        <w:spacing w:line="360" w:lineRule="auto"/>
        <w:jc w:val="righ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kern w:val="0"/>
          <w:sz w:val="22"/>
          <w:szCs w:val="22"/>
          <w:highlight w:val="none"/>
          <w:lang w:eastAsia="zh-CN"/>
        </w:rPr>
        <w:t>温州品立项目管理有限公司</w:t>
      </w:r>
    </w:p>
    <w:p w14:paraId="443A8B8E">
      <w:pPr>
        <w:keepNext w:val="0"/>
        <w:keepLines w:val="0"/>
        <w:pageBreakBefore w:val="0"/>
        <w:widowControl/>
        <w:kinsoku/>
        <w:wordWrap/>
        <w:overflowPunct/>
        <w:topLinePunct w:val="0"/>
        <w:autoSpaceDE/>
        <w:autoSpaceDN/>
        <w:bidi w:val="0"/>
        <w:adjustRightInd/>
        <w:snapToGrid/>
        <w:spacing w:before="60" w:after="60" w:line="360" w:lineRule="auto"/>
        <w:ind w:right="60"/>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202</w:t>
      </w:r>
      <w:r>
        <w:rPr>
          <w:rFonts w:hint="eastAsia" w:ascii="新宋体" w:hAnsi="新宋体" w:eastAsia="新宋体" w:cs="新宋体"/>
          <w:color w:val="auto"/>
          <w:kern w:val="0"/>
          <w:sz w:val="22"/>
          <w:szCs w:val="22"/>
          <w:highlight w:val="none"/>
          <w:lang w:val="en-US" w:eastAsia="zh-CN"/>
        </w:rPr>
        <w:t>5</w:t>
      </w:r>
      <w:r>
        <w:rPr>
          <w:rFonts w:hint="eastAsia" w:ascii="新宋体" w:hAnsi="新宋体" w:eastAsia="新宋体" w:cs="新宋体"/>
          <w:color w:val="auto"/>
          <w:kern w:val="0"/>
          <w:sz w:val="22"/>
          <w:szCs w:val="22"/>
          <w:highlight w:val="none"/>
        </w:rPr>
        <w:t>年</w:t>
      </w:r>
      <w:r>
        <w:rPr>
          <w:rFonts w:hint="eastAsia" w:ascii="新宋体" w:hAnsi="新宋体" w:eastAsia="新宋体" w:cs="新宋体"/>
          <w:color w:val="auto"/>
          <w:kern w:val="0"/>
          <w:sz w:val="22"/>
          <w:szCs w:val="22"/>
          <w:highlight w:val="none"/>
          <w:lang w:val="en-US" w:eastAsia="zh-CN"/>
        </w:rPr>
        <w:t>11</w:t>
      </w:r>
      <w:r>
        <w:rPr>
          <w:rFonts w:hint="eastAsia" w:ascii="新宋体" w:hAnsi="新宋体" w:eastAsia="新宋体" w:cs="新宋体"/>
          <w:color w:val="auto"/>
          <w:kern w:val="0"/>
          <w:sz w:val="22"/>
          <w:szCs w:val="22"/>
          <w:highlight w:val="none"/>
        </w:rPr>
        <w:t>月</w:t>
      </w:r>
      <w:r>
        <w:rPr>
          <w:rFonts w:hint="eastAsia" w:ascii="新宋体" w:hAnsi="新宋体" w:eastAsia="新宋体" w:cs="新宋体"/>
          <w:color w:val="auto"/>
          <w:kern w:val="0"/>
          <w:sz w:val="22"/>
          <w:szCs w:val="22"/>
          <w:highlight w:val="none"/>
          <w:lang w:val="en-US" w:eastAsia="zh-CN"/>
        </w:rPr>
        <w:t>24</w:t>
      </w:r>
      <w:r>
        <w:rPr>
          <w:rFonts w:hint="eastAsia" w:ascii="新宋体" w:hAnsi="新宋体" w:eastAsia="新宋体" w:cs="新宋体"/>
          <w:color w:val="auto"/>
          <w:kern w:val="0"/>
          <w:sz w:val="22"/>
          <w:szCs w:val="22"/>
          <w:highlight w:val="none"/>
        </w:rPr>
        <w:t>日</w:t>
      </w:r>
    </w:p>
    <w:p w14:paraId="5224AFFD">
      <w:pPr>
        <w:rPr>
          <w:rFonts w:hint="eastAsia" w:ascii="新宋体" w:hAnsi="新宋体" w:eastAsia="新宋体" w:cs="新宋体"/>
          <w:color w:val="auto"/>
          <w:sz w:val="36"/>
          <w:szCs w:val="36"/>
          <w:highlight w:val="none"/>
        </w:rPr>
      </w:pPr>
    </w:p>
    <w:p w14:paraId="674669C8">
      <w:pPr>
        <w:pStyle w:val="3"/>
        <w:overflowPunct w:val="0"/>
        <w:rPr>
          <w:rFonts w:hint="eastAsia" w:ascii="新宋体" w:hAnsi="新宋体" w:eastAsia="新宋体" w:cs="新宋体"/>
          <w:color w:val="auto"/>
          <w:sz w:val="36"/>
          <w:szCs w:val="36"/>
          <w:highlight w:val="none"/>
        </w:rPr>
      </w:pPr>
      <w:bookmarkStart w:id="31" w:name="_Toc75948396"/>
      <w:r>
        <w:rPr>
          <w:rFonts w:hint="eastAsia" w:ascii="新宋体" w:hAnsi="新宋体" w:eastAsia="新宋体" w:cs="新宋体"/>
          <w:b w:val="0"/>
          <w:bCs w:val="0"/>
          <w:color w:val="auto"/>
          <w:sz w:val="36"/>
          <w:szCs w:val="36"/>
          <w:highlight w:val="none"/>
        </w:rPr>
        <w:br w:type="page"/>
      </w:r>
      <w:r>
        <w:rPr>
          <w:rFonts w:hint="eastAsia" w:ascii="新宋体" w:hAnsi="新宋体" w:eastAsia="新宋体" w:cs="新宋体"/>
          <w:b/>
          <w:bCs/>
          <w:color w:val="auto"/>
          <w:sz w:val="36"/>
          <w:szCs w:val="36"/>
          <w:highlight w:val="none"/>
        </w:rPr>
        <w:t>投标供应商须知前附表</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29"/>
      <w:bookmarkEnd w:id="30"/>
      <w:bookmarkEnd w:id="31"/>
    </w:p>
    <w:tbl>
      <w:tblPr>
        <w:tblStyle w:val="31"/>
        <w:tblW w:w="985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94"/>
        <w:gridCol w:w="1750"/>
        <w:gridCol w:w="7310"/>
      </w:tblGrid>
      <w:tr w14:paraId="11776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02DC4898">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序号</w:t>
            </w:r>
          </w:p>
        </w:tc>
        <w:tc>
          <w:tcPr>
            <w:tcW w:w="1750" w:type="dxa"/>
            <w:tcBorders>
              <w:top w:val="single" w:color="auto" w:sz="4" w:space="0"/>
              <w:left w:val="single" w:color="auto" w:sz="4" w:space="0"/>
              <w:bottom w:val="single" w:color="auto" w:sz="4" w:space="0"/>
              <w:right w:val="single" w:color="auto" w:sz="4" w:space="0"/>
            </w:tcBorders>
            <w:vAlign w:val="center"/>
          </w:tcPr>
          <w:p w14:paraId="74245850">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条款名称</w:t>
            </w:r>
          </w:p>
        </w:tc>
        <w:tc>
          <w:tcPr>
            <w:tcW w:w="7310" w:type="dxa"/>
            <w:tcBorders>
              <w:top w:val="single" w:color="auto" w:sz="4" w:space="0"/>
              <w:left w:val="single" w:color="auto" w:sz="4" w:space="0"/>
              <w:bottom w:val="single" w:color="auto" w:sz="4" w:space="0"/>
              <w:right w:val="single" w:color="auto" w:sz="4" w:space="0"/>
            </w:tcBorders>
            <w:vAlign w:val="center"/>
          </w:tcPr>
          <w:p w14:paraId="56CD98D3">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编列内容</w:t>
            </w:r>
          </w:p>
        </w:tc>
      </w:tr>
      <w:tr w14:paraId="308AB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355F7B79">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w:t>
            </w:r>
          </w:p>
        </w:tc>
        <w:tc>
          <w:tcPr>
            <w:tcW w:w="1750" w:type="dxa"/>
            <w:tcBorders>
              <w:top w:val="single" w:color="auto" w:sz="4" w:space="0"/>
              <w:left w:val="single" w:color="auto" w:sz="4" w:space="0"/>
              <w:bottom w:val="single" w:color="auto" w:sz="4" w:space="0"/>
              <w:right w:val="single" w:color="auto" w:sz="4" w:space="0"/>
            </w:tcBorders>
            <w:vAlign w:val="center"/>
          </w:tcPr>
          <w:p w14:paraId="35D9ED34">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采购人</w:t>
            </w:r>
          </w:p>
        </w:tc>
        <w:tc>
          <w:tcPr>
            <w:tcW w:w="7310" w:type="dxa"/>
            <w:tcBorders>
              <w:top w:val="single" w:color="auto" w:sz="4" w:space="0"/>
              <w:left w:val="single" w:color="auto" w:sz="4" w:space="0"/>
              <w:bottom w:val="single" w:color="auto" w:sz="4" w:space="0"/>
              <w:right w:val="single" w:color="auto" w:sz="4" w:space="0"/>
            </w:tcBorders>
            <w:vAlign w:val="center"/>
          </w:tcPr>
          <w:p w14:paraId="73B0DF91">
            <w:pPr>
              <w:spacing w:line="300" w:lineRule="exact"/>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采购人名称：</w:t>
            </w:r>
            <w:r>
              <w:rPr>
                <w:rFonts w:hint="eastAsia" w:ascii="新宋体" w:hAnsi="新宋体" w:eastAsia="新宋体" w:cs="新宋体"/>
                <w:color w:val="auto"/>
                <w:kern w:val="0"/>
                <w:sz w:val="22"/>
                <w:szCs w:val="22"/>
                <w:highlight w:val="none"/>
                <w:lang w:eastAsia="zh-CN"/>
              </w:rPr>
              <w:t>温州市数据集团有限公司</w:t>
            </w:r>
          </w:p>
          <w:p w14:paraId="456DDA1B">
            <w:pPr>
              <w:spacing w:line="300" w:lineRule="exact"/>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采购人地址：</w:t>
            </w:r>
            <w:r>
              <w:rPr>
                <w:rFonts w:hint="eastAsia" w:ascii="新宋体" w:hAnsi="新宋体" w:eastAsia="新宋体" w:cs="新宋体"/>
                <w:color w:val="auto"/>
                <w:kern w:val="0"/>
                <w:sz w:val="22"/>
                <w:szCs w:val="22"/>
                <w:highlight w:val="none"/>
                <w:lang w:eastAsia="zh-CN"/>
              </w:rPr>
              <w:t>浙江省温州市瓯海区瓯海大道117号数安大厦A幢12层</w:t>
            </w:r>
          </w:p>
          <w:p w14:paraId="601CCC18">
            <w:pPr>
              <w:spacing w:line="300" w:lineRule="exact"/>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联系人：</w:t>
            </w:r>
            <w:r>
              <w:rPr>
                <w:rFonts w:hint="eastAsia" w:ascii="新宋体" w:hAnsi="新宋体" w:eastAsia="新宋体" w:cs="新宋体"/>
                <w:color w:val="auto"/>
                <w:kern w:val="0"/>
                <w:sz w:val="22"/>
                <w:szCs w:val="22"/>
                <w:highlight w:val="none"/>
                <w:lang w:eastAsia="zh-CN"/>
              </w:rPr>
              <w:t>王先生</w:t>
            </w:r>
          </w:p>
          <w:p w14:paraId="46E682A4">
            <w:pPr>
              <w:spacing w:line="300" w:lineRule="exact"/>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联系电话：</w:t>
            </w:r>
            <w:r>
              <w:rPr>
                <w:rFonts w:hint="eastAsia" w:ascii="新宋体" w:hAnsi="新宋体" w:eastAsia="新宋体" w:cs="新宋体"/>
                <w:color w:val="auto"/>
                <w:kern w:val="0"/>
                <w:sz w:val="22"/>
                <w:szCs w:val="22"/>
                <w:highlight w:val="none"/>
                <w:lang w:eastAsia="zh-CN"/>
              </w:rPr>
              <w:t>0577-88151125</w:t>
            </w:r>
          </w:p>
        </w:tc>
      </w:tr>
      <w:tr w14:paraId="22C13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71202380">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w:t>
            </w:r>
          </w:p>
        </w:tc>
        <w:tc>
          <w:tcPr>
            <w:tcW w:w="1750" w:type="dxa"/>
            <w:tcBorders>
              <w:top w:val="single" w:color="auto" w:sz="4" w:space="0"/>
              <w:left w:val="single" w:color="auto" w:sz="4" w:space="0"/>
              <w:bottom w:val="single" w:color="auto" w:sz="4" w:space="0"/>
              <w:right w:val="single" w:color="auto" w:sz="4" w:space="0"/>
            </w:tcBorders>
            <w:vAlign w:val="center"/>
          </w:tcPr>
          <w:p w14:paraId="3BB229F9">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采购代理机构</w:t>
            </w:r>
          </w:p>
        </w:tc>
        <w:tc>
          <w:tcPr>
            <w:tcW w:w="7310" w:type="dxa"/>
            <w:tcBorders>
              <w:top w:val="single" w:color="auto" w:sz="4" w:space="0"/>
              <w:left w:val="single" w:color="auto" w:sz="4" w:space="0"/>
              <w:bottom w:val="single" w:color="auto" w:sz="4" w:space="0"/>
              <w:right w:val="single" w:color="auto" w:sz="4" w:space="0"/>
            </w:tcBorders>
            <w:vAlign w:val="center"/>
          </w:tcPr>
          <w:p w14:paraId="2D407E56">
            <w:pPr>
              <w:spacing w:line="300" w:lineRule="exact"/>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代理机构名称：</w:t>
            </w:r>
            <w:r>
              <w:rPr>
                <w:rFonts w:hint="eastAsia" w:ascii="新宋体" w:hAnsi="新宋体" w:eastAsia="新宋体" w:cs="新宋体"/>
                <w:color w:val="auto"/>
                <w:kern w:val="0"/>
                <w:sz w:val="22"/>
                <w:szCs w:val="22"/>
                <w:highlight w:val="none"/>
                <w:lang w:eastAsia="zh-CN"/>
              </w:rPr>
              <w:t>温州品立项目管理有限公司</w:t>
            </w:r>
          </w:p>
          <w:p w14:paraId="14D585C1">
            <w:pPr>
              <w:spacing w:line="300" w:lineRule="exact"/>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代理机构地址：</w:t>
            </w:r>
            <w:r>
              <w:rPr>
                <w:rFonts w:hint="eastAsia" w:ascii="新宋体" w:hAnsi="新宋体" w:eastAsia="新宋体" w:cs="新宋体"/>
                <w:color w:val="auto"/>
                <w:kern w:val="0"/>
                <w:sz w:val="22"/>
                <w:szCs w:val="22"/>
                <w:highlight w:val="none"/>
                <w:lang w:eastAsia="zh-CN"/>
              </w:rPr>
              <w:t>温州市鹿城区锦绣路19号宏嘉大厦2幢2005室</w:t>
            </w:r>
          </w:p>
          <w:p w14:paraId="109C397D">
            <w:pPr>
              <w:spacing w:line="300" w:lineRule="exact"/>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项目经办人：</w:t>
            </w:r>
            <w:r>
              <w:rPr>
                <w:rFonts w:hint="eastAsia" w:ascii="新宋体" w:hAnsi="新宋体" w:eastAsia="新宋体" w:cs="新宋体"/>
                <w:color w:val="auto"/>
                <w:kern w:val="0"/>
                <w:sz w:val="22"/>
                <w:szCs w:val="22"/>
                <w:highlight w:val="none"/>
                <w:lang w:eastAsia="zh-CN"/>
              </w:rPr>
              <w:t>邵海勇、泮赛琼</w:t>
            </w:r>
          </w:p>
          <w:p w14:paraId="7984B397">
            <w:pPr>
              <w:spacing w:line="3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联系电话：</w:t>
            </w:r>
            <w:r>
              <w:rPr>
                <w:rFonts w:hint="eastAsia" w:ascii="新宋体" w:hAnsi="新宋体" w:eastAsia="新宋体" w:cs="新宋体"/>
                <w:color w:val="auto"/>
                <w:kern w:val="0"/>
                <w:sz w:val="22"/>
                <w:szCs w:val="22"/>
                <w:highlight w:val="none"/>
                <w:lang w:eastAsia="zh-CN"/>
              </w:rPr>
              <w:t>18967751006、18158772688</w:t>
            </w:r>
          </w:p>
        </w:tc>
      </w:tr>
      <w:tr w14:paraId="764CC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421735D9">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w:t>
            </w:r>
          </w:p>
        </w:tc>
        <w:tc>
          <w:tcPr>
            <w:tcW w:w="1750" w:type="dxa"/>
            <w:tcBorders>
              <w:top w:val="single" w:color="auto" w:sz="4" w:space="0"/>
              <w:left w:val="single" w:color="auto" w:sz="4" w:space="0"/>
              <w:bottom w:val="single" w:color="auto" w:sz="4" w:space="0"/>
              <w:right w:val="single" w:color="auto" w:sz="4" w:space="0"/>
            </w:tcBorders>
            <w:vAlign w:val="center"/>
          </w:tcPr>
          <w:p w14:paraId="7C5C270D">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采购项目名称及项目编号</w:t>
            </w:r>
          </w:p>
        </w:tc>
        <w:tc>
          <w:tcPr>
            <w:tcW w:w="7310" w:type="dxa"/>
            <w:tcBorders>
              <w:top w:val="single" w:color="auto" w:sz="4" w:space="0"/>
              <w:left w:val="single" w:color="auto" w:sz="4" w:space="0"/>
              <w:bottom w:val="single" w:color="auto" w:sz="4" w:space="0"/>
              <w:right w:val="single" w:color="auto" w:sz="4" w:space="0"/>
            </w:tcBorders>
            <w:vAlign w:val="center"/>
          </w:tcPr>
          <w:p w14:paraId="79D08028">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采购项目名称：</w:t>
            </w:r>
            <w:r>
              <w:rPr>
                <w:rFonts w:hint="eastAsia" w:ascii="新宋体" w:hAnsi="新宋体" w:eastAsia="新宋体" w:cs="新宋体"/>
                <w:color w:val="auto"/>
                <w:kern w:val="0"/>
                <w:sz w:val="22"/>
                <w:szCs w:val="22"/>
                <w:highlight w:val="none"/>
                <w:lang w:eastAsia="zh-CN"/>
              </w:rPr>
              <w:t>医疗专区智慧医疗数据综合流通平台-区域医疗综合管理系统及多元数据治理</w:t>
            </w:r>
            <w:r>
              <w:rPr>
                <w:rFonts w:hint="eastAsia" w:ascii="新宋体" w:hAnsi="新宋体" w:eastAsia="新宋体" w:cs="新宋体"/>
                <w:color w:val="auto"/>
                <w:kern w:val="0"/>
                <w:sz w:val="22"/>
                <w:szCs w:val="22"/>
                <w:highlight w:val="none"/>
              </w:rPr>
              <w:t>项目</w:t>
            </w:r>
          </w:p>
          <w:p w14:paraId="2E09149C">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项目编号：</w:t>
            </w:r>
            <w:r>
              <w:rPr>
                <w:rFonts w:hint="eastAsia" w:ascii="新宋体" w:hAnsi="新宋体" w:eastAsia="新宋体" w:cs="新宋体"/>
                <w:color w:val="auto"/>
                <w:kern w:val="0"/>
                <w:sz w:val="22"/>
                <w:szCs w:val="22"/>
                <w:highlight w:val="none"/>
                <w:lang w:eastAsia="zh-CN"/>
              </w:rPr>
              <w:t>WGSS-GYNY-X-2025013</w:t>
            </w:r>
          </w:p>
        </w:tc>
      </w:tr>
      <w:tr w14:paraId="45229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41020E4E">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w:t>
            </w:r>
          </w:p>
        </w:tc>
        <w:tc>
          <w:tcPr>
            <w:tcW w:w="1750" w:type="dxa"/>
            <w:tcBorders>
              <w:top w:val="single" w:color="auto" w:sz="4" w:space="0"/>
              <w:left w:val="single" w:color="auto" w:sz="4" w:space="0"/>
              <w:bottom w:val="single" w:color="auto" w:sz="4" w:space="0"/>
              <w:right w:val="single" w:color="auto" w:sz="4" w:space="0"/>
            </w:tcBorders>
            <w:vAlign w:val="center"/>
          </w:tcPr>
          <w:p w14:paraId="378AD0D1">
            <w:pPr>
              <w:spacing w:line="312" w:lineRule="auto"/>
              <w:rPr>
                <w:rFonts w:hint="eastAsia" w:ascii="新宋体" w:hAnsi="新宋体" w:eastAsia="新宋体" w:cs="新宋体"/>
                <w:color w:val="auto"/>
                <w:kern w:val="0"/>
                <w:sz w:val="22"/>
                <w:szCs w:val="22"/>
                <w:highlight w:val="none"/>
              </w:rPr>
            </w:pPr>
            <w:r>
              <w:rPr>
                <w:rFonts w:hint="eastAsia" w:ascii="新宋体" w:hAnsi="新宋体" w:eastAsia="新宋体" w:cs="新宋体"/>
                <w:bCs/>
                <w:color w:val="auto"/>
                <w:kern w:val="0"/>
                <w:sz w:val="22"/>
                <w:szCs w:val="22"/>
                <w:highlight w:val="none"/>
                <w:lang w:val="en-US" w:eastAsia="zh-CN"/>
              </w:rPr>
              <w:t>项目服务期</w:t>
            </w:r>
          </w:p>
        </w:tc>
        <w:tc>
          <w:tcPr>
            <w:tcW w:w="7310" w:type="dxa"/>
            <w:tcBorders>
              <w:top w:val="single" w:color="auto" w:sz="4" w:space="0"/>
              <w:left w:val="single" w:color="auto" w:sz="4" w:space="0"/>
              <w:bottom w:val="single" w:color="auto" w:sz="4" w:space="0"/>
              <w:right w:val="single" w:color="auto" w:sz="4" w:space="0"/>
            </w:tcBorders>
            <w:vAlign w:val="center"/>
          </w:tcPr>
          <w:p w14:paraId="395D8A78">
            <w:pPr>
              <w:spacing w:line="312" w:lineRule="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详</w:t>
            </w:r>
            <w:r>
              <w:rPr>
                <w:rFonts w:hint="eastAsia" w:ascii="新宋体" w:hAnsi="新宋体" w:eastAsia="新宋体" w:cs="新宋体"/>
                <w:color w:val="auto"/>
                <w:kern w:val="0"/>
                <w:sz w:val="22"/>
                <w:szCs w:val="22"/>
                <w:highlight w:val="none"/>
              </w:rPr>
              <w:t>见采购文件第四部分。</w:t>
            </w:r>
          </w:p>
        </w:tc>
      </w:tr>
      <w:tr w14:paraId="5F164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22FF9A11">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w:t>
            </w:r>
          </w:p>
        </w:tc>
        <w:tc>
          <w:tcPr>
            <w:tcW w:w="1750" w:type="dxa"/>
            <w:tcBorders>
              <w:top w:val="single" w:color="auto" w:sz="4" w:space="0"/>
              <w:left w:val="single" w:color="auto" w:sz="4" w:space="0"/>
              <w:bottom w:val="single" w:color="auto" w:sz="4" w:space="0"/>
              <w:right w:val="single" w:color="auto" w:sz="4" w:space="0"/>
            </w:tcBorders>
            <w:vAlign w:val="center"/>
          </w:tcPr>
          <w:p w14:paraId="3D755983">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偏差情况</w:t>
            </w:r>
          </w:p>
        </w:tc>
        <w:tc>
          <w:tcPr>
            <w:tcW w:w="7310" w:type="dxa"/>
            <w:tcBorders>
              <w:top w:val="single" w:color="auto" w:sz="4" w:space="0"/>
              <w:left w:val="single" w:color="auto" w:sz="4" w:space="0"/>
              <w:bottom w:val="single" w:color="auto" w:sz="4" w:space="0"/>
              <w:right w:val="single" w:color="auto" w:sz="4" w:space="0"/>
            </w:tcBorders>
            <w:vAlign w:val="center"/>
          </w:tcPr>
          <w:p w14:paraId="279C4BCF">
            <w:pPr>
              <w:spacing w:line="3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偏差允许幅度及其处理方法：允许细微偏差，不允许重大偏差。由评标委员会判断，细微偏差要求投标供应商在评标结束前予以澄清、说明或补正，不按要求进行的，评标委员会有权做无效标处理，详见投标供应商须知“22.投标文件的澄清。”</w:t>
            </w:r>
          </w:p>
        </w:tc>
      </w:tr>
      <w:tr w14:paraId="2FF0E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326548F3">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w:t>
            </w:r>
          </w:p>
        </w:tc>
        <w:tc>
          <w:tcPr>
            <w:tcW w:w="1750" w:type="dxa"/>
            <w:tcBorders>
              <w:top w:val="single" w:color="auto" w:sz="4" w:space="0"/>
              <w:left w:val="single" w:color="auto" w:sz="4" w:space="0"/>
              <w:bottom w:val="single" w:color="auto" w:sz="4" w:space="0"/>
              <w:right w:val="single" w:color="auto" w:sz="4" w:space="0"/>
            </w:tcBorders>
            <w:vAlign w:val="center"/>
          </w:tcPr>
          <w:p w14:paraId="796DB424">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资金落实情况</w:t>
            </w:r>
          </w:p>
        </w:tc>
        <w:tc>
          <w:tcPr>
            <w:tcW w:w="7310" w:type="dxa"/>
            <w:tcBorders>
              <w:top w:val="single" w:color="auto" w:sz="4" w:space="0"/>
              <w:left w:val="single" w:color="auto" w:sz="4" w:space="0"/>
              <w:bottom w:val="single" w:color="auto" w:sz="4" w:space="0"/>
              <w:right w:val="single" w:color="auto" w:sz="4" w:space="0"/>
            </w:tcBorders>
            <w:vAlign w:val="center"/>
          </w:tcPr>
          <w:p w14:paraId="02AE1603">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已落实</w:t>
            </w:r>
          </w:p>
        </w:tc>
      </w:tr>
      <w:tr w14:paraId="65773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3F31F26B">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w:t>
            </w:r>
          </w:p>
        </w:tc>
        <w:tc>
          <w:tcPr>
            <w:tcW w:w="1750" w:type="dxa"/>
            <w:tcBorders>
              <w:top w:val="single" w:color="auto" w:sz="4" w:space="0"/>
              <w:left w:val="single" w:color="auto" w:sz="4" w:space="0"/>
              <w:bottom w:val="single" w:color="auto" w:sz="4" w:space="0"/>
              <w:right w:val="single" w:color="auto" w:sz="4" w:space="0"/>
            </w:tcBorders>
            <w:vAlign w:val="center"/>
          </w:tcPr>
          <w:p w14:paraId="5EEE5181">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采购内容</w:t>
            </w:r>
          </w:p>
        </w:tc>
        <w:tc>
          <w:tcPr>
            <w:tcW w:w="7310" w:type="dxa"/>
            <w:tcBorders>
              <w:top w:val="single" w:color="auto" w:sz="4" w:space="0"/>
              <w:left w:val="single" w:color="auto" w:sz="4" w:space="0"/>
              <w:bottom w:val="single" w:color="auto" w:sz="4" w:space="0"/>
              <w:right w:val="single" w:color="auto" w:sz="4" w:space="0"/>
            </w:tcBorders>
            <w:vAlign w:val="center"/>
          </w:tcPr>
          <w:p w14:paraId="0C2CC397">
            <w:pPr>
              <w:pStyle w:val="29"/>
              <w:ind w:firstLine="0" w:firstLineChars="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详见</w:t>
            </w:r>
            <w:r>
              <w:rPr>
                <w:rFonts w:hint="eastAsia" w:ascii="新宋体" w:hAnsi="新宋体" w:eastAsia="新宋体" w:cs="新宋体"/>
                <w:color w:val="auto"/>
                <w:sz w:val="22"/>
                <w:szCs w:val="22"/>
                <w:highlight w:val="none"/>
                <w:lang w:val="en-US" w:eastAsia="zh-CN"/>
              </w:rPr>
              <w:t>采购文件</w:t>
            </w:r>
            <w:r>
              <w:rPr>
                <w:rFonts w:hint="eastAsia" w:ascii="新宋体" w:hAnsi="新宋体" w:eastAsia="新宋体" w:cs="新宋体"/>
                <w:color w:val="auto"/>
                <w:sz w:val="22"/>
                <w:szCs w:val="22"/>
                <w:highlight w:val="none"/>
              </w:rPr>
              <w:t>第四部分“</w:t>
            </w:r>
            <w:r>
              <w:rPr>
                <w:rFonts w:hint="eastAsia" w:ascii="新宋体" w:hAnsi="新宋体" w:eastAsia="新宋体" w:cs="新宋体"/>
                <w:color w:val="auto"/>
                <w:sz w:val="22"/>
                <w:szCs w:val="22"/>
                <w:highlight w:val="none"/>
                <w:lang w:eastAsia="zh-CN"/>
              </w:rPr>
              <w:t>采购内容及要求</w:t>
            </w:r>
            <w:r>
              <w:rPr>
                <w:rFonts w:hint="eastAsia" w:ascii="新宋体" w:hAnsi="新宋体" w:eastAsia="新宋体" w:cs="新宋体"/>
                <w:color w:val="auto"/>
                <w:sz w:val="22"/>
                <w:szCs w:val="22"/>
                <w:highlight w:val="none"/>
              </w:rPr>
              <w:t>”。</w:t>
            </w:r>
          </w:p>
        </w:tc>
      </w:tr>
      <w:tr w14:paraId="00DD24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758681EA">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8</w:t>
            </w:r>
          </w:p>
        </w:tc>
        <w:tc>
          <w:tcPr>
            <w:tcW w:w="1750" w:type="dxa"/>
            <w:tcBorders>
              <w:top w:val="single" w:color="auto" w:sz="4" w:space="0"/>
              <w:left w:val="single" w:color="auto" w:sz="4" w:space="0"/>
              <w:bottom w:val="single" w:color="auto" w:sz="4" w:space="0"/>
              <w:right w:val="single" w:color="auto" w:sz="4" w:space="0"/>
            </w:tcBorders>
            <w:vAlign w:val="center"/>
          </w:tcPr>
          <w:p w14:paraId="231AA596">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相关公告发布媒介</w:t>
            </w:r>
          </w:p>
        </w:tc>
        <w:tc>
          <w:tcPr>
            <w:tcW w:w="7310" w:type="dxa"/>
            <w:tcBorders>
              <w:top w:val="single" w:color="auto" w:sz="4" w:space="0"/>
              <w:left w:val="single" w:color="auto" w:sz="4" w:space="0"/>
              <w:bottom w:val="single" w:color="auto" w:sz="4" w:space="0"/>
              <w:right w:val="single" w:color="auto" w:sz="4" w:space="0"/>
            </w:tcBorders>
            <w:vAlign w:val="center"/>
          </w:tcPr>
          <w:p w14:paraId="6FA7DF46">
            <w:pPr>
              <w:spacing w:line="3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采购人集团网站</w:t>
            </w:r>
            <w:r>
              <w:rPr>
                <w:rFonts w:hint="eastAsia" w:ascii="新宋体" w:hAnsi="新宋体" w:eastAsia="新宋体" w:cs="新宋体"/>
                <w:color w:val="auto"/>
                <w:sz w:val="22"/>
                <w:szCs w:val="22"/>
                <w:highlight w:val="none"/>
              </w:rPr>
              <w:t>、温州国</w:t>
            </w:r>
            <w:r>
              <w:rPr>
                <w:rFonts w:hint="eastAsia" w:ascii="新宋体" w:hAnsi="新宋体" w:eastAsia="新宋体" w:cs="新宋体"/>
                <w:color w:val="auto"/>
                <w:sz w:val="22"/>
                <w:szCs w:val="22"/>
                <w:highlight w:val="none"/>
                <w:lang w:val="en-US" w:eastAsia="zh-CN"/>
              </w:rPr>
              <w:t>企采购</w:t>
            </w:r>
            <w:r>
              <w:rPr>
                <w:rFonts w:hint="eastAsia" w:ascii="新宋体" w:hAnsi="新宋体" w:eastAsia="新宋体" w:cs="新宋体"/>
                <w:color w:val="auto"/>
                <w:sz w:val="22"/>
                <w:szCs w:val="22"/>
                <w:highlight w:val="none"/>
              </w:rPr>
              <w:t>平台及浙江政府采购网。</w:t>
            </w:r>
          </w:p>
        </w:tc>
      </w:tr>
      <w:tr w14:paraId="53D93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70DE9B86">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9</w:t>
            </w:r>
          </w:p>
        </w:tc>
        <w:tc>
          <w:tcPr>
            <w:tcW w:w="1750" w:type="dxa"/>
            <w:tcBorders>
              <w:top w:val="single" w:color="auto" w:sz="4" w:space="0"/>
              <w:left w:val="single" w:color="auto" w:sz="4" w:space="0"/>
              <w:bottom w:val="single" w:color="auto" w:sz="4" w:space="0"/>
              <w:right w:val="single" w:color="auto" w:sz="4" w:space="0"/>
            </w:tcBorders>
            <w:vAlign w:val="center"/>
          </w:tcPr>
          <w:p w14:paraId="595ADD5A">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投标供应商资格要求</w:t>
            </w:r>
          </w:p>
        </w:tc>
        <w:tc>
          <w:tcPr>
            <w:tcW w:w="7310" w:type="dxa"/>
            <w:tcBorders>
              <w:top w:val="single" w:color="auto" w:sz="4" w:space="0"/>
              <w:left w:val="single" w:color="auto" w:sz="4" w:space="0"/>
              <w:bottom w:val="single" w:color="auto" w:sz="4" w:space="0"/>
              <w:right w:val="single" w:color="auto" w:sz="4" w:space="0"/>
            </w:tcBorders>
            <w:vAlign w:val="center"/>
          </w:tcPr>
          <w:p w14:paraId="73C1935F">
            <w:pPr>
              <w:widowControl/>
              <w:spacing w:line="400" w:lineRule="exact"/>
              <w:jc w:val="left"/>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z w:val="22"/>
                <w:szCs w:val="22"/>
                <w:highlight w:val="none"/>
              </w:rPr>
              <w:t>详见采购公告规定</w:t>
            </w:r>
          </w:p>
        </w:tc>
      </w:tr>
      <w:tr w14:paraId="53EEA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34863062">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10</w:t>
            </w:r>
          </w:p>
        </w:tc>
        <w:tc>
          <w:tcPr>
            <w:tcW w:w="1750" w:type="dxa"/>
            <w:tcBorders>
              <w:top w:val="single" w:color="auto" w:sz="4" w:space="0"/>
              <w:left w:val="single" w:color="auto" w:sz="4" w:space="0"/>
              <w:bottom w:val="single" w:color="auto" w:sz="4" w:space="0"/>
              <w:right w:val="single" w:color="auto" w:sz="4" w:space="0"/>
            </w:tcBorders>
            <w:vAlign w:val="center"/>
          </w:tcPr>
          <w:p w14:paraId="52523F08">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是否接受联合体投标</w:t>
            </w:r>
          </w:p>
        </w:tc>
        <w:tc>
          <w:tcPr>
            <w:tcW w:w="7310" w:type="dxa"/>
            <w:tcBorders>
              <w:top w:val="single" w:color="auto" w:sz="4" w:space="0"/>
              <w:left w:val="single" w:color="auto" w:sz="4" w:space="0"/>
              <w:bottom w:val="single" w:color="auto" w:sz="4" w:space="0"/>
              <w:right w:val="single" w:color="auto" w:sz="4" w:space="0"/>
            </w:tcBorders>
            <w:vAlign w:val="center"/>
          </w:tcPr>
          <w:p w14:paraId="3C7B10EF">
            <w:pPr>
              <w:spacing w:line="3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详见采购公告规定</w:t>
            </w:r>
          </w:p>
        </w:tc>
      </w:tr>
      <w:tr w14:paraId="299DB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230A5EED">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11</w:t>
            </w:r>
          </w:p>
        </w:tc>
        <w:tc>
          <w:tcPr>
            <w:tcW w:w="1750" w:type="dxa"/>
            <w:tcBorders>
              <w:top w:val="single" w:color="auto" w:sz="4" w:space="0"/>
              <w:left w:val="single" w:color="auto" w:sz="4" w:space="0"/>
              <w:bottom w:val="single" w:color="auto" w:sz="4" w:space="0"/>
              <w:right w:val="single" w:color="auto" w:sz="4" w:space="0"/>
            </w:tcBorders>
            <w:vAlign w:val="center"/>
          </w:tcPr>
          <w:p w14:paraId="2E5C3DD4">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踏勘现场</w:t>
            </w:r>
          </w:p>
        </w:tc>
        <w:tc>
          <w:tcPr>
            <w:tcW w:w="7310" w:type="dxa"/>
            <w:tcBorders>
              <w:top w:val="single" w:color="auto" w:sz="4" w:space="0"/>
              <w:left w:val="single" w:color="auto" w:sz="4" w:space="0"/>
              <w:bottom w:val="single" w:color="auto" w:sz="4" w:space="0"/>
              <w:right w:val="single" w:color="auto" w:sz="4" w:space="0"/>
            </w:tcBorders>
            <w:vAlign w:val="center"/>
          </w:tcPr>
          <w:p w14:paraId="2C4FCEAB">
            <w:pPr>
              <w:adjustRightInd w:val="0"/>
              <w:spacing w:line="360" w:lineRule="exact"/>
              <w:textAlignment w:val="baseline"/>
              <w:rPr>
                <w:rFonts w:hint="eastAsia" w:ascii="新宋体" w:hAnsi="新宋体" w:eastAsia="新宋体" w:cs="新宋体"/>
                <w:color w:val="auto"/>
                <w:kern w:val="0"/>
                <w:sz w:val="22"/>
                <w:szCs w:val="22"/>
                <w:highlight w:val="none"/>
              </w:rPr>
            </w:pPr>
            <w:r>
              <w:rPr>
                <w:rFonts w:hint="eastAsia" w:ascii="新宋体" w:hAnsi="新宋体" w:eastAsia="新宋体" w:cs="新宋体"/>
                <w:b/>
                <w:snapToGrid w:val="0"/>
                <w:color w:val="auto"/>
                <w:sz w:val="22"/>
                <w:szCs w:val="22"/>
                <w:highlight w:val="none"/>
              </w:rPr>
              <w:sym w:font="Wingdings" w:char="F0FE"/>
            </w:r>
            <w:r>
              <w:rPr>
                <w:rFonts w:hint="eastAsia" w:ascii="新宋体" w:hAnsi="新宋体" w:eastAsia="新宋体" w:cs="新宋体"/>
                <w:color w:val="auto"/>
                <w:kern w:val="0"/>
                <w:sz w:val="22"/>
                <w:szCs w:val="22"/>
                <w:highlight w:val="none"/>
              </w:rPr>
              <w:t xml:space="preserve">不组织  </w:t>
            </w:r>
          </w:p>
        </w:tc>
      </w:tr>
      <w:tr w14:paraId="07498D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3E3C7553">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12</w:t>
            </w:r>
          </w:p>
        </w:tc>
        <w:tc>
          <w:tcPr>
            <w:tcW w:w="1750" w:type="dxa"/>
            <w:tcBorders>
              <w:top w:val="single" w:color="auto" w:sz="4" w:space="0"/>
              <w:left w:val="single" w:color="auto" w:sz="4" w:space="0"/>
              <w:bottom w:val="single" w:color="auto" w:sz="4" w:space="0"/>
              <w:right w:val="single" w:color="auto" w:sz="4" w:space="0"/>
            </w:tcBorders>
            <w:vAlign w:val="center"/>
          </w:tcPr>
          <w:p w14:paraId="4E33B775">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投标预备会</w:t>
            </w:r>
          </w:p>
        </w:tc>
        <w:tc>
          <w:tcPr>
            <w:tcW w:w="7310" w:type="dxa"/>
            <w:tcBorders>
              <w:top w:val="single" w:color="auto" w:sz="4" w:space="0"/>
              <w:left w:val="single" w:color="auto" w:sz="4" w:space="0"/>
              <w:bottom w:val="single" w:color="auto" w:sz="4" w:space="0"/>
              <w:right w:val="single" w:color="auto" w:sz="4" w:space="0"/>
            </w:tcBorders>
            <w:vAlign w:val="center"/>
          </w:tcPr>
          <w:p w14:paraId="3CFFA215">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b/>
                <w:snapToGrid w:val="0"/>
                <w:color w:val="auto"/>
                <w:sz w:val="22"/>
                <w:szCs w:val="22"/>
                <w:highlight w:val="none"/>
              </w:rPr>
              <w:sym w:font="Wingdings" w:char="F0FE"/>
            </w:r>
            <w:r>
              <w:rPr>
                <w:rFonts w:hint="eastAsia" w:ascii="新宋体" w:hAnsi="新宋体" w:eastAsia="新宋体" w:cs="新宋体"/>
                <w:color w:val="auto"/>
                <w:kern w:val="0"/>
                <w:sz w:val="22"/>
                <w:szCs w:val="22"/>
                <w:highlight w:val="none"/>
              </w:rPr>
              <w:t xml:space="preserve">不召开   </w:t>
            </w:r>
          </w:p>
        </w:tc>
      </w:tr>
      <w:tr w14:paraId="1ACF4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2284B2A9">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w:t>
            </w:r>
          </w:p>
        </w:tc>
        <w:tc>
          <w:tcPr>
            <w:tcW w:w="1750" w:type="dxa"/>
            <w:tcBorders>
              <w:top w:val="single" w:color="auto" w:sz="4" w:space="0"/>
              <w:left w:val="single" w:color="auto" w:sz="4" w:space="0"/>
              <w:bottom w:val="single" w:color="auto" w:sz="4" w:space="0"/>
              <w:right w:val="single" w:color="auto" w:sz="4" w:space="0"/>
            </w:tcBorders>
            <w:vAlign w:val="center"/>
          </w:tcPr>
          <w:p w14:paraId="71967151">
            <w:pPr>
              <w:spacing w:line="312"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分包</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lang w:val="en-US" w:eastAsia="zh-CN"/>
              </w:rPr>
              <w:t>转包</w:t>
            </w:r>
          </w:p>
        </w:tc>
        <w:tc>
          <w:tcPr>
            <w:tcW w:w="7310" w:type="dxa"/>
            <w:tcBorders>
              <w:top w:val="single" w:color="auto" w:sz="4" w:space="0"/>
              <w:left w:val="single" w:color="auto" w:sz="4" w:space="0"/>
              <w:bottom w:val="single" w:color="auto" w:sz="4" w:space="0"/>
              <w:right w:val="single" w:color="auto" w:sz="4" w:space="0"/>
            </w:tcBorders>
            <w:vAlign w:val="center"/>
          </w:tcPr>
          <w:p w14:paraId="3C52E6FA">
            <w:pPr>
              <w:spacing w:line="312" w:lineRule="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□允许</w:t>
            </w:r>
          </w:p>
          <w:p w14:paraId="0BB7B84C">
            <w:pPr>
              <w:spacing w:line="312" w:lineRule="auto"/>
              <w:rPr>
                <w:rFonts w:hint="eastAsia" w:ascii="新宋体" w:hAnsi="新宋体" w:eastAsia="新宋体" w:cs="新宋体"/>
                <w:color w:val="auto"/>
                <w:sz w:val="22"/>
                <w:szCs w:val="22"/>
                <w:highlight w:val="none"/>
              </w:rPr>
            </w:pPr>
            <w:r>
              <w:rPr>
                <w:rFonts w:hint="eastAsia" w:ascii="新宋体" w:hAnsi="新宋体" w:eastAsia="新宋体" w:cs="新宋体"/>
                <w:snapToGrid w:val="0"/>
                <w:color w:val="auto"/>
                <w:sz w:val="22"/>
                <w:szCs w:val="22"/>
                <w:highlight w:val="none"/>
              </w:rPr>
              <w:sym w:font="Wingdings" w:char="F0FE"/>
            </w:r>
            <w:r>
              <w:rPr>
                <w:rFonts w:hint="eastAsia" w:ascii="新宋体" w:hAnsi="新宋体" w:eastAsia="新宋体" w:cs="新宋体"/>
                <w:color w:val="auto"/>
                <w:kern w:val="0"/>
                <w:sz w:val="22"/>
                <w:szCs w:val="22"/>
                <w:highlight w:val="none"/>
              </w:rPr>
              <w:t>不允许</w:t>
            </w:r>
          </w:p>
        </w:tc>
      </w:tr>
      <w:tr w14:paraId="2DD13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08D17B03">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14</w:t>
            </w:r>
          </w:p>
        </w:tc>
        <w:tc>
          <w:tcPr>
            <w:tcW w:w="1750" w:type="dxa"/>
            <w:tcBorders>
              <w:top w:val="single" w:color="auto" w:sz="4" w:space="0"/>
              <w:left w:val="single" w:color="auto" w:sz="4" w:space="0"/>
              <w:bottom w:val="single" w:color="auto" w:sz="4" w:space="0"/>
              <w:right w:val="single" w:color="auto" w:sz="4" w:space="0"/>
            </w:tcBorders>
            <w:vAlign w:val="center"/>
          </w:tcPr>
          <w:p w14:paraId="75F0A635">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投标有效期</w:t>
            </w:r>
          </w:p>
        </w:tc>
        <w:tc>
          <w:tcPr>
            <w:tcW w:w="7310" w:type="dxa"/>
            <w:tcBorders>
              <w:top w:val="single" w:color="auto" w:sz="4" w:space="0"/>
              <w:left w:val="single" w:color="auto" w:sz="4" w:space="0"/>
              <w:bottom w:val="single" w:color="auto" w:sz="4" w:space="0"/>
              <w:right w:val="single" w:color="auto" w:sz="4" w:space="0"/>
            </w:tcBorders>
            <w:vAlign w:val="center"/>
          </w:tcPr>
          <w:p w14:paraId="2A2732E3">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投标文件自投标截止时间起生效，有效期</w:t>
            </w:r>
            <w:r>
              <w:rPr>
                <w:rFonts w:hint="eastAsia" w:ascii="新宋体" w:hAnsi="新宋体" w:eastAsia="新宋体" w:cs="新宋体"/>
                <w:color w:val="auto"/>
                <w:kern w:val="0"/>
                <w:sz w:val="22"/>
                <w:szCs w:val="22"/>
                <w:highlight w:val="none"/>
                <w:lang w:eastAsia="zh-CN"/>
              </w:rPr>
              <w:t>90天</w:t>
            </w:r>
            <w:r>
              <w:rPr>
                <w:rFonts w:hint="eastAsia" w:ascii="新宋体" w:hAnsi="新宋体" w:eastAsia="新宋体" w:cs="新宋体"/>
                <w:b/>
                <w:bCs/>
                <w:color w:val="auto"/>
                <w:kern w:val="0"/>
                <w:sz w:val="22"/>
                <w:szCs w:val="22"/>
                <w:highlight w:val="none"/>
              </w:rPr>
              <w:t>。</w:t>
            </w:r>
          </w:p>
        </w:tc>
      </w:tr>
      <w:tr w14:paraId="02315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228E0035">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15</w:t>
            </w:r>
          </w:p>
        </w:tc>
        <w:tc>
          <w:tcPr>
            <w:tcW w:w="1750" w:type="dxa"/>
            <w:tcBorders>
              <w:top w:val="single" w:color="auto" w:sz="4" w:space="0"/>
              <w:left w:val="single" w:color="auto" w:sz="4" w:space="0"/>
              <w:bottom w:val="single" w:color="auto" w:sz="4" w:space="0"/>
              <w:right w:val="single" w:color="auto" w:sz="4" w:space="0"/>
            </w:tcBorders>
            <w:vAlign w:val="center"/>
          </w:tcPr>
          <w:p w14:paraId="10675273">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投标保证金</w:t>
            </w:r>
          </w:p>
        </w:tc>
        <w:tc>
          <w:tcPr>
            <w:tcW w:w="7310" w:type="dxa"/>
            <w:tcBorders>
              <w:top w:val="single" w:color="auto" w:sz="4" w:space="0"/>
              <w:left w:val="single" w:color="auto" w:sz="4" w:space="0"/>
              <w:bottom w:val="single" w:color="auto" w:sz="4" w:space="0"/>
              <w:right w:val="single" w:color="auto" w:sz="4" w:space="0"/>
            </w:tcBorders>
            <w:vAlign w:val="center"/>
          </w:tcPr>
          <w:p w14:paraId="4DFC8B23">
            <w:pPr>
              <w:spacing w:line="300" w:lineRule="exac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详见采购公告</w:t>
            </w:r>
            <w:r>
              <w:rPr>
                <w:rFonts w:hint="eastAsia" w:ascii="新宋体" w:hAnsi="新宋体" w:eastAsia="新宋体" w:cs="新宋体"/>
                <w:color w:val="auto"/>
                <w:sz w:val="22"/>
                <w:szCs w:val="22"/>
                <w:highlight w:val="none"/>
                <w:lang w:eastAsia="zh-CN"/>
              </w:rPr>
              <w:t>。</w:t>
            </w:r>
          </w:p>
        </w:tc>
      </w:tr>
      <w:tr w14:paraId="29A31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top"/>
          </w:tcPr>
          <w:p w14:paraId="52B4F832">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16</w:t>
            </w:r>
          </w:p>
        </w:tc>
        <w:tc>
          <w:tcPr>
            <w:tcW w:w="1750" w:type="dxa"/>
            <w:tcBorders>
              <w:top w:val="single" w:color="auto" w:sz="4" w:space="0"/>
              <w:left w:val="single" w:color="auto" w:sz="4" w:space="0"/>
              <w:bottom w:val="single" w:color="auto" w:sz="4" w:space="0"/>
              <w:right w:val="single" w:color="auto" w:sz="4" w:space="0"/>
            </w:tcBorders>
            <w:vAlign w:val="top"/>
          </w:tcPr>
          <w:p w14:paraId="7F02559A">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投标文件组成</w:t>
            </w:r>
          </w:p>
        </w:tc>
        <w:tc>
          <w:tcPr>
            <w:tcW w:w="7310" w:type="dxa"/>
            <w:tcBorders>
              <w:top w:val="single" w:color="auto" w:sz="4" w:space="0"/>
              <w:left w:val="single" w:color="auto" w:sz="4" w:space="0"/>
              <w:bottom w:val="single" w:color="auto" w:sz="4" w:space="0"/>
              <w:right w:val="single" w:color="auto" w:sz="4" w:space="0"/>
            </w:tcBorders>
            <w:vAlign w:val="top"/>
          </w:tcPr>
          <w:p w14:paraId="59849079">
            <w:pPr>
              <w:spacing w:line="3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完整的投标文件由“资格文件”、“报价文件”和“商务技术文件”三个部分组成。</w:t>
            </w:r>
          </w:p>
        </w:tc>
      </w:tr>
      <w:tr w14:paraId="564BF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top"/>
          </w:tcPr>
          <w:p w14:paraId="2909DA30">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17</w:t>
            </w:r>
          </w:p>
        </w:tc>
        <w:tc>
          <w:tcPr>
            <w:tcW w:w="1750" w:type="dxa"/>
            <w:tcBorders>
              <w:top w:val="single" w:color="auto" w:sz="4" w:space="0"/>
              <w:left w:val="single" w:color="auto" w:sz="4" w:space="0"/>
              <w:bottom w:val="single" w:color="auto" w:sz="4" w:space="0"/>
              <w:right w:val="single" w:color="auto" w:sz="4" w:space="0"/>
            </w:tcBorders>
            <w:vAlign w:val="top"/>
          </w:tcPr>
          <w:p w14:paraId="004F8ADD">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投标文件的编制</w:t>
            </w:r>
          </w:p>
        </w:tc>
        <w:tc>
          <w:tcPr>
            <w:tcW w:w="7310" w:type="dxa"/>
            <w:tcBorders>
              <w:top w:val="single" w:color="auto" w:sz="4" w:space="0"/>
              <w:left w:val="single" w:color="auto" w:sz="4" w:space="0"/>
              <w:bottom w:val="single" w:color="auto" w:sz="4" w:space="0"/>
              <w:right w:val="single" w:color="auto" w:sz="4" w:space="0"/>
            </w:tcBorders>
            <w:vAlign w:val="top"/>
          </w:tcPr>
          <w:p w14:paraId="25A2EEB4">
            <w:pPr>
              <w:spacing w:line="3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供应商应先安装“</w:t>
            </w:r>
            <w:r>
              <w:rPr>
                <w:rFonts w:hint="eastAsia" w:ascii="新宋体" w:hAnsi="新宋体" w:eastAsia="新宋体" w:cs="新宋体"/>
                <w:color w:val="auto"/>
                <w:sz w:val="22"/>
                <w:szCs w:val="22"/>
                <w:highlight w:val="none"/>
                <w:lang w:eastAsia="zh-CN"/>
              </w:rPr>
              <w:t>乐采云</w:t>
            </w:r>
            <w:r>
              <w:rPr>
                <w:rFonts w:hint="eastAsia" w:ascii="新宋体" w:hAnsi="新宋体" w:eastAsia="新宋体" w:cs="新宋体"/>
                <w:color w:val="auto"/>
                <w:sz w:val="22"/>
                <w:szCs w:val="22"/>
                <w:highlight w:val="none"/>
              </w:rPr>
              <w:t>电子交易客户端”，并按照本采购文件和“</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”的要求，通过“</w:t>
            </w:r>
            <w:r>
              <w:rPr>
                <w:rFonts w:hint="eastAsia" w:ascii="新宋体" w:hAnsi="新宋体" w:eastAsia="新宋体" w:cs="新宋体"/>
                <w:color w:val="auto"/>
                <w:sz w:val="22"/>
                <w:szCs w:val="22"/>
                <w:highlight w:val="none"/>
                <w:lang w:eastAsia="zh-CN"/>
              </w:rPr>
              <w:t>乐采云</w:t>
            </w:r>
            <w:r>
              <w:rPr>
                <w:rFonts w:hint="eastAsia" w:ascii="新宋体" w:hAnsi="新宋体" w:eastAsia="新宋体" w:cs="新宋体"/>
                <w:color w:val="auto"/>
                <w:sz w:val="22"/>
                <w:szCs w:val="22"/>
                <w:highlight w:val="none"/>
              </w:rPr>
              <w:t>电子交易客户端”编制并加密投标文件。</w:t>
            </w:r>
          </w:p>
        </w:tc>
      </w:tr>
      <w:tr w14:paraId="7588C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top"/>
          </w:tcPr>
          <w:p w14:paraId="26C945CB">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18</w:t>
            </w:r>
          </w:p>
        </w:tc>
        <w:tc>
          <w:tcPr>
            <w:tcW w:w="1750" w:type="dxa"/>
            <w:tcBorders>
              <w:top w:val="single" w:color="auto" w:sz="4" w:space="0"/>
              <w:left w:val="single" w:color="auto" w:sz="4" w:space="0"/>
              <w:bottom w:val="single" w:color="auto" w:sz="4" w:space="0"/>
              <w:right w:val="single" w:color="auto" w:sz="4" w:space="0"/>
            </w:tcBorders>
            <w:vAlign w:val="top"/>
          </w:tcPr>
          <w:p w14:paraId="3417718A">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投标文件的签章</w:t>
            </w:r>
          </w:p>
        </w:tc>
        <w:tc>
          <w:tcPr>
            <w:tcW w:w="7310" w:type="dxa"/>
            <w:tcBorders>
              <w:top w:val="single" w:color="auto" w:sz="4" w:space="0"/>
              <w:left w:val="single" w:color="auto" w:sz="4" w:space="0"/>
              <w:bottom w:val="single" w:color="auto" w:sz="4" w:space="0"/>
              <w:right w:val="single" w:color="auto" w:sz="4" w:space="0"/>
            </w:tcBorders>
            <w:vAlign w:val="top"/>
          </w:tcPr>
          <w:p w14:paraId="2EF5E4B0">
            <w:pPr>
              <w:spacing w:line="3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电子公章或实体公章；电子签名或实体签名（盖章）均可，下同。</w:t>
            </w:r>
          </w:p>
          <w:p w14:paraId="53197D61">
            <w:pPr>
              <w:spacing w:line="3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注：</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另有规定的，从其规定。</w:t>
            </w:r>
          </w:p>
        </w:tc>
      </w:tr>
      <w:tr w14:paraId="4C995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top"/>
          </w:tcPr>
          <w:p w14:paraId="207D5D64">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19</w:t>
            </w:r>
          </w:p>
        </w:tc>
        <w:tc>
          <w:tcPr>
            <w:tcW w:w="1750" w:type="dxa"/>
            <w:tcBorders>
              <w:top w:val="single" w:color="auto" w:sz="4" w:space="0"/>
              <w:left w:val="single" w:color="auto" w:sz="4" w:space="0"/>
              <w:bottom w:val="single" w:color="auto" w:sz="4" w:space="0"/>
              <w:right w:val="single" w:color="auto" w:sz="4" w:space="0"/>
            </w:tcBorders>
            <w:vAlign w:val="top"/>
          </w:tcPr>
          <w:p w14:paraId="2043A8F2">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投标文件的形式</w:t>
            </w:r>
          </w:p>
        </w:tc>
        <w:tc>
          <w:tcPr>
            <w:tcW w:w="7310" w:type="dxa"/>
            <w:tcBorders>
              <w:top w:val="single" w:color="auto" w:sz="4" w:space="0"/>
              <w:left w:val="single" w:color="auto" w:sz="4" w:space="0"/>
              <w:bottom w:val="single" w:color="auto" w:sz="4" w:space="0"/>
              <w:right w:val="single" w:color="auto" w:sz="4" w:space="0"/>
            </w:tcBorders>
            <w:vAlign w:val="top"/>
          </w:tcPr>
          <w:p w14:paraId="4C0F14B4">
            <w:pPr>
              <w:spacing w:line="300" w:lineRule="exact"/>
              <w:rPr>
                <w:rFonts w:hint="eastAsia" w:ascii="新宋体" w:hAnsi="新宋体" w:eastAsia="新宋体" w:cs="新宋体"/>
                <w:color w:val="auto"/>
                <w:sz w:val="22"/>
                <w:szCs w:val="22"/>
                <w:highlight w:val="none"/>
              </w:rPr>
            </w:pPr>
            <w:r>
              <w:rPr>
                <w:rFonts w:hint="eastAsia" w:ascii="新宋体" w:hAnsi="新宋体" w:eastAsia="新宋体" w:cs="新宋体"/>
                <w:b/>
                <w:snapToGrid w:val="0"/>
                <w:color w:val="auto"/>
                <w:sz w:val="22"/>
                <w:szCs w:val="22"/>
                <w:highlight w:val="none"/>
              </w:rPr>
              <w:sym w:font="Wingdings" w:char="F0FE"/>
            </w:r>
            <w:r>
              <w:rPr>
                <w:rFonts w:hint="eastAsia" w:ascii="新宋体" w:hAnsi="新宋体" w:eastAsia="新宋体" w:cs="新宋体"/>
                <w:color w:val="auto"/>
                <w:sz w:val="22"/>
                <w:szCs w:val="22"/>
                <w:highlight w:val="none"/>
              </w:rPr>
              <w:t>电子投标文件（包括“电子加密投标文件”和“备份投标文件”，在投标文件编制完成后同时生成）；</w:t>
            </w:r>
          </w:p>
        </w:tc>
      </w:tr>
      <w:tr w14:paraId="191C3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28FA9143">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20</w:t>
            </w:r>
          </w:p>
        </w:tc>
        <w:tc>
          <w:tcPr>
            <w:tcW w:w="1750" w:type="dxa"/>
            <w:tcBorders>
              <w:top w:val="single" w:color="auto" w:sz="4" w:space="0"/>
              <w:left w:val="single" w:color="auto" w:sz="4" w:space="0"/>
              <w:bottom w:val="single" w:color="auto" w:sz="4" w:space="0"/>
              <w:right w:val="single" w:color="auto" w:sz="4" w:space="0"/>
            </w:tcBorders>
            <w:vAlign w:val="center"/>
          </w:tcPr>
          <w:p w14:paraId="0DADA5C2">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投标文件份数</w:t>
            </w:r>
          </w:p>
        </w:tc>
        <w:tc>
          <w:tcPr>
            <w:tcW w:w="7310" w:type="dxa"/>
            <w:tcBorders>
              <w:top w:val="single" w:color="auto" w:sz="4" w:space="0"/>
              <w:left w:val="single" w:color="auto" w:sz="4" w:space="0"/>
              <w:bottom w:val="single" w:color="auto" w:sz="4" w:space="0"/>
              <w:right w:val="single" w:color="auto" w:sz="4" w:space="0"/>
            </w:tcBorders>
            <w:vAlign w:val="center"/>
          </w:tcPr>
          <w:p w14:paraId="293AC4D1">
            <w:pPr>
              <w:pStyle w:val="29"/>
              <w:ind w:firstLine="0" w:firstLineChars="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（1）“电子加密投标文件”：在线上传递交、一份。（2）“备份投标文件”：密封包装后（可以顺丰或EMS邮寄形式，不接受到付）投标截止时间前递交、一份（邮寄地址：</w:t>
            </w:r>
            <w:r>
              <w:rPr>
                <w:rFonts w:hint="eastAsia" w:ascii="新宋体" w:hAnsi="新宋体" w:eastAsia="新宋体" w:cs="新宋体"/>
                <w:color w:val="auto"/>
                <w:sz w:val="22"/>
                <w:szCs w:val="22"/>
                <w:highlight w:val="none"/>
                <w:lang w:eastAsia="zh-CN"/>
              </w:rPr>
              <w:t>温州市鹿城区锦绣路19号宏嘉大厦2幢2005室</w:t>
            </w:r>
            <w:r>
              <w:rPr>
                <w:rFonts w:hint="eastAsia" w:ascii="新宋体" w:hAnsi="新宋体" w:eastAsia="新宋体" w:cs="新宋体"/>
                <w:color w:val="auto"/>
                <w:sz w:val="22"/>
                <w:szCs w:val="22"/>
                <w:highlight w:val="none"/>
              </w:rPr>
              <w:t>邵海勇收，联系电话：18967751006）</w:t>
            </w:r>
          </w:p>
        </w:tc>
      </w:tr>
      <w:tr w14:paraId="23624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03D8ADD1">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21</w:t>
            </w:r>
          </w:p>
        </w:tc>
        <w:tc>
          <w:tcPr>
            <w:tcW w:w="1750" w:type="dxa"/>
            <w:tcBorders>
              <w:top w:val="single" w:color="auto" w:sz="4" w:space="0"/>
              <w:left w:val="single" w:color="auto" w:sz="4" w:space="0"/>
              <w:bottom w:val="single" w:color="auto" w:sz="4" w:space="0"/>
              <w:right w:val="single" w:color="auto" w:sz="4" w:space="0"/>
            </w:tcBorders>
            <w:vAlign w:val="center"/>
          </w:tcPr>
          <w:p w14:paraId="3B9F5665">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b/>
                <w:bCs/>
                <w:color w:val="auto"/>
                <w:sz w:val="22"/>
                <w:szCs w:val="22"/>
                <w:highlight w:val="none"/>
              </w:rPr>
              <w:t>投标文件的上传、递交</w:t>
            </w:r>
          </w:p>
        </w:tc>
        <w:tc>
          <w:tcPr>
            <w:tcW w:w="7310" w:type="dxa"/>
            <w:tcBorders>
              <w:top w:val="single" w:color="auto" w:sz="4" w:space="0"/>
              <w:left w:val="single" w:color="auto" w:sz="4" w:space="0"/>
              <w:bottom w:val="single" w:color="auto" w:sz="4" w:space="0"/>
              <w:right w:val="single" w:color="auto" w:sz="4" w:space="0"/>
            </w:tcBorders>
            <w:vAlign w:val="center"/>
          </w:tcPr>
          <w:p w14:paraId="781D295D">
            <w:pPr>
              <w:spacing w:line="30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（1）“电子加密投标文件”的上传、递交：</w:t>
            </w:r>
          </w:p>
          <w:p w14:paraId="69C449D2">
            <w:pPr>
              <w:spacing w:line="30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a.投标供应商应在投标截止时间前将“电子加密投标文件”成功上传递交至“</w:t>
            </w:r>
            <w:r>
              <w:rPr>
                <w:rFonts w:hint="eastAsia" w:ascii="新宋体" w:hAnsi="新宋体" w:eastAsia="新宋体" w:cs="新宋体"/>
                <w:b/>
                <w:bCs/>
                <w:color w:val="auto"/>
                <w:sz w:val="22"/>
                <w:szCs w:val="22"/>
                <w:highlight w:val="none"/>
                <w:lang w:eastAsia="zh-CN"/>
              </w:rPr>
              <w:t>乐采云平台</w:t>
            </w:r>
            <w:r>
              <w:rPr>
                <w:rFonts w:hint="eastAsia" w:ascii="新宋体" w:hAnsi="新宋体" w:eastAsia="新宋体" w:cs="新宋体"/>
                <w:b/>
                <w:bCs/>
                <w:color w:val="auto"/>
                <w:sz w:val="22"/>
                <w:szCs w:val="22"/>
                <w:highlight w:val="none"/>
              </w:rPr>
              <w:t>”，否则投标无效。</w:t>
            </w:r>
          </w:p>
          <w:p w14:paraId="6E919C82">
            <w:pPr>
              <w:spacing w:line="30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b.“电子加密投标文件”成功上传递交后，供应商可自行打印投标文件接收回执。</w:t>
            </w:r>
          </w:p>
          <w:p w14:paraId="7054EBD0">
            <w:pPr>
              <w:spacing w:line="30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（2）“备份投标文件”的密封包装、递交：</w:t>
            </w:r>
          </w:p>
          <w:p w14:paraId="1CA58213">
            <w:pPr>
              <w:spacing w:line="30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a.投标供应商在“</w:t>
            </w:r>
            <w:r>
              <w:rPr>
                <w:rFonts w:hint="eastAsia" w:ascii="新宋体" w:hAnsi="新宋体" w:eastAsia="新宋体" w:cs="新宋体"/>
                <w:b/>
                <w:bCs/>
                <w:color w:val="auto"/>
                <w:sz w:val="22"/>
                <w:szCs w:val="22"/>
                <w:highlight w:val="none"/>
                <w:lang w:eastAsia="zh-CN"/>
              </w:rPr>
              <w:t>乐采云平台</w:t>
            </w:r>
            <w:r>
              <w:rPr>
                <w:rFonts w:hint="eastAsia" w:ascii="新宋体" w:hAnsi="新宋体" w:eastAsia="新宋体" w:cs="新宋体"/>
                <w:b/>
                <w:bCs/>
                <w:color w:val="auto"/>
                <w:sz w:val="22"/>
                <w:szCs w:val="22"/>
                <w:highlight w:val="none"/>
              </w:rPr>
              <w:t>”完成“电子加密投标文件”的上传递交后，还可以（顺丰或EMS邮寄形式）在投标截止时间前递交以介质（U盘）存储的 “备份投标文件”（一份）；</w:t>
            </w:r>
          </w:p>
          <w:p w14:paraId="21D3E47B">
            <w:pPr>
              <w:spacing w:line="30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b.“备份投标文件”应当密封包装，并在包装上标注投标项目名称、投标单位名称并加盖公章。没有密封包装或者逾期邮寄送达至</w:t>
            </w:r>
            <w:r>
              <w:rPr>
                <w:rFonts w:hint="eastAsia" w:ascii="新宋体" w:hAnsi="新宋体" w:eastAsia="新宋体" w:cs="新宋体"/>
                <w:b/>
                <w:bCs/>
                <w:color w:val="auto"/>
                <w:sz w:val="22"/>
                <w:szCs w:val="22"/>
                <w:highlight w:val="none"/>
                <w:lang w:eastAsia="zh-CN"/>
              </w:rPr>
              <w:t>温州市鹿城区锦绣路19号宏嘉大厦2幢2005室</w:t>
            </w:r>
            <w:r>
              <w:rPr>
                <w:rFonts w:hint="eastAsia" w:ascii="新宋体" w:hAnsi="新宋体" w:eastAsia="新宋体" w:cs="新宋体"/>
                <w:b/>
                <w:bCs/>
                <w:color w:val="auto"/>
                <w:sz w:val="22"/>
                <w:szCs w:val="22"/>
                <w:highlight w:val="none"/>
              </w:rPr>
              <w:t>的“备份投标文件”将不予接收；</w:t>
            </w:r>
          </w:p>
          <w:p w14:paraId="7378E819">
            <w:pPr>
              <w:pStyle w:val="29"/>
              <w:ind w:firstLine="0" w:firstLineChars="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c.通过“</w:t>
            </w:r>
            <w:r>
              <w:rPr>
                <w:rFonts w:hint="eastAsia" w:ascii="新宋体" w:hAnsi="新宋体" w:eastAsia="新宋体" w:cs="新宋体"/>
                <w:b/>
                <w:bCs/>
                <w:color w:val="auto"/>
                <w:sz w:val="22"/>
                <w:szCs w:val="22"/>
                <w:highlight w:val="none"/>
                <w:lang w:eastAsia="zh-CN"/>
              </w:rPr>
              <w:t>乐采云平台</w:t>
            </w:r>
            <w:r>
              <w:rPr>
                <w:rFonts w:hint="eastAsia" w:ascii="新宋体" w:hAnsi="新宋体" w:eastAsia="新宋体" w:cs="新宋体"/>
                <w:b/>
                <w:bCs/>
                <w:color w:val="auto"/>
                <w:sz w:val="22"/>
                <w:szCs w:val="22"/>
                <w:highlight w:val="none"/>
              </w:rPr>
              <w:t>”成功上传递交的“电子加密投标文件”已按时解密的，“备份投标文件”自动失效。投标截止时间前，投标供应商仅递交了“备份投标文件”而未将“电子加密投标文件”成功上传至“</w:t>
            </w:r>
            <w:r>
              <w:rPr>
                <w:rFonts w:hint="eastAsia" w:ascii="新宋体" w:hAnsi="新宋体" w:eastAsia="新宋体" w:cs="新宋体"/>
                <w:b/>
                <w:bCs/>
                <w:color w:val="auto"/>
                <w:sz w:val="22"/>
                <w:szCs w:val="22"/>
                <w:highlight w:val="none"/>
                <w:lang w:eastAsia="zh-CN"/>
              </w:rPr>
              <w:t>乐采云平台</w:t>
            </w:r>
            <w:r>
              <w:rPr>
                <w:rFonts w:hint="eastAsia" w:ascii="新宋体" w:hAnsi="新宋体" w:eastAsia="新宋体" w:cs="新宋体"/>
                <w:b/>
                <w:bCs/>
                <w:color w:val="auto"/>
                <w:sz w:val="22"/>
                <w:szCs w:val="22"/>
                <w:highlight w:val="none"/>
              </w:rPr>
              <w:t>”的，投标无效。</w:t>
            </w:r>
          </w:p>
        </w:tc>
      </w:tr>
      <w:tr w14:paraId="544EA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69BEF6CE">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22</w:t>
            </w:r>
          </w:p>
        </w:tc>
        <w:tc>
          <w:tcPr>
            <w:tcW w:w="1750" w:type="dxa"/>
            <w:tcBorders>
              <w:top w:val="single" w:color="auto" w:sz="4" w:space="0"/>
              <w:left w:val="single" w:color="auto" w:sz="4" w:space="0"/>
              <w:bottom w:val="single" w:color="auto" w:sz="4" w:space="0"/>
              <w:right w:val="single" w:color="auto" w:sz="4" w:space="0"/>
            </w:tcBorders>
            <w:vAlign w:val="center"/>
          </w:tcPr>
          <w:p w14:paraId="172DFD3A">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b/>
                <w:bCs/>
                <w:color w:val="auto"/>
                <w:sz w:val="22"/>
                <w:szCs w:val="22"/>
                <w:highlight w:val="none"/>
              </w:rPr>
              <w:t>电子加密投标文件的解密和异常情况处理</w:t>
            </w:r>
          </w:p>
        </w:tc>
        <w:tc>
          <w:tcPr>
            <w:tcW w:w="7310" w:type="dxa"/>
            <w:tcBorders>
              <w:top w:val="single" w:color="auto" w:sz="4" w:space="0"/>
              <w:left w:val="single" w:color="auto" w:sz="4" w:space="0"/>
              <w:bottom w:val="single" w:color="auto" w:sz="4" w:space="0"/>
              <w:right w:val="single" w:color="auto" w:sz="4" w:space="0"/>
            </w:tcBorders>
            <w:vAlign w:val="center"/>
          </w:tcPr>
          <w:p w14:paraId="7A453FD9">
            <w:pPr>
              <w:spacing w:line="30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（1）开标后，采购组织机构将向各投标供应商发出“电子加密投标文件”的解密通知，各投标供应商代表应当在接到解密通知后</w:t>
            </w:r>
            <w:r>
              <w:rPr>
                <w:rFonts w:hint="eastAsia" w:ascii="新宋体" w:hAnsi="新宋体" w:eastAsia="新宋体" w:cs="新宋体"/>
                <w:b/>
                <w:bCs/>
                <w:color w:val="auto"/>
                <w:sz w:val="22"/>
                <w:szCs w:val="22"/>
                <w:highlight w:val="none"/>
                <w:lang w:eastAsia="zh-CN"/>
              </w:rPr>
              <w:t>30分</w:t>
            </w:r>
            <w:r>
              <w:rPr>
                <w:rFonts w:hint="eastAsia" w:ascii="新宋体" w:hAnsi="新宋体" w:eastAsia="新宋体" w:cs="新宋体"/>
                <w:b/>
                <w:bCs/>
                <w:color w:val="auto"/>
                <w:sz w:val="22"/>
                <w:szCs w:val="22"/>
                <w:highlight w:val="none"/>
              </w:rPr>
              <w:t>钟内</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kern w:val="0"/>
                <w:sz w:val="22"/>
                <w:szCs w:val="22"/>
                <w:highlight w:val="none"/>
              </w:rPr>
              <w:t>具体以</w:t>
            </w:r>
            <w:r>
              <w:rPr>
                <w:rFonts w:hint="eastAsia" w:ascii="新宋体" w:hAnsi="新宋体" w:eastAsia="新宋体" w:cs="新宋体"/>
                <w:b/>
                <w:bCs/>
                <w:color w:val="auto"/>
                <w:kern w:val="0"/>
                <w:sz w:val="22"/>
                <w:szCs w:val="22"/>
                <w:highlight w:val="none"/>
                <w:lang w:eastAsia="zh-CN"/>
              </w:rPr>
              <w:t>乐采云</w:t>
            </w:r>
            <w:r>
              <w:rPr>
                <w:rFonts w:hint="eastAsia" w:ascii="新宋体" w:hAnsi="新宋体" w:eastAsia="新宋体" w:cs="新宋体"/>
                <w:b/>
                <w:bCs/>
                <w:color w:val="auto"/>
                <w:kern w:val="0"/>
                <w:sz w:val="22"/>
                <w:szCs w:val="22"/>
                <w:highlight w:val="none"/>
              </w:rPr>
              <w:t>系统要求</w:t>
            </w:r>
            <w:r>
              <w:rPr>
                <w:rFonts w:hint="eastAsia" w:ascii="新宋体" w:hAnsi="新宋体" w:eastAsia="新宋体" w:cs="新宋体"/>
                <w:b/>
                <w:bCs/>
                <w:color w:val="auto"/>
                <w:kern w:val="0"/>
                <w:sz w:val="22"/>
                <w:szCs w:val="22"/>
                <w:highlight w:val="none"/>
                <w:lang w:val="en-US" w:eastAsia="zh-CN"/>
              </w:rPr>
              <w:t>的时间</w:t>
            </w:r>
            <w:r>
              <w:rPr>
                <w:rFonts w:hint="eastAsia" w:ascii="新宋体" w:hAnsi="新宋体" w:eastAsia="新宋体" w:cs="新宋体"/>
                <w:b/>
                <w:bCs/>
                <w:color w:val="auto"/>
                <w:kern w:val="0"/>
                <w:sz w:val="22"/>
                <w:szCs w:val="22"/>
                <w:highlight w:val="none"/>
              </w:rPr>
              <w:t>为准</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rPr>
              <w:t>自行完成“电子加密投标文件”的在线解密。</w:t>
            </w:r>
          </w:p>
          <w:p w14:paraId="6C8F38D6">
            <w:pPr>
              <w:spacing w:line="30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（2）通过“</w:t>
            </w:r>
            <w:r>
              <w:rPr>
                <w:rFonts w:hint="eastAsia" w:ascii="新宋体" w:hAnsi="新宋体" w:eastAsia="新宋体" w:cs="新宋体"/>
                <w:b/>
                <w:bCs/>
                <w:color w:val="auto"/>
                <w:sz w:val="22"/>
                <w:szCs w:val="22"/>
                <w:highlight w:val="none"/>
                <w:lang w:eastAsia="zh-CN"/>
              </w:rPr>
              <w:t>乐采云平台</w:t>
            </w:r>
            <w:r>
              <w:rPr>
                <w:rFonts w:hint="eastAsia" w:ascii="新宋体" w:hAnsi="新宋体" w:eastAsia="新宋体" w:cs="新宋体"/>
                <w:b/>
                <w:bCs/>
                <w:color w:val="auto"/>
                <w:sz w:val="22"/>
                <w:szCs w:val="22"/>
                <w:highlight w:val="none"/>
              </w:rPr>
              <w:t>”成功上传递交的“电子加密投标文件”无法按时解密，投标供应商如按规定递交了“备份投标文件”的，以“备份投标文件”为依据（由采购组织机构按“</w:t>
            </w:r>
            <w:r>
              <w:rPr>
                <w:rFonts w:hint="eastAsia" w:ascii="新宋体" w:hAnsi="新宋体" w:eastAsia="新宋体" w:cs="新宋体"/>
                <w:b/>
                <w:bCs/>
                <w:color w:val="auto"/>
                <w:sz w:val="22"/>
                <w:szCs w:val="22"/>
                <w:highlight w:val="none"/>
                <w:lang w:eastAsia="zh-CN"/>
              </w:rPr>
              <w:t>乐采云平台</w:t>
            </w:r>
            <w:r>
              <w:rPr>
                <w:rFonts w:hint="eastAsia" w:ascii="新宋体" w:hAnsi="新宋体" w:eastAsia="新宋体" w:cs="新宋体"/>
                <w:b/>
                <w:bCs/>
                <w:color w:val="auto"/>
                <w:sz w:val="22"/>
                <w:szCs w:val="22"/>
                <w:highlight w:val="none"/>
              </w:rPr>
              <w:t>”操作规范将“备份投标文件”上传至“</w:t>
            </w:r>
            <w:r>
              <w:rPr>
                <w:rFonts w:hint="eastAsia" w:ascii="新宋体" w:hAnsi="新宋体" w:eastAsia="新宋体" w:cs="新宋体"/>
                <w:b/>
                <w:bCs/>
                <w:color w:val="auto"/>
                <w:sz w:val="22"/>
                <w:szCs w:val="22"/>
                <w:highlight w:val="none"/>
                <w:lang w:eastAsia="zh-CN"/>
              </w:rPr>
              <w:t>乐采云平台</w:t>
            </w:r>
            <w:r>
              <w:rPr>
                <w:rFonts w:hint="eastAsia" w:ascii="新宋体" w:hAnsi="新宋体" w:eastAsia="新宋体" w:cs="新宋体"/>
                <w:b/>
                <w:bCs/>
                <w:color w:val="auto"/>
                <w:sz w:val="22"/>
                <w:szCs w:val="22"/>
                <w:highlight w:val="none"/>
              </w:rPr>
              <w:t>”，上传成功后，“电子加密投标文件”自动失效），否则视为投标文件撤回。</w:t>
            </w:r>
          </w:p>
          <w:p w14:paraId="067380F9">
            <w:pPr>
              <w:pStyle w:val="29"/>
              <w:ind w:firstLine="0" w:firstLineChars="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（3）投标截止时间前，投标供应商仅递交了“备份投标文件”而未将电子加密投标文件上传至“</w:t>
            </w:r>
            <w:r>
              <w:rPr>
                <w:rFonts w:hint="eastAsia" w:ascii="新宋体" w:hAnsi="新宋体" w:eastAsia="新宋体" w:cs="新宋体"/>
                <w:b/>
                <w:bCs/>
                <w:color w:val="auto"/>
                <w:sz w:val="22"/>
                <w:szCs w:val="22"/>
                <w:highlight w:val="none"/>
                <w:lang w:eastAsia="zh-CN"/>
              </w:rPr>
              <w:t>乐采云平台</w:t>
            </w:r>
            <w:r>
              <w:rPr>
                <w:rFonts w:hint="eastAsia" w:ascii="新宋体" w:hAnsi="新宋体" w:eastAsia="新宋体" w:cs="新宋体"/>
                <w:b/>
                <w:bCs/>
                <w:color w:val="auto"/>
                <w:sz w:val="22"/>
                <w:szCs w:val="22"/>
                <w:highlight w:val="none"/>
              </w:rPr>
              <w:t>”的，投标无效。</w:t>
            </w:r>
          </w:p>
        </w:tc>
      </w:tr>
      <w:tr w14:paraId="1F9F5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0FBB344B">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bCs/>
                <w:color w:val="auto"/>
                <w:sz w:val="22"/>
                <w:szCs w:val="22"/>
                <w:highlight w:val="none"/>
              </w:rPr>
              <w:t>23</w:t>
            </w:r>
          </w:p>
        </w:tc>
        <w:tc>
          <w:tcPr>
            <w:tcW w:w="1750" w:type="dxa"/>
            <w:tcBorders>
              <w:top w:val="single" w:color="auto" w:sz="4" w:space="0"/>
              <w:left w:val="single" w:color="auto" w:sz="4" w:space="0"/>
              <w:bottom w:val="single" w:color="auto" w:sz="4" w:space="0"/>
              <w:right w:val="single" w:color="auto" w:sz="4" w:space="0"/>
            </w:tcBorders>
            <w:vAlign w:val="center"/>
          </w:tcPr>
          <w:p w14:paraId="1BF7391A">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投标截止时间</w:t>
            </w:r>
          </w:p>
        </w:tc>
        <w:tc>
          <w:tcPr>
            <w:tcW w:w="7310" w:type="dxa"/>
            <w:tcBorders>
              <w:top w:val="single" w:color="auto" w:sz="4" w:space="0"/>
              <w:left w:val="single" w:color="auto" w:sz="4" w:space="0"/>
              <w:bottom w:val="single" w:color="auto" w:sz="4" w:space="0"/>
              <w:right w:val="single" w:color="auto" w:sz="4" w:space="0"/>
            </w:tcBorders>
            <w:vAlign w:val="center"/>
          </w:tcPr>
          <w:p w14:paraId="3ED708AC">
            <w:pPr>
              <w:spacing w:line="3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详见采购公告规定</w:t>
            </w:r>
          </w:p>
        </w:tc>
      </w:tr>
      <w:tr w14:paraId="77FCD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22742D3B">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bCs/>
                <w:color w:val="auto"/>
                <w:sz w:val="22"/>
                <w:szCs w:val="22"/>
                <w:highlight w:val="none"/>
              </w:rPr>
              <w:t>24</w:t>
            </w:r>
          </w:p>
        </w:tc>
        <w:tc>
          <w:tcPr>
            <w:tcW w:w="1750" w:type="dxa"/>
            <w:tcBorders>
              <w:top w:val="single" w:color="auto" w:sz="4" w:space="0"/>
              <w:left w:val="single" w:color="auto" w:sz="4" w:space="0"/>
              <w:bottom w:val="single" w:color="auto" w:sz="4" w:space="0"/>
              <w:right w:val="single" w:color="auto" w:sz="4" w:space="0"/>
            </w:tcBorders>
            <w:vAlign w:val="center"/>
          </w:tcPr>
          <w:p w14:paraId="414E74AF">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递交投标文件地点</w:t>
            </w:r>
          </w:p>
        </w:tc>
        <w:tc>
          <w:tcPr>
            <w:tcW w:w="7310" w:type="dxa"/>
            <w:tcBorders>
              <w:top w:val="single" w:color="auto" w:sz="4" w:space="0"/>
              <w:left w:val="single" w:color="auto" w:sz="4" w:space="0"/>
              <w:bottom w:val="single" w:color="auto" w:sz="4" w:space="0"/>
              <w:right w:val="single" w:color="auto" w:sz="4" w:space="0"/>
            </w:tcBorders>
            <w:vAlign w:val="center"/>
          </w:tcPr>
          <w:p w14:paraId="36CE24D5">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https://www.lecaiyun.com/</w:t>
            </w:r>
            <w:r>
              <w:rPr>
                <w:rFonts w:hint="eastAsia" w:ascii="新宋体" w:hAnsi="新宋体" w:eastAsia="新宋体" w:cs="新宋体"/>
                <w:color w:val="auto"/>
                <w:sz w:val="22"/>
                <w:szCs w:val="22"/>
                <w:highlight w:val="none"/>
              </w:rPr>
              <w:t>）”实行在线投标响应。</w:t>
            </w:r>
          </w:p>
        </w:tc>
      </w:tr>
      <w:tr w14:paraId="5D52A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408D5C9F">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25</w:t>
            </w:r>
          </w:p>
        </w:tc>
        <w:tc>
          <w:tcPr>
            <w:tcW w:w="1750" w:type="dxa"/>
            <w:tcBorders>
              <w:top w:val="single" w:color="auto" w:sz="4" w:space="0"/>
              <w:left w:val="single" w:color="auto" w:sz="4" w:space="0"/>
              <w:bottom w:val="single" w:color="auto" w:sz="4" w:space="0"/>
              <w:right w:val="single" w:color="auto" w:sz="4" w:space="0"/>
            </w:tcBorders>
            <w:vAlign w:val="center"/>
          </w:tcPr>
          <w:p w14:paraId="68B9E641">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开标时间</w:t>
            </w:r>
          </w:p>
          <w:p w14:paraId="38205406">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和地点及评审地点</w:t>
            </w:r>
          </w:p>
        </w:tc>
        <w:tc>
          <w:tcPr>
            <w:tcW w:w="7310" w:type="dxa"/>
            <w:tcBorders>
              <w:top w:val="single" w:color="auto" w:sz="4" w:space="0"/>
              <w:left w:val="single" w:color="auto" w:sz="4" w:space="0"/>
              <w:bottom w:val="single" w:color="auto" w:sz="4" w:space="0"/>
              <w:right w:val="single" w:color="auto" w:sz="4" w:space="0"/>
            </w:tcBorders>
            <w:vAlign w:val="center"/>
          </w:tcPr>
          <w:p w14:paraId="7BC40D75">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开标时间：同投标文件递交截止时间</w:t>
            </w:r>
          </w:p>
          <w:p w14:paraId="78BC4F73">
            <w:pPr>
              <w:spacing w:line="3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开标地点：</w:t>
            </w:r>
            <w:r>
              <w:rPr>
                <w:rFonts w:hint="eastAsia" w:ascii="新宋体" w:hAnsi="新宋体" w:eastAsia="新宋体" w:cs="新宋体"/>
                <w:color w:val="auto"/>
                <w:sz w:val="22"/>
                <w:szCs w:val="22"/>
                <w:highlight w:val="none"/>
              </w:rPr>
              <w:t>详见采购公告规定</w:t>
            </w:r>
          </w:p>
          <w:p w14:paraId="64465BB4">
            <w:pPr>
              <w:spacing w:line="3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评审地点：温州市政务服务管理中心</w:t>
            </w:r>
            <w:r>
              <w:rPr>
                <w:rFonts w:hint="eastAsia" w:ascii="新宋体" w:hAnsi="新宋体" w:eastAsia="新宋体" w:cs="新宋体"/>
                <w:bCs/>
                <w:color w:val="auto"/>
                <w:sz w:val="22"/>
                <w:szCs w:val="22"/>
                <w:highlight w:val="none"/>
                <w:u w:val="none"/>
              </w:rPr>
              <w:t>评标室</w:t>
            </w:r>
            <w:r>
              <w:rPr>
                <w:rFonts w:hint="eastAsia" w:ascii="新宋体" w:hAnsi="新宋体" w:eastAsia="新宋体" w:cs="新宋体"/>
                <w:color w:val="auto"/>
                <w:sz w:val="22"/>
                <w:szCs w:val="22"/>
                <w:highlight w:val="none"/>
              </w:rPr>
              <w:t>（温州市鹿城区会展路1268号温州市民中心A座3楼）</w:t>
            </w:r>
          </w:p>
        </w:tc>
      </w:tr>
      <w:tr w14:paraId="12ECF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5" w:hRule="atLeast"/>
        </w:trPr>
        <w:tc>
          <w:tcPr>
            <w:tcW w:w="794" w:type="dxa"/>
            <w:tcBorders>
              <w:top w:val="single" w:color="auto" w:sz="4" w:space="0"/>
              <w:left w:val="single" w:color="auto" w:sz="4" w:space="0"/>
              <w:bottom w:val="single" w:color="auto" w:sz="4" w:space="0"/>
              <w:right w:val="single" w:color="auto" w:sz="4" w:space="0"/>
            </w:tcBorders>
            <w:vAlign w:val="center"/>
          </w:tcPr>
          <w:p w14:paraId="06300C60">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26</w:t>
            </w:r>
          </w:p>
        </w:tc>
        <w:tc>
          <w:tcPr>
            <w:tcW w:w="1750" w:type="dxa"/>
            <w:tcBorders>
              <w:top w:val="single" w:color="auto" w:sz="4" w:space="0"/>
              <w:left w:val="single" w:color="auto" w:sz="4" w:space="0"/>
              <w:bottom w:val="single" w:color="auto" w:sz="4" w:space="0"/>
              <w:right w:val="single" w:color="auto" w:sz="4" w:space="0"/>
            </w:tcBorders>
            <w:vAlign w:val="center"/>
          </w:tcPr>
          <w:p w14:paraId="0809F91E">
            <w:pPr>
              <w:spacing w:line="300" w:lineRule="exact"/>
              <w:rPr>
                <w:rFonts w:hint="eastAsia" w:ascii="新宋体" w:hAnsi="新宋体" w:eastAsia="新宋体" w:cs="新宋体"/>
                <w:color w:val="auto"/>
                <w:kern w:val="0"/>
                <w:sz w:val="22"/>
                <w:szCs w:val="22"/>
                <w:highlight w:val="none"/>
              </w:rPr>
            </w:pPr>
            <w:bookmarkStart w:id="32" w:name="_Hlk3466512"/>
            <w:r>
              <w:rPr>
                <w:rFonts w:hint="eastAsia" w:ascii="新宋体" w:hAnsi="新宋体" w:eastAsia="新宋体" w:cs="新宋体"/>
                <w:color w:val="auto"/>
                <w:kern w:val="0"/>
                <w:sz w:val="22"/>
                <w:szCs w:val="22"/>
                <w:highlight w:val="none"/>
              </w:rPr>
              <w:t>开标程序</w:t>
            </w:r>
            <w:bookmarkEnd w:id="32"/>
          </w:p>
        </w:tc>
        <w:tc>
          <w:tcPr>
            <w:tcW w:w="7310" w:type="dxa"/>
            <w:tcBorders>
              <w:top w:val="single" w:color="auto" w:sz="4" w:space="0"/>
              <w:left w:val="single" w:color="auto" w:sz="4" w:space="0"/>
              <w:bottom w:val="single" w:color="auto" w:sz="4" w:space="0"/>
              <w:right w:val="single" w:color="auto" w:sz="4" w:space="0"/>
            </w:tcBorders>
            <w:vAlign w:val="center"/>
          </w:tcPr>
          <w:p w14:paraId="04569C1B">
            <w:pPr>
              <w:spacing w:line="300" w:lineRule="exact"/>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bCs/>
                <w:color w:val="auto"/>
                <w:kern w:val="0"/>
                <w:sz w:val="22"/>
                <w:szCs w:val="22"/>
                <w:highlight w:val="none"/>
              </w:rPr>
              <w:t>采购组织机构将按照采购文件规定的时间通过“</w:t>
            </w:r>
            <w:r>
              <w:rPr>
                <w:rFonts w:hint="eastAsia" w:ascii="新宋体" w:hAnsi="新宋体" w:eastAsia="新宋体" w:cs="新宋体"/>
                <w:bCs/>
                <w:color w:val="auto"/>
                <w:kern w:val="0"/>
                <w:sz w:val="22"/>
                <w:szCs w:val="22"/>
                <w:highlight w:val="none"/>
                <w:lang w:eastAsia="zh-CN"/>
              </w:rPr>
              <w:t>乐采云</w:t>
            </w:r>
            <w:r>
              <w:rPr>
                <w:rFonts w:hint="eastAsia" w:ascii="新宋体" w:hAnsi="新宋体" w:eastAsia="新宋体" w:cs="新宋体"/>
                <w:bCs/>
                <w:color w:val="auto"/>
                <w:kern w:val="0"/>
                <w:sz w:val="22"/>
                <w:szCs w:val="22"/>
                <w:highlight w:val="none"/>
              </w:rPr>
              <w:t>平台”组织开标、开启投标文件</w:t>
            </w:r>
            <w:r>
              <w:rPr>
                <w:rFonts w:hint="eastAsia" w:ascii="宋体" w:hAnsi="宋体"/>
                <w:bCs/>
                <w:color w:val="auto"/>
                <w:sz w:val="22"/>
                <w:szCs w:val="22"/>
                <w:highlight w:val="none"/>
              </w:rPr>
              <w:t>（资格文件、商务技术文件、报价文件）</w:t>
            </w:r>
            <w:r>
              <w:rPr>
                <w:rFonts w:hint="eastAsia" w:ascii="新宋体" w:hAnsi="新宋体" w:eastAsia="新宋体" w:cs="新宋体"/>
                <w:bCs/>
                <w:color w:val="auto"/>
                <w:kern w:val="0"/>
                <w:sz w:val="22"/>
                <w:szCs w:val="22"/>
                <w:highlight w:val="none"/>
              </w:rPr>
              <w:t>，所有供应商均应当准时在线参加。</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如不参加开标大会的，视同认可开标结果，事后不得对采购相关人员、开标过程和开标结果提出异议，同时</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因未在线参加开标而导致投标文件无法按时解密等一切后果由供应商自己承担</w:t>
            </w:r>
            <w:r>
              <w:rPr>
                <w:rFonts w:hint="eastAsia" w:ascii="新宋体" w:hAnsi="新宋体" w:eastAsia="新宋体" w:cs="新宋体"/>
                <w:bCs/>
                <w:color w:val="auto"/>
                <w:kern w:val="0"/>
                <w:sz w:val="22"/>
                <w:szCs w:val="22"/>
                <w:highlight w:val="none"/>
                <w:lang w:eastAsia="zh-CN"/>
              </w:rPr>
              <w:t>。解密成功后，开启各投标供应商的《投标文件》，在系统上公布各投标供应商名称、投标报价及采购文件规定的需要宣布的其他内容。</w:t>
            </w:r>
          </w:p>
        </w:tc>
      </w:tr>
      <w:tr w14:paraId="2E800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7A906750">
            <w:pPr>
              <w:spacing w:line="300" w:lineRule="exact"/>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bCs/>
                <w:color w:val="auto"/>
                <w:sz w:val="22"/>
                <w:szCs w:val="22"/>
                <w:highlight w:val="none"/>
              </w:rPr>
              <w:t>27</w:t>
            </w:r>
          </w:p>
        </w:tc>
        <w:tc>
          <w:tcPr>
            <w:tcW w:w="1750" w:type="dxa"/>
            <w:tcBorders>
              <w:top w:val="single" w:color="auto" w:sz="4" w:space="0"/>
              <w:left w:val="single" w:color="auto" w:sz="4" w:space="0"/>
              <w:bottom w:val="single" w:color="auto" w:sz="4" w:space="0"/>
              <w:right w:val="single" w:color="auto" w:sz="4" w:space="0"/>
            </w:tcBorders>
            <w:vAlign w:val="center"/>
          </w:tcPr>
          <w:p w14:paraId="51ED57C6">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评标委员会</w:t>
            </w:r>
          </w:p>
          <w:p w14:paraId="28160836">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的组建</w:t>
            </w:r>
          </w:p>
        </w:tc>
        <w:tc>
          <w:tcPr>
            <w:tcW w:w="7310" w:type="dxa"/>
            <w:tcBorders>
              <w:top w:val="single" w:color="auto" w:sz="4" w:space="0"/>
              <w:left w:val="single" w:color="auto" w:sz="4" w:space="0"/>
              <w:bottom w:val="single" w:color="auto" w:sz="4" w:space="0"/>
              <w:right w:val="single" w:color="auto" w:sz="4" w:space="0"/>
            </w:tcBorders>
            <w:vAlign w:val="center"/>
          </w:tcPr>
          <w:p w14:paraId="3B05CD90">
            <w:pPr>
              <w:spacing w:line="300" w:lineRule="exact"/>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bCs/>
                <w:color w:val="auto"/>
                <w:sz w:val="22"/>
                <w:szCs w:val="22"/>
                <w:highlight w:val="none"/>
              </w:rPr>
              <w:t>评标委员会成员由采购人代表和有关技术、经济等方面的专家组成，成员人数为</w:t>
            </w:r>
            <w:r>
              <w:rPr>
                <w:rFonts w:hint="eastAsia" w:ascii="新宋体" w:hAnsi="新宋体" w:eastAsia="新宋体" w:cs="新宋体"/>
                <w:bCs/>
                <w:color w:val="auto"/>
                <w:sz w:val="22"/>
                <w:szCs w:val="22"/>
                <w:highlight w:val="none"/>
                <w:lang w:val="en-US" w:eastAsia="zh-CN"/>
              </w:rPr>
              <w:t>5</w:t>
            </w:r>
            <w:r>
              <w:rPr>
                <w:rFonts w:hint="eastAsia" w:ascii="新宋体" w:hAnsi="新宋体" w:eastAsia="新宋体" w:cs="新宋体"/>
                <w:bCs/>
                <w:color w:val="auto"/>
                <w:sz w:val="22"/>
                <w:szCs w:val="22"/>
                <w:highlight w:val="none"/>
              </w:rPr>
              <w:t>人及以上单数，其中技术、经济类专家不得少于总人数的2/3，除采购人代表外的专家将在乐采云平台的评标专家库中随机抽取产生。</w:t>
            </w:r>
          </w:p>
        </w:tc>
      </w:tr>
      <w:tr w14:paraId="537A0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14:paraId="1DB8AB70">
            <w:pPr>
              <w:spacing w:line="300" w:lineRule="exact"/>
              <w:jc w:val="center"/>
              <w:rPr>
                <w:rFonts w:hint="eastAsia" w:ascii="新宋体" w:hAnsi="新宋体" w:eastAsia="新宋体" w:cs="新宋体"/>
                <w:bCs/>
                <w:color w:val="auto"/>
                <w:kern w:val="2"/>
                <w:sz w:val="22"/>
                <w:szCs w:val="22"/>
                <w:highlight w:val="none"/>
                <w:lang w:val="en-US" w:eastAsia="zh-CN" w:bidi="ar-SA"/>
              </w:rPr>
            </w:pPr>
            <w:r>
              <w:rPr>
                <w:rFonts w:hint="eastAsia" w:ascii="新宋体" w:hAnsi="新宋体" w:eastAsia="新宋体" w:cs="新宋体"/>
                <w:color w:val="auto"/>
                <w:kern w:val="0"/>
                <w:sz w:val="22"/>
                <w:szCs w:val="22"/>
                <w:highlight w:val="none"/>
              </w:rPr>
              <w:t>28</w:t>
            </w:r>
          </w:p>
        </w:tc>
        <w:tc>
          <w:tcPr>
            <w:tcW w:w="1750" w:type="dxa"/>
            <w:tcBorders>
              <w:top w:val="single" w:color="auto" w:sz="4" w:space="0"/>
              <w:left w:val="single" w:color="auto" w:sz="4" w:space="0"/>
              <w:bottom w:val="single" w:color="auto" w:sz="4" w:space="0"/>
              <w:right w:val="single" w:color="auto" w:sz="4" w:space="0"/>
            </w:tcBorders>
            <w:vAlign w:val="center"/>
          </w:tcPr>
          <w:p w14:paraId="2FCF0CD9">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bCs/>
                <w:color w:val="auto"/>
                <w:sz w:val="22"/>
                <w:szCs w:val="22"/>
                <w:highlight w:val="none"/>
              </w:rPr>
              <w:t>履约担保</w:t>
            </w:r>
          </w:p>
        </w:tc>
        <w:tc>
          <w:tcPr>
            <w:tcW w:w="7310" w:type="dxa"/>
            <w:tcBorders>
              <w:top w:val="single" w:color="auto" w:sz="4" w:space="0"/>
              <w:left w:val="single" w:color="auto" w:sz="4" w:space="0"/>
              <w:bottom w:val="single" w:color="auto" w:sz="4" w:space="0"/>
              <w:right w:val="single" w:color="auto" w:sz="4" w:space="0"/>
            </w:tcBorders>
            <w:vAlign w:val="center"/>
          </w:tcPr>
          <w:p w14:paraId="45940974">
            <w:pPr>
              <w:spacing w:line="300" w:lineRule="exact"/>
              <w:rPr>
                <w:rFonts w:hint="eastAsia" w:ascii="新宋体" w:hAnsi="新宋体" w:eastAsia="新宋体" w:cs="新宋体"/>
                <w:b/>
                <w:bCs w:val="0"/>
                <w:snapToGrid w:val="0"/>
                <w:color w:val="auto"/>
                <w:sz w:val="22"/>
                <w:szCs w:val="22"/>
                <w:highlight w:val="none"/>
              </w:rPr>
            </w:pPr>
            <w:r>
              <w:rPr>
                <w:rFonts w:hint="eastAsia" w:ascii="新宋体" w:hAnsi="新宋体" w:eastAsia="新宋体" w:cs="新宋体"/>
                <w:b/>
                <w:bCs w:val="0"/>
                <w:snapToGrid w:val="0"/>
                <w:color w:val="auto"/>
                <w:sz w:val="22"/>
                <w:szCs w:val="22"/>
                <w:highlight w:val="none"/>
              </w:rPr>
              <w:sym w:font="Wingdings" w:char="00FE"/>
            </w:r>
            <w:r>
              <w:rPr>
                <w:rFonts w:hint="eastAsia" w:ascii="新宋体" w:hAnsi="新宋体" w:eastAsia="新宋体" w:cs="新宋体"/>
                <w:b/>
                <w:bCs w:val="0"/>
                <w:snapToGrid w:val="0"/>
                <w:color w:val="auto"/>
                <w:sz w:val="22"/>
                <w:szCs w:val="22"/>
                <w:highlight w:val="none"/>
                <w:lang w:val="en-US" w:eastAsia="zh-CN"/>
              </w:rPr>
              <w:t>不</w:t>
            </w:r>
            <w:r>
              <w:rPr>
                <w:rFonts w:hint="eastAsia" w:ascii="新宋体" w:hAnsi="新宋体" w:eastAsia="新宋体" w:cs="新宋体"/>
                <w:b/>
                <w:bCs w:val="0"/>
                <w:color w:val="auto"/>
                <w:sz w:val="22"/>
                <w:szCs w:val="22"/>
                <w:highlight w:val="none"/>
              </w:rPr>
              <w:t>提交</w:t>
            </w:r>
          </w:p>
          <w:p w14:paraId="7232040A">
            <w:pPr>
              <w:spacing w:line="300" w:lineRule="exact"/>
              <w:rPr>
                <w:rFonts w:hint="eastAsia" w:ascii="新宋体" w:hAnsi="新宋体" w:eastAsia="新宋体" w:cs="新宋体"/>
                <w:bCs/>
                <w:color w:val="auto"/>
                <w:sz w:val="22"/>
                <w:szCs w:val="22"/>
                <w:highlight w:val="none"/>
              </w:rPr>
            </w:pPr>
            <w:r>
              <w:rPr>
                <w:rFonts w:hint="eastAsia" w:ascii="新宋体" w:hAnsi="新宋体" w:eastAsia="新宋体" w:cs="新宋体"/>
                <w:b w:val="0"/>
                <w:bCs/>
                <w:snapToGrid w:val="0"/>
                <w:color w:val="auto"/>
                <w:sz w:val="22"/>
                <w:szCs w:val="22"/>
                <w:highlight w:val="none"/>
              </w:rPr>
              <w:sym w:font="Wingdings" w:char="00A8"/>
            </w:r>
            <w:r>
              <w:rPr>
                <w:rFonts w:hint="eastAsia" w:ascii="新宋体" w:hAnsi="新宋体" w:eastAsia="新宋体" w:cs="新宋体"/>
                <w:b w:val="0"/>
                <w:bCs/>
                <w:color w:val="auto"/>
                <w:sz w:val="22"/>
                <w:szCs w:val="22"/>
                <w:highlight w:val="none"/>
              </w:rPr>
              <w:t>提交</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中标人</w:t>
            </w:r>
            <w:r>
              <w:rPr>
                <w:rFonts w:hint="eastAsia" w:ascii="新宋体" w:hAnsi="新宋体" w:eastAsia="新宋体" w:cs="新宋体"/>
                <w:bCs/>
                <w:color w:val="auto"/>
                <w:sz w:val="22"/>
                <w:highlight w:val="none"/>
              </w:rPr>
              <w:t>应向采购人提交合同金额5%的</w:t>
            </w:r>
            <w:r>
              <w:rPr>
                <w:rFonts w:hint="eastAsia" w:ascii="新宋体" w:hAnsi="新宋体" w:eastAsia="新宋体" w:cs="新宋体"/>
                <w:bCs/>
                <w:color w:val="auto"/>
                <w:sz w:val="22"/>
                <w:highlight w:val="none"/>
                <w:lang w:eastAsia="zh-CN"/>
              </w:rPr>
              <w:t>履约担保</w:t>
            </w:r>
            <w:r>
              <w:rPr>
                <w:rFonts w:hint="eastAsia" w:ascii="新宋体" w:hAnsi="新宋体" w:eastAsia="新宋体" w:cs="新宋体"/>
                <w:bCs/>
                <w:color w:val="auto"/>
                <w:sz w:val="22"/>
                <w:highlight w:val="none"/>
              </w:rPr>
              <w:t>（</w:t>
            </w:r>
            <w:r>
              <w:rPr>
                <w:rFonts w:hint="eastAsia" w:ascii="新宋体" w:hAnsi="新宋体" w:eastAsia="新宋体" w:cs="新宋体"/>
                <w:bCs/>
                <w:color w:val="auto"/>
                <w:sz w:val="22"/>
                <w:highlight w:val="none"/>
                <w:lang w:eastAsia="zh-CN"/>
              </w:rPr>
              <w:t>履约担保</w:t>
            </w:r>
            <w:r>
              <w:rPr>
                <w:rFonts w:hint="eastAsia" w:ascii="新宋体" w:hAnsi="新宋体" w:eastAsia="新宋体" w:cs="新宋体"/>
                <w:bCs/>
                <w:color w:val="auto"/>
                <w:sz w:val="22"/>
                <w:highlight w:val="none"/>
              </w:rPr>
              <w:t>应当以支票、汇票、本票或者金融机构、担保机构出具的保函等非现金形式）。</w:t>
            </w:r>
          </w:p>
        </w:tc>
      </w:tr>
      <w:tr w14:paraId="4EE66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14:paraId="26A2C8D4">
            <w:pPr>
              <w:spacing w:line="300" w:lineRule="exact"/>
              <w:jc w:val="center"/>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lang w:val="en-US" w:eastAsia="zh-CN"/>
              </w:rPr>
              <w:t>29</w:t>
            </w:r>
          </w:p>
        </w:tc>
        <w:tc>
          <w:tcPr>
            <w:tcW w:w="1750" w:type="dxa"/>
            <w:tcBorders>
              <w:top w:val="single" w:color="auto" w:sz="4" w:space="0"/>
              <w:left w:val="single" w:color="auto" w:sz="4" w:space="0"/>
              <w:bottom w:val="single" w:color="auto" w:sz="4" w:space="0"/>
              <w:right w:val="single" w:color="auto" w:sz="4" w:space="0"/>
            </w:tcBorders>
            <w:vAlign w:val="center"/>
          </w:tcPr>
          <w:p w14:paraId="0381B618">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原 件</w:t>
            </w:r>
          </w:p>
        </w:tc>
        <w:tc>
          <w:tcPr>
            <w:tcW w:w="7310" w:type="dxa"/>
            <w:tcBorders>
              <w:top w:val="single" w:color="auto" w:sz="4" w:space="0"/>
              <w:left w:val="single" w:color="auto" w:sz="4" w:space="0"/>
              <w:bottom w:val="single" w:color="auto" w:sz="4" w:space="0"/>
              <w:right w:val="single" w:color="auto" w:sz="4" w:space="0"/>
            </w:tcBorders>
            <w:vAlign w:val="center"/>
          </w:tcPr>
          <w:p w14:paraId="71FA10AB">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b/>
                <w:snapToGrid w:val="0"/>
                <w:color w:val="auto"/>
                <w:sz w:val="22"/>
                <w:szCs w:val="22"/>
                <w:highlight w:val="none"/>
              </w:rPr>
              <w:sym w:font="Wingdings" w:char="F0FE"/>
            </w:r>
            <w:r>
              <w:rPr>
                <w:rFonts w:hint="eastAsia" w:ascii="新宋体" w:hAnsi="新宋体" w:eastAsia="新宋体" w:cs="新宋体"/>
                <w:color w:val="auto"/>
                <w:kern w:val="0"/>
                <w:sz w:val="22"/>
                <w:szCs w:val="22"/>
                <w:highlight w:val="none"/>
              </w:rPr>
              <w:t xml:space="preserve">不提交 </w:t>
            </w:r>
          </w:p>
        </w:tc>
      </w:tr>
      <w:tr w14:paraId="326C7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14:paraId="53EDB401">
            <w:pPr>
              <w:spacing w:line="300" w:lineRule="exact"/>
              <w:jc w:val="center"/>
              <w:rPr>
                <w:rFonts w:hint="default" w:ascii="新宋体" w:hAnsi="新宋体" w:eastAsia="新宋体" w:cs="新宋体"/>
                <w:bCs/>
                <w:color w:val="auto"/>
                <w:kern w:val="2"/>
                <w:sz w:val="22"/>
                <w:szCs w:val="22"/>
                <w:highlight w:val="none"/>
                <w:lang w:val="en-US" w:eastAsia="zh-CN" w:bidi="ar-SA"/>
              </w:rPr>
            </w:pPr>
            <w:r>
              <w:rPr>
                <w:rFonts w:hint="eastAsia" w:ascii="新宋体" w:hAnsi="新宋体" w:eastAsia="新宋体" w:cs="新宋体"/>
                <w:color w:val="auto"/>
                <w:kern w:val="0"/>
                <w:sz w:val="22"/>
                <w:szCs w:val="22"/>
                <w:highlight w:val="none"/>
                <w:lang w:val="en-US" w:eastAsia="zh-CN"/>
              </w:rPr>
              <w:t>30</w:t>
            </w:r>
          </w:p>
        </w:tc>
        <w:tc>
          <w:tcPr>
            <w:tcW w:w="1750" w:type="dxa"/>
            <w:tcBorders>
              <w:top w:val="single" w:color="auto" w:sz="4" w:space="0"/>
              <w:left w:val="single" w:color="auto" w:sz="4" w:space="0"/>
              <w:bottom w:val="single" w:color="auto" w:sz="4" w:space="0"/>
              <w:right w:val="single" w:color="auto" w:sz="4" w:space="0"/>
            </w:tcBorders>
            <w:vAlign w:val="center"/>
          </w:tcPr>
          <w:p w14:paraId="02C9A06E">
            <w:pPr>
              <w:spacing w:line="312"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投标供应商信用查询</w:t>
            </w:r>
          </w:p>
        </w:tc>
        <w:tc>
          <w:tcPr>
            <w:tcW w:w="7310" w:type="dxa"/>
            <w:tcBorders>
              <w:top w:val="single" w:color="auto" w:sz="4" w:space="0"/>
              <w:left w:val="single" w:color="auto" w:sz="4" w:space="0"/>
              <w:bottom w:val="single" w:color="auto" w:sz="4" w:space="0"/>
              <w:right w:val="single" w:color="auto" w:sz="4" w:space="0"/>
            </w:tcBorders>
            <w:vAlign w:val="center"/>
          </w:tcPr>
          <w:p w14:paraId="47F476AB">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（1）供应商信用信息查询的查询渠道：“信用中国”(www.creditchina.gov.cn)；“中国政府采购网”（http://www.ccgp.gov.cn/）；</w:t>
            </w:r>
          </w:p>
          <w:p w14:paraId="49F884DC">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（2）供应商信用信息查询截止时点：本项目递交</w:t>
            </w:r>
            <w:r>
              <w:rPr>
                <w:rFonts w:hint="eastAsia" w:ascii="新宋体" w:hAnsi="新宋体" w:eastAsia="新宋体" w:cs="新宋体"/>
                <w:color w:val="auto"/>
                <w:kern w:val="0"/>
                <w:sz w:val="22"/>
                <w:szCs w:val="22"/>
                <w:highlight w:val="none"/>
                <w:lang w:eastAsia="zh-CN"/>
              </w:rPr>
              <w:t>投标</w:t>
            </w:r>
            <w:r>
              <w:rPr>
                <w:rFonts w:hint="eastAsia" w:ascii="新宋体" w:hAnsi="新宋体" w:eastAsia="新宋体" w:cs="新宋体"/>
                <w:color w:val="auto"/>
                <w:kern w:val="0"/>
                <w:sz w:val="22"/>
                <w:szCs w:val="22"/>
                <w:highlight w:val="none"/>
              </w:rPr>
              <w:t>文件截止时间。</w:t>
            </w:r>
          </w:p>
          <w:p w14:paraId="6AA604BC">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（3）供应商信用信息查询记录和证据留存的具体方式：网页截图打印；</w:t>
            </w:r>
          </w:p>
          <w:p w14:paraId="361D5BE0">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（4）信用信息的使用规则：</w:t>
            </w:r>
          </w:p>
          <w:p w14:paraId="68BE3CA8">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①在“信用中国”具有负面记录：列入失信被执行人、重大税收违法失信主体、政府采购严重违法失信行为名单；</w:t>
            </w:r>
          </w:p>
          <w:p w14:paraId="25421272">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②被“中国政府采购网”(www.ccgp.gov.cn)列入政府采购严重违法失信行为记录名单。</w:t>
            </w:r>
          </w:p>
          <w:p w14:paraId="2CB28A75">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（5）具有以上（4）所述信息记录的供应商，其投标做无效投标处理。</w:t>
            </w:r>
          </w:p>
          <w:p w14:paraId="4F9697C2">
            <w:pPr>
              <w:spacing w:line="312" w:lineRule="auto"/>
              <w:jc w:val="left"/>
              <w:rPr>
                <w:rFonts w:hint="eastAsia" w:ascii="新宋体" w:hAnsi="新宋体" w:eastAsia="新宋体" w:cs="新宋体"/>
                <w:b w:val="0"/>
                <w:bCs/>
                <w:color w:val="auto"/>
                <w:sz w:val="22"/>
                <w:szCs w:val="22"/>
                <w:highlight w:val="none"/>
              </w:rPr>
            </w:pPr>
            <w:r>
              <w:rPr>
                <w:rFonts w:hint="eastAsia" w:ascii="新宋体" w:hAnsi="新宋体" w:eastAsia="新宋体" w:cs="新宋体"/>
                <w:color w:val="auto"/>
                <w:kern w:val="0"/>
                <w:sz w:val="22"/>
                <w:szCs w:val="22"/>
                <w:highlight w:val="none"/>
              </w:rPr>
              <w:t>（6）具体结果以开标当日采购代理机构对</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信用查询网页的查询结果为准。</w:t>
            </w:r>
            <w:r>
              <w:rPr>
                <w:rFonts w:hint="eastAsia" w:ascii="新宋体" w:hAnsi="新宋体" w:eastAsia="新宋体" w:cs="新宋体"/>
                <w:b w:val="0"/>
                <w:bCs/>
                <w:color w:val="auto"/>
                <w:sz w:val="22"/>
                <w:szCs w:val="22"/>
                <w:highlight w:val="none"/>
              </w:rPr>
              <w:t>如相关失信记录已失效，</w:t>
            </w:r>
            <w:r>
              <w:rPr>
                <w:rFonts w:hint="eastAsia" w:ascii="新宋体" w:hAnsi="新宋体" w:eastAsia="新宋体" w:cs="新宋体"/>
                <w:b w:val="0"/>
                <w:bCs/>
                <w:color w:val="auto"/>
                <w:sz w:val="22"/>
                <w:szCs w:val="22"/>
                <w:highlight w:val="none"/>
                <w:lang w:eastAsia="zh-CN"/>
              </w:rPr>
              <w:t>投标供应商</w:t>
            </w:r>
            <w:r>
              <w:rPr>
                <w:rFonts w:hint="eastAsia" w:ascii="新宋体" w:hAnsi="新宋体" w:eastAsia="新宋体" w:cs="新宋体"/>
                <w:b w:val="0"/>
                <w:bCs/>
                <w:color w:val="auto"/>
                <w:sz w:val="22"/>
                <w:szCs w:val="22"/>
                <w:highlight w:val="none"/>
              </w:rPr>
              <w:t>需提供相关证明资料。</w:t>
            </w:r>
          </w:p>
          <w:p w14:paraId="31A227F0">
            <w:pPr>
              <w:pStyle w:val="29"/>
              <w:ind w:left="0" w:leftChars="0" w:firstLine="0" w:firstLineChars="0"/>
              <w:rPr>
                <w:rFonts w:hint="eastAsia"/>
                <w:color w:val="auto"/>
                <w:highlight w:val="none"/>
              </w:rPr>
            </w:pPr>
            <w:r>
              <w:rPr>
                <w:rFonts w:hint="eastAsia" w:ascii="新宋体" w:hAnsi="新宋体" w:eastAsia="新宋体" w:cs="新宋体"/>
                <w:bCs/>
                <w:color w:val="auto"/>
                <w:sz w:val="22"/>
                <w:szCs w:val="22"/>
                <w:highlight w:val="none"/>
              </w:rPr>
              <w:t>（7）联合体成员存在上述不良信用记录的，视同联合体存在不良信用记录。</w:t>
            </w:r>
          </w:p>
        </w:tc>
      </w:tr>
      <w:tr w14:paraId="7E166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14:paraId="587F6475">
            <w:pPr>
              <w:spacing w:line="300" w:lineRule="exact"/>
              <w:jc w:val="center"/>
              <w:rPr>
                <w:rFonts w:hint="default"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rPr>
              <w:t>3</w:t>
            </w:r>
            <w:r>
              <w:rPr>
                <w:rFonts w:hint="eastAsia" w:ascii="新宋体" w:hAnsi="新宋体" w:eastAsia="新宋体" w:cs="新宋体"/>
                <w:color w:val="auto"/>
                <w:kern w:val="0"/>
                <w:sz w:val="22"/>
                <w:szCs w:val="22"/>
                <w:highlight w:val="none"/>
                <w:lang w:val="en-US" w:eastAsia="zh-CN"/>
              </w:rPr>
              <w:t>1</w:t>
            </w:r>
          </w:p>
        </w:tc>
        <w:tc>
          <w:tcPr>
            <w:tcW w:w="1750" w:type="dxa"/>
            <w:tcBorders>
              <w:top w:val="single" w:color="auto" w:sz="4" w:space="0"/>
              <w:left w:val="single" w:color="auto" w:sz="4" w:space="0"/>
              <w:bottom w:val="single" w:color="auto" w:sz="4" w:space="0"/>
              <w:right w:val="single" w:color="auto" w:sz="4" w:space="0"/>
            </w:tcBorders>
            <w:vAlign w:val="center"/>
          </w:tcPr>
          <w:p w14:paraId="0374B70B">
            <w:pPr>
              <w:spacing w:line="312" w:lineRule="auto"/>
              <w:jc w:val="center"/>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合同备案</w:t>
            </w:r>
          </w:p>
        </w:tc>
        <w:tc>
          <w:tcPr>
            <w:tcW w:w="7310" w:type="dxa"/>
            <w:tcBorders>
              <w:top w:val="single" w:color="auto" w:sz="4" w:space="0"/>
              <w:left w:val="single" w:color="auto" w:sz="4" w:space="0"/>
              <w:bottom w:val="single" w:color="auto" w:sz="4" w:space="0"/>
              <w:right w:val="single" w:color="auto" w:sz="4" w:space="0"/>
            </w:tcBorders>
            <w:vAlign w:val="center"/>
          </w:tcPr>
          <w:p w14:paraId="1696C25F">
            <w:pPr>
              <w:spacing w:line="312"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eastAsia="zh-CN"/>
              </w:rPr>
              <w:t>中标人</w:t>
            </w:r>
            <w:r>
              <w:rPr>
                <w:rFonts w:hint="eastAsia" w:ascii="新宋体" w:hAnsi="新宋体" w:eastAsia="新宋体" w:cs="新宋体"/>
                <w:color w:val="auto"/>
                <w:sz w:val="22"/>
                <w:szCs w:val="22"/>
                <w:highlight w:val="none"/>
              </w:rPr>
              <w:t>须在中标通知书发出之日起30日历天内与采购人签订合同。</w:t>
            </w:r>
          </w:p>
          <w:p w14:paraId="6BB1F2F0">
            <w:pPr>
              <w:spacing w:line="312" w:lineRule="auto"/>
              <w:jc w:val="left"/>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eastAsia="zh-CN"/>
              </w:rPr>
              <w:t>中标人</w:t>
            </w:r>
            <w:r>
              <w:rPr>
                <w:rFonts w:hint="eastAsia" w:ascii="新宋体" w:hAnsi="新宋体" w:eastAsia="新宋体" w:cs="新宋体"/>
                <w:color w:val="auto"/>
                <w:sz w:val="22"/>
                <w:szCs w:val="22"/>
                <w:highlight w:val="none"/>
              </w:rPr>
              <w:t>与采购人签订合同后，2日历天内将合同扫描件电子版发给采购代理机构：邮箱：</w:t>
            </w:r>
            <w:r>
              <w:rPr>
                <w:rFonts w:hint="eastAsia" w:ascii="新宋体" w:hAnsi="新宋体" w:eastAsia="新宋体" w:cs="新宋体"/>
                <w:b w:val="0"/>
                <w:bCs/>
                <w:color w:val="auto"/>
                <w:sz w:val="22"/>
                <w:szCs w:val="22"/>
                <w:highlight w:val="none"/>
                <w:u w:val="single"/>
                <w:lang w:eastAsia="zh-CN"/>
              </w:rPr>
              <w:t>53514766@qq.com</w:t>
            </w:r>
            <w:r>
              <w:rPr>
                <w:rFonts w:hint="eastAsia" w:ascii="新宋体" w:hAnsi="新宋体" w:eastAsia="新宋体" w:cs="新宋体"/>
                <w:b w:val="0"/>
                <w:bCs/>
                <w:color w:val="auto"/>
                <w:sz w:val="22"/>
                <w:szCs w:val="22"/>
                <w:highlight w:val="none"/>
              </w:rPr>
              <w:t>。</w:t>
            </w:r>
          </w:p>
        </w:tc>
      </w:tr>
      <w:tr w14:paraId="08DE0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14:paraId="02B147D8">
            <w:pPr>
              <w:spacing w:line="300" w:lineRule="exact"/>
              <w:jc w:val="center"/>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rPr>
              <w:t>3</w:t>
            </w:r>
            <w:r>
              <w:rPr>
                <w:rFonts w:hint="eastAsia" w:ascii="新宋体" w:hAnsi="新宋体" w:eastAsia="新宋体" w:cs="新宋体"/>
                <w:color w:val="auto"/>
                <w:kern w:val="0"/>
                <w:sz w:val="22"/>
                <w:szCs w:val="22"/>
                <w:highlight w:val="none"/>
                <w:lang w:val="en-US" w:eastAsia="zh-CN"/>
              </w:rPr>
              <w:t>2</w:t>
            </w:r>
          </w:p>
        </w:tc>
        <w:tc>
          <w:tcPr>
            <w:tcW w:w="1750" w:type="dxa"/>
            <w:tcBorders>
              <w:top w:val="single" w:color="auto" w:sz="4" w:space="0"/>
              <w:left w:val="single" w:color="auto" w:sz="4" w:space="0"/>
              <w:bottom w:val="single" w:color="auto" w:sz="4" w:space="0"/>
              <w:right w:val="single" w:color="auto" w:sz="4" w:space="0"/>
            </w:tcBorders>
            <w:vAlign w:val="center"/>
          </w:tcPr>
          <w:p w14:paraId="32D16A66">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注意事项</w:t>
            </w:r>
          </w:p>
        </w:tc>
        <w:tc>
          <w:tcPr>
            <w:tcW w:w="7310" w:type="dxa"/>
            <w:tcBorders>
              <w:top w:val="single" w:color="auto" w:sz="4" w:space="0"/>
              <w:left w:val="single" w:color="auto" w:sz="4" w:space="0"/>
              <w:bottom w:val="single" w:color="auto" w:sz="4" w:space="0"/>
              <w:right w:val="single" w:color="auto" w:sz="4" w:space="0"/>
            </w:tcBorders>
            <w:vAlign w:val="center"/>
          </w:tcPr>
          <w:p w14:paraId="68CD78BC">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kern w:val="0"/>
                <w:sz w:val="22"/>
                <w:szCs w:val="22"/>
                <w:highlight w:val="none"/>
              </w:rPr>
              <w:t>本采购文件中如有前后不一致的，一律以本《投标供应商须知前附表》规定为准；</w:t>
            </w:r>
          </w:p>
          <w:p w14:paraId="5FC74F7F">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kern w:val="0"/>
                <w:sz w:val="22"/>
                <w:szCs w:val="22"/>
                <w:highlight w:val="none"/>
              </w:rPr>
              <w:t>本采购文件涉及的时间为“北京时间”；</w:t>
            </w:r>
          </w:p>
          <w:p w14:paraId="58069F24">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kern w:val="0"/>
                <w:sz w:val="22"/>
                <w:szCs w:val="22"/>
                <w:highlight w:val="none"/>
              </w:rPr>
              <w:t>本采购文件涉及的货币为“人民币”；</w:t>
            </w:r>
          </w:p>
          <w:p w14:paraId="7EA18BB1">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（4）</w:t>
            </w:r>
            <w:r>
              <w:rPr>
                <w:rFonts w:hint="eastAsia" w:ascii="新宋体" w:hAnsi="新宋体" w:eastAsia="新宋体" w:cs="新宋体"/>
                <w:color w:val="auto"/>
                <w:kern w:val="0"/>
                <w:sz w:val="22"/>
                <w:szCs w:val="22"/>
                <w:highlight w:val="none"/>
              </w:rPr>
              <w:t>采购文件资料费用：根据省物价局有关文件规定，采购代理机构将收取本项目采购文件的编制费,金额详见</w:t>
            </w:r>
            <w:r>
              <w:rPr>
                <w:rFonts w:hint="eastAsia" w:ascii="新宋体" w:hAnsi="新宋体" w:eastAsia="新宋体" w:cs="新宋体"/>
                <w:color w:val="auto"/>
                <w:sz w:val="22"/>
                <w:szCs w:val="22"/>
                <w:highlight w:val="none"/>
              </w:rPr>
              <w:t>采购公告规定</w:t>
            </w:r>
            <w:r>
              <w:rPr>
                <w:rFonts w:hint="eastAsia" w:ascii="新宋体" w:hAnsi="新宋体" w:eastAsia="新宋体" w:cs="新宋体"/>
                <w:color w:val="auto"/>
                <w:kern w:val="0"/>
                <w:sz w:val="22"/>
                <w:szCs w:val="22"/>
                <w:highlight w:val="none"/>
              </w:rPr>
              <w:t>。</w:t>
            </w:r>
          </w:p>
          <w:p w14:paraId="7C5EF081">
            <w:pPr>
              <w:spacing w:line="3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5</w:t>
            </w:r>
            <w:r>
              <w:rPr>
                <w:rFonts w:hint="eastAsia" w:ascii="新宋体" w:hAnsi="新宋体" w:eastAsia="新宋体" w:cs="新宋体"/>
                <w:color w:val="auto"/>
                <w:kern w:val="0"/>
                <w:sz w:val="22"/>
                <w:szCs w:val="22"/>
                <w:highlight w:val="none"/>
              </w:rPr>
              <w:t>）本项目</w:t>
            </w:r>
            <w:r>
              <w:rPr>
                <w:rFonts w:hint="eastAsia" w:ascii="新宋体" w:hAnsi="新宋体" w:eastAsia="新宋体" w:cs="新宋体"/>
                <w:color w:val="auto"/>
                <w:kern w:val="0"/>
                <w:sz w:val="22"/>
                <w:szCs w:val="22"/>
                <w:highlight w:val="none"/>
                <w:lang w:eastAsia="zh-CN"/>
              </w:rPr>
              <w:t>中标人</w:t>
            </w:r>
            <w:r>
              <w:rPr>
                <w:rFonts w:hint="eastAsia" w:ascii="新宋体" w:hAnsi="新宋体" w:eastAsia="新宋体" w:cs="新宋体"/>
                <w:color w:val="auto"/>
                <w:kern w:val="0"/>
                <w:sz w:val="22"/>
                <w:szCs w:val="22"/>
                <w:highlight w:val="none"/>
              </w:rPr>
              <w:t>在领取中标（成交）通知书时，须提供一正</w:t>
            </w:r>
            <w:r>
              <w:rPr>
                <w:rFonts w:hint="eastAsia" w:ascii="新宋体" w:hAnsi="新宋体" w:eastAsia="新宋体" w:cs="新宋体"/>
                <w:color w:val="auto"/>
                <w:kern w:val="0"/>
                <w:sz w:val="22"/>
                <w:szCs w:val="22"/>
                <w:highlight w:val="none"/>
                <w:lang w:val="en-US" w:eastAsia="zh-CN"/>
              </w:rPr>
              <w:t>两</w:t>
            </w:r>
            <w:r>
              <w:rPr>
                <w:rFonts w:hint="eastAsia" w:ascii="新宋体" w:hAnsi="新宋体" w:eastAsia="新宋体" w:cs="新宋体"/>
                <w:color w:val="auto"/>
                <w:kern w:val="0"/>
                <w:sz w:val="22"/>
                <w:szCs w:val="22"/>
                <w:highlight w:val="none"/>
              </w:rPr>
              <w:t>副的投标文件以及U盘（两个）形式提供投标文件正本（</w:t>
            </w:r>
            <w:r>
              <w:rPr>
                <w:rFonts w:hint="eastAsia" w:ascii="新宋体" w:hAnsi="新宋体" w:eastAsia="新宋体" w:cs="新宋体"/>
                <w:color w:val="auto"/>
                <w:kern w:val="0"/>
                <w:sz w:val="22"/>
                <w:szCs w:val="22"/>
                <w:highlight w:val="none"/>
                <w:lang w:val="en-US" w:eastAsia="zh-CN"/>
              </w:rPr>
              <w:t>签字/</w:t>
            </w:r>
            <w:r>
              <w:rPr>
                <w:rFonts w:hint="eastAsia" w:ascii="新宋体" w:hAnsi="新宋体" w:eastAsia="新宋体" w:cs="新宋体"/>
                <w:color w:val="auto"/>
                <w:kern w:val="0"/>
                <w:sz w:val="22"/>
                <w:szCs w:val="22"/>
                <w:highlight w:val="none"/>
              </w:rPr>
              <w:t>盖章）版扫描件给采购代理机构。</w:t>
            </w:r>
          </w:p>
          <w:p w14:paraId="4C6F4735">
            <w:pPr>
              <w:spacing w:line="300" w:lineRule="exac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lang w:val="en-US" w:eastAsia="zh-CN"/>
              </w:rPr>
              <w:t>6</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lang w:val="en-US" w:eastAsia="zh-CN"/>
              </w:rPr>
              <w:t>本项目属于服务类采购项目。</w:t>
            </w:r>
          </w:p>
        </w:tc>
      </w:tr>
      <w:tr w14:paraId="17723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794" w:type="dxa"/>
            <w:tcBorders>
              <w:top w:val="single" w:color="auto" w:sz="4" w:space="0"/>
              <w:left w:val="single" w:color="auto" w:sz="4" w:space="0"/>
              <w:bottom w:val="single" w:color="auto" w:sz="4" w:space="0"/>
              <w:right w:val="single" w:color="auto" w:sz="4" w:space="0"/>
            </w:tcBorders>
            <w:vAlign w:val="center"/>
          </w:tcPr>
          <w:p w14:paraId="1934F1B0">
            <w:pPr>
              <w:spacing w:line="300" w:lineRule="exact"/>
              <w:jc w:val="center"/>
              <w:rPr>
                <w:rFonts w:hint="default"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33</w:t>
            </w:r>
          </w:p>
        </w:tc>
        <w:tc>
          <w:tcPr>
            <w:tcW w:w="1750" w:type="dxa"/>
            <w:tcBorders>
              <w:top w:val="single" w:color="auto" w:sz="4" w:space="0"/>
              <w:left w:val="single" w:color="auto" w:sz="4" w:space="0"/>
              <w:bottom w:val="single" w:color="auto" w:sz="4" w:space="0"/>
              <w:right w:val="single" w:color="auto" w:sz="4" w:space="0"/>
            </w:tcBorders>
            <w:vAlign w:val="center"/>
          </w:tcPr>
          <w:p w14:paraId="5D1C1DDF">
            <w:pPr>
              <w:spacing w:line="300" w:lineRule="exact"/>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解释顺序</w:t>
            </w:r>
          </w:p>
        </w:tc>
        <w:tc>
          <w:tcPr>
            <w:tcW w:w="7310" w:type="dxa"/>
            <w:tcBorders>
              <w:top w:val="single" w:color="auto" w:sz="4" w:space="0"/>
              <w:left w:val="single" w:color="auto" w:sz="4" w:space="0"/>
              <w:bottom w:val="single" w:color="auto" w:sz="4" w:space="0"/>
              <w:right w:val="single" w:color="auto" w:sz="4" w:space="0"/>
            </w:tcBorders>
            <w:vAlign w:val="center"/>
          </w:tcPr>
          <w:p w14:paraId="734C73CC">
            <w:pPr>
              <w:snapToGrid w:val="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（1）如投标供应商须知与投标供应商须知前附表内容不一致的，以投标供应商须知前附表为准。</w:t>
            </w:r>
          </w:p>
          <w:p w14:paraId="491CA403">
            <w:pPr>
              <w:snapToGrid w:val="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（2）发布采购公告的媒介网站供下载的采购文件与纸质采购文件不一致的，以上传至网站的采购文件为准。</w:t>
            </w:r>
          </w:p>
          <w:p w14:paraId="5D2029CD">
            <w:pPr>
              <w:snapToGrid w:val="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（3）构成本采购文件的各个组成文件应互为解释，互为说明；如有不明确或不一致，构成合同文件组成内容的，以</w:t>
            </w:r>
            <w:r>
              <w:rPr>
                <w:rFonts w:hint="eastAsia" w:ascii="新宋体" w:hAnsi="新宋体" w:eastAsia="新宋体" w:cs="新宋体"/>
                <w:color w:val="auto"/>
                <w:sz w:val="22"/>
                <w:szCs w:val="22"/>
                <w:highlight w:val="none"/>
                <w:lang w:eastAsia="zh-CN"/>
              </w:rPr>
              <w:t>合同条款及格式</w:t>
            </w:r>
            <w:r>
              <w:rPr>
                <w:rFonts w:hint="eastAsia" w:ascii="新宋体" w:hAnsi="新宋体" w:eastAsia="新宋体" w:cs="新宋体"/>
                <w:color w:val="auto"/>
                <w:sz w:val="22"/>
                <w:szCs w:val="22"/>
                <w:highlight w:val="none"/>
              </w:rPr>
              <w:t>约定内容为准，且以</w:t>
            </w:r>
            <w:r>
              <w:rPr>
                <w:rFonts w:hint="eastAsia" w:ascii="新宋体" w:hAnsi="新宋体" w:eastAsia="新宋体" w:cs="新宋体"/>
                <w:color w:val="auto"/>
                <w:sz w:val="22"/>
                <w:szCs w:val="22"/>
                <w:highlight w:val="none"/>
                <w:lang w:eastAsia="zh-CN"/>
              </w:rPr>
              <w:t>合同条款及格式</w:t>
            </w:r>
            <w:r>
              <w:rPr>
                <w:rFonts w:hint="eastAsia" w:ascii="新宋体" w:hAnsi="新宋体" w:eastAsia="新宋体" w:cs="新宋体"/>
                <w:color w:val="auto"/>
                <w:sz w:val="22"/>
                <w:szCs w:val="22"/>
                <w:highlight w:val="none"/>
              </w:rPr>
              <w:t>约定的合同文件优先顺序解释；在采购投标阶段，按采购公告、投标供应商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采购人负责解释。</w:t>
            </w:r>
          </w:p>
        </w:tc>
      </w:tr>
    </w:tbl>
    <w:p w14:paraId="329BC1B0">
      <w:pPr>
        <w:pStyle w:val="3"/>
        <w:overflowPunct w:val="0"/>
        <w:rPr>
          <w:rFonts w:hint="eastAsia" w:ascii="新宋体" w:hAnsi="新宋体" w:eastAsia="新宋体" w:cs="新宋体"/>
          <w:color w:val="auto"/>
          <w:sz w:val="36"/>
          <w:szCs w:val="36"/>
          <w:highlight w:val="none"/>
        </w:rPr>
      </w:pPr>
      <w:bookmarkStart w:id="33" w:name="_Toc221356882"/>
      <w:bookmarkStart w:id="34" w:name="_Toc221423615"/>
      <w:bookmarkStart w:id="35" w:name="_Toc222114875"/>
      <w:bookmarkStart w:id="36" w:name="_Toc245722277"/>
      <w:bookmarkStart w:id="37" w:name="_Toc239145350"/>
      <w:bookmarkStart w:id="38" w:name="_Toc241404198"/>
      <w:bookmarkStart w:id="39" w:name="_Toc245191310"/>
      <w:bookmarkStart w:id="40" w:name="_Toc223715994"/>
      <w:bookmarkStart w:id="41" w:name="_Toc221374622"/>
      <w:bookmarkStart w:id="42" w:name="_Toc251592733"/>
      <w:bookmarkStart w:id="43" w:name="_Toc251325210"/>
      <w:bookmarkStart w:id="44" w:name="_Toc246261261"/>
      <w:bookmarkStart w:id="45" w:name="_Toc252194848"/>
      <w:bookmarkStart w:id="46" w:name="_Toc221356947"/>
      <w:r>
        <w:rPr>
          <w:rFonts w:hint="eastAsia" w:ascii="新宋体" w:hAnsi="新宋体" w:eastAsia="新宋体" w:cs="新宋体"/>
          <w:color w:val="auto"/>
          <w:sz w:val="36"/>
          <w:szCs w:val="36"/>
          <w:highlight w:val="none"/>
        </w:rPr>
        <w:br w:type="page"/>
      </w:r>
      <w:bookmarkStart w:id="47" w:name="_Toc1566"/>
      <w:bookmarkStart w:id="48" w:name="_Toc75948397"/>
      <w:bookmarkStart w:id="49" w:name="_Toc8514"/>
      <w:r>
        <w:rPr>
          <w:rFonts w:hint="eastAsia" w:ascii="新宋体" w:hAnsi="新宋体" w:eastAsia="新宋体" w:cs="新宋体"/>
          <w:b w:val="0"/>
          <w:bCs w:val="0"/>
          <w:color w:val="auto"/>
          <w:sz w:val="36"/>
          <w:szCs w:val="36"/>
          <w:highlight w:val="none"/>
        </w:rPr>
        <w:t>第一部分    投标供应商须知</w:t>
      </w:r>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p w14:paraId="0172FD01">
      <w:pPr>
        <w:overflowPunct w:val="0"/>
        <w:spacing w:before="100" w:beforeAutospacing="1" w:after="100" w:afterAutospacing="1" w:line="440" w:lineRule="exact"/>
        <w:jc w:val="center"/>
        <w:outlineLvl w:val="0"/>
        <w:rPr>
          <w:rFonts w:hint="eastAsia" w:ascii="新宋体" w:hAnsi="新宋体" w:eastAsia="新宋体" w:cs="新宋体"/>
          <w:b/>
          <w:bCs/>
          <w:color w:val="auto"/>
          <w:sz w:val="26"/>
          <w:szCs w:val="26"/>
          <w:highlight w:val="none"/>
        </w:rPr>
      </w:pPr>
      <w:bookmarkStart w:id="50" w:name="_Toc246261262"/>
      <w:bookmarkStart w:id="51" w:name="_Toc223715995"/>
      <w:bookmarkStart w:id="52" w:name="_Toc222114876"/>
      <w:bookmarkStart w:id="53" w:name="_Toc251592734"/>
      <w:bookmarkStart w:id="54" w:name="_Toc1707"/>
      <w:bookmarkStart w:id="55" w:name="_Toc239145351"/>
      <w:bookmarkStart w:id="56" w:name="_Toc245191311"/>
      <w:bookmarkStart w:id="57" w:name="_Toc241404199"/>
      <w:bookmarkStart w:id="58" w:name="_Toc251325211"/>
      <w:bookmarkStart w:id="59" w:name="_Toc245722278"/>
      <w:bookmarkStart w:id="60" w:name="_Toc75948398"/>
      <w:bookmarkStart w:id="61" w:name="_Toc221374623"/>
      <w:bookmarkStart w:id="62" w:name="_Toc252194849"/>
      <w:bookmarkStart w:id="63" w:name="_Toc221356948"/>
      <w:bookmarkStart w:id="64" w:name="_Toc31127"/>
      <w:bookmarkStart w:id="65" w:name="_Toc221423616"/>
      <w:bookmarkStart w:id="66" w:name="_Toc221356883"/>
      <w:r>
        <w:rPr>
          <w:rFonts w:hint="eastAsia" w:ascii="新宋体" w:hAnsi="新宋体" w:eastAsia="新宋体" w:cs="新宋体"/>
          <w:b/>
          <w:bCs/>
          <w:color w:val="auto"/>
          <w:sz w:val="26"/>
          <w:szCs w:val="26"/>
          <w:highlight w:val="none"/>
        </w:rPr>
        <w:t>一、  说明</w:t>
      </w:r>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p w14:paraId="4EBBF669">
      <w:pPr>
        <w:numPr>
          <w:ilvl w:val="0"/>
          <w:numId w:val="2"/>
        </w:numPr>
        <w:tabs>
          <w:tab w:val="left" w:pos="540"/>
          <w:tab w:val="left" w:pos="900"/>
          <w:tab w:val="clear" w:pos="420"/>
        </w:tabs>
        <w:overflowPunct w:val="0"/>
        <w:spacing w:line="460" w:lineRule="exact"/>
        <w:ind w:left="540" w:hanging="54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本次采购是按照《</w:t>
      </w:r>
      <w:r>
        <w:rPr>
          <w:rFonts w:hint="eastAsia" w:ascii="新宋体" w:hAnsi="新宋体" w:eastAsia="新宋体" w:cs="新宋体"/>
          <w:color w:val="auto"/>
          <w:kern w:val="0"/>
          <w:sz w:val="22"/>
          <w:szCs w:val="22"/>
          <w:highlight w:val="none"/>
          <w:lang w:eastAsia="zh-CN"/>
        </w:rPr>
        <w:t>温州市市属国有企业采购管理办法</w:t>
      </w:r>
      <w:r>
        <w:rPr>
          <w:rFonts w:hint="eastAsia" w:ascii="新宋体" w:hAnsi="新宋体" w:eastAsia="新宋体" w:cs="新宋体"/>
          <w:color w:val="auto"/>
          <w:sz w:val="22"/>
          <w:szCs w:val="22"/>
          <w:highlight w:val="none"/>
        </w:rPr>
        <w:t>》等法律及有关法规组织和实施的。</w:t>
      </w:r>
    </w:p>
    <w:p w14:paraId="171C942A">
      <w:pPr>
        <w:numPr>
          <w:ilvl w:val="0"/>
          <w:numId w:val="2"/>
        </w:numPr>
        <w:tabs>
          <w:tab w:val="left" w:pos="540"/>
          <w:tab w:val="left" w:pos="900"/>
          <w:tab w:val="clear" w:pos="420"/>
        </w:tabs>
        <w:overflowPunct w:val="0"/>
        <w:spacing w:line="460" w:lineRule="exact"/>
        <w:ind w:left="540" w:hanging="54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合格投标供应商要求，以本项目采购公告及《投标供应商须知前附表》表述为准。</w:t>
      </w:r>
    </w:p>
    <w:p w14:paraId="77FC4A6A">
      <w:pPr>
        <w:numPr>
          <w:ilvl w:val="0"/>
          <w:numId w:val="2"/>
        </w:numPr>
        <w:tabs>
          <w:tab w:val="left" w:pos="540"/>
          <w:tab w:val="left" w:pos="900"/>
          <w:tab w:val="clear" w:pos="420"/>
        </w:tabs>
        <w:overflowPunct w:val="0"/>
        <w:spacing w:line="460" w:lineRule="exact"/>
        <w:ind w:left="540" w:hanging="54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投标供应商代表</w:t>
      </w:r>
    </w:p>
    <w:p w14:paraId="7C670B26">
      <w:pPr>
        <w:overflowPunct w:val="0"/>
        <w:spacing w:line="460" w:lineRule="exact"/>
        <w:ind w:left="548" w:leftChars="26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指全权代表投标供应商参加投标活动并签署（签字或盖章）投标文件的人，如果投标供应商代表不是</w:t>
      </w:r>
      <w:r>
        <w:rPr>
          <w:rFonts w:hint="eastAsia" w:ascii="新宋体" w:hAnsi="新宋体" w:eastAsia="新宋体" w:cs="新宋体"/>
          <w:color w:val="auto"/>
          <w:sz w:val="22"/>
          <w:szCs w:val="22"/>
          <w:highlight w:val="none"/>
          <w:lang w:eastAsia="zh-CN"/>
        </w:rPr>
        <w:t>法定代表人（负责人）</w:t>
      </w:r>
      <w:r>
        <w:rPr>
          <w:rFonts w:hint="eastAsia" w:ascii="新宋体" w:hAnsi="新宋体" w:eastAsia="新宋体" w:cs="新宋体"/>
          <w:color w:val="auto"/>
          <w:sz w:val="22"/>
          <w:szCs w:val="22"/>
          <w:highlight w:val="none"/>
        </w:rPr>
        <w:t>，须持有《</w:t>
      </w:r>
      <w:r>
        <w:rPr>
          <w:rFonts w:hint="eastAsia" w:ascii="新宋体" w:hAnsi="新宋体" w:eastAsia="新宋体" w:cs="新宋体"/>
          <w:color w:val="auto"/>
          <w:sz w:val="22"/>
          <w:szCs w:val="22"/>
          <w:highlight w:val="none"/>
          <w:lang w:eastAsia="zh-CN"/>
        </w:rPr>
        <w:t>法定代表人（负责人）</w:t>
      </w:r>
      <w:r>
        <w:rPr>
          <w:rFonts w:hint="eastAsia" w:ascii="新宋体" w:hAnsi="新宋体" w:eastAsia="新宋体" w:cs="新宋体"/>
          <w:color w:val="auto"/>
          <w:sz w:val="22"/>
          <w:szCs w:val="22"/>
          <w:highlight w:val="none"/>
        </w:rPr>
        <w:t>授权书》。</w:t>
      </w:r>
    </w:p>
    <w:p w14:paraId="647D5A96">
      <w:pPr>
        <w:numPr>
          <w:ilvl w:val="0"/>
          <w:numId w:val="2"/>
        </w:numPr>
        <w:tabs>
          <w:tab w:val="left" w:pos="540"/>
          <w:tab w:val="left" w:pos="900"/>
          <w:tab w:val="clear" w:pos="420"/>
        </w:tabs>
        <w:overflowPunct w:val="0"/>
        <w:spacing w:line="460" w:lineRule="exact"/>
        <w:ind w:left="540" w:hanging="54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投标费用</w:t>
      </w:r>
    </w:p>
    <w:p w14:paraId="5CACACF3">
      <w:pPr>
        <w:overflowPunct w:val="0"/>
        <w:spacing w:line="460" w:lineRule="exact"/>
        <w:ind w:left="548" w:leftChars="261"/>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投标供应商应承担所有与准备和参加投标有关费用，不论投标的结果如何，采购人和采购代理机构均无义务和责任承担这些费用。</w:t>
      </w:r>
    </w:p>
    <w:p w14:paraId="72B8F501">
      <w:pPr>
        <w:overflowPunct w:val="0"/>
        <w:spacing w:before="100" w:beforeAutospacing="1" w:after="100" w:afterAutospacing="1" w:line="440" w:lineRule="exact"/>
        <w:jc w:val="center"/>
        <w:outlineLvl w:val="0"/>
        <w:rPr>
          <w:rFonts w:hint="eastAsia" w:ascii="新宋体" w:hAnsi="新宋体" w:eastAsia="新宋体" w:cs="新宋体"/>
          <w:b/>
          <w:bCs/>
          <w:color w:val="auto"/>
          <w:sz w:val="26"/>
          <w:szCs w:val="26"/>
          <w:highlight w:val="none"/>
        </w:rPr>
      </w:pPr>
      <w:bookmarkStart w:id="67" w:name="_Toc246261263"/>
      <w:bookmarkStart w:id="68" w:name="_Toc221374624"/>
      <w:bookmarkStart w:id="69" w:name="_Toc251592735"/>
      <w:bookmarkStart w:id="70" w:name="_Toc241404200"/>
      <w:bookmarkStart w:id="71" w:name="_Toc17257"/>
      <w:bookmarkStart w:id="72" w:name="_Toc75948399"/>
      <w:bookmarkStart w:id="73" w:name="_Toc221356884"/>
      <w:bookmarkStart w:id="74" w:name="_Toc223715996"/>
      <w:bookmarkStart w:id="75" w:name="_Toc239145352"/>
      <w:bookmarkStart w:id="76" w:name="_Toc222114877"/>
      <w:bookmarkStart w:id="77" w:name="_Toc221356949"/>
      <w:bookmarkStart w:id="78" w:name="_Toc221423617"/>
      <w:bookmarkStart w:id="79" w:name="_Toc251325212"/>
      <w:bookmarkStart w:id="80" w:name="_Toc245722279"/>
      <w:bookmarkStart w:id="81" w:name="_Toc19062"/>
      <w:bookmarkStart w:id="82" w:name="_Toc245191312"/>
      <w:bookmarkStart w:id="83" w:name="_Toc252194850"/>
      <w:r>
        <w:rPr>
          <w:rFonts w:hint="eastAsia" w:ascii="新宋体" w:hAnsi="新宋体" w:eastAsia="新宋体" w:cs="新宋体"/>
          <w:b/>
          <w:bCs/>
          <w:color w:val="auto"/>
          <w:sz w:val="26"/>
          <w:szCs w:val="26"/>
          <w:highlight w:val="none"/>
        </w:rPr>
        <w:t>二、 采购文件</w:t>
      </w:r>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4EFB9245">
      <w:pPr>
        <w:numPr>
          <w:ilvl w:val="0"/>
          <w:numId w:val="3"/>
        </w:numPr>
        <w:tabs>
          <w:tab w:val="left" w:pos="420"/>
          <w:tab w:val="left" w:pos="540"/>
        </w:tabs>
        <w:spacing w:line="460" w:lineRule="exact"/>
        <w:ind w:left="540" w:hanging="54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采购文件由采购文件目录所列内容及相关资料组成。</w:t>
      </w:r>
    </w:p>
    <w:p w14:paraId="47F9C5E8">
      <w:pPr>
        <w:numPr>
          <w:ilvl w:val="0"/>
          <w:numId w:val="3"/>
        </w:numPr>
        <w:tabs>
          <w:tab w:val="left" w:pos="420"/>
          <w:tab w:val="left" w:pos="540"/>
        </w:tabs>
        <w:spacing w:line="460" w:lineRule="exact"/>
        <w:ind w:left="540" w:hanging="54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采购文件的澄清和质疑</w:t>
      </w:r>
    </w:p>
    <w:p w14:paraId="46366F02">
      <w:pPr>
        <w:overflowPunct w:val="0"/>
        <w:spacing w:line="460" w:lineRule="exact"/>
        <w:ind w:left="439" w:leftChars="20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供应商对采购文件如有疑点或未尽事宜要求澄清，或认为有必要进行说明或交流，投标供应商可以在知道或应知其权益受到损害之日起在采购公告发出之日（采购公告发布当天不算）起6日内，以书面形式（包括信函、传真、下同）向采购人提出质疑，但质疑不得迟于采购文件规定的询疑截止时间前使采购人收到，采购人将用书面形式予以答复。如有必要，可将不说明问题来源的答复发给各有关投标供应商或召开答疑会。如果标书答疑期内未收到有关疑问，视为投标供应商完全同意采购文件所有条款，如对于采购文件相关表述以及未尽事宜如有争议，以采购人解释为准。</w:t>
      </w:r>
    </w:p>
    <w:p w14:paraId="18597937">
      <w:pPr>
        <w:numPr>
          <w:ilvl w:val="0"/>
          <w:numId w:val="3"/>
        </w:numPr>
        <w:tabs>
          <w:tab w:val="left" w:pos="420"/>
          <w:tab w:val="left" w:pos="540"/>
        </w:tabs>
        <w:spacing w:line="460" w:lineRule="exact"/>
        <w:ind w:left="540" w:hanging="54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采购文件的修改</w:t>
      </w:r>
    </w:p>
    <w:p w14:paraId="3F8A3372">
      <w:pPr>
        <w:tabs>
          <w:tab w:val="left" w:pos="360"/>
          <w:tab w:val="left" w:pos="747"/>
        </w:tabs>
        <w:spacing w:line="460" w:lineRule="exact"/>
        <w:rPr>
          <w:rFonts w:hint="eastAsia" w:ascii="新宋体" w:hAnsi="新宋体" w:eastAsia="新宋体" w:cs="新宋体"/>
          <w:color w:val="auto"/>
          <w:sz w:val="22"/>
          <w:szCs w:val="22"/>
          <w:highlight w:val="none"/>
        </w:rPr>
      </w:pPr>
      <w:bookmarkStart w:id="84" w:name="_Toc12980"/>
      <w:bookmarkStart w:id="85" w:name="_Toc28399"/>
      <w:bookmarkStart w:id="86" w:name="_Toc221356885"/>
      <w:bookmarkStart w:id="87" w:name="_Toc221356950"/>
      <w:bookmarkStart w:id="88" w:name="_Toc222114878"/>
      <w:bookmarkStart w:id="89" w:name="_Toc252194851"/>
      <w:bookmarkStart w:id="90" w:name="_Toc245191313"/>
      <w:bookmarkStart w:id="91" w:name="_Toc223715997"/>
      <w:bookmarkStart w:id="92" w:name="_Toc221423618"/>
      <w:bookmarkStart w:id="93" w:name="_Toc75948400"/>
      <w:bookmarkStart w:id="94" w:name="_Toc251592736"/>
      <w:bookmarkStart w:id="95" w:name="_Toc251325213"/>
      <w:bookmarkStart w:id="96" w:name="_Toc221374625"/>
      <w:bookmarkStart w:id="97" w:name="_Toc239145353"/>
      <w:bookmarkStart w:id="98" w:name="_Toc246261264"/>
      <w:bookmarkStart w:id="99" w:name="_Toc245722280"/>
      <w:bookmarkStart w:id="100" w:name="_Toc241404201"/>
      <w:r>
        <w:rPr>
          <w:rFonts w:hint="eastAsia" w:ascii="新宋体" w:hAnsi="新宋体" w:eastAsia="新宋体" w:cs="新宋体"/>
          <w:color w:val="auto"/>
          <w:sz w:val="22"/>
          <w:szCs w:val="22"/>
          <w:highlight w:val="none"/>
        </w:rPr>
        <w:t>7.1 在投标截止</w:t>
      </w:r>
      <w:r>
        <w:rPr>
          <w:rFonts w:hint="eastAsia" w:ascii="新宋体" w:hAnsi="新宋体" w:eastAsia="新宋体" w:cs="新宋体"/>
          <w:color w:val="auto"/>
          <w:sz w:val="22"/>
          <w:szCs w:val="22"/>
          <w:highlight w:val="none"/>
          <w:lang w:val="en-US" w:eastAsia="zh-CN"/>
        </w:rPr>
        <w:t>时间</w:t>
      </w:r>
      <w:r>
        <w:rPr>
          <w:rFonts w:hint="eastAsia" w:ascii="新宋体" w:hAnsi="新宋体" w:eastAsia="新宋体" w:cs="新宋体"/>
          <w:color w:val="auto"/>
          <w:sz w:val="22"/>
          <w:szCs w:val="22"/>
          <w:highlight w:val="none"/>
        </w:rPr>
        <w:t>前，采购人无论是出于何种原因，均可对采购文件用补充文件的方式进行修改，并在乐采云平台、温州国企采购平台以及采购人集团网站发布更正公告。该澄清和修改的内容为采购文件的组成部分。采购人可以视采购具体情况在采购文件要求提交截止时间前，作出延长投标文件递交截止时间和开标时间的决定，并将变更时间书面通知所有采购文件收受人，并在乐采云平台、温州国企采购平台以及采购人集团网站上发布变更公告。</w:t>
      </w:r>
    </w:p>
    <w:p w14:paraId="1D07CE55">
      <w:pPr>
        <w:tabs>
          <w:tab w:val="left" w:pos="360"/>
          <w:tab w:val="left" w:pos="747"/>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7.2 采购文件如有补充更正均见乐采云平台、温州国企采购平台以及采购人集团网站。投标供应商须在开标前一日自行查看是否有补充更正文件，并按补充更正文件要求投标响应，否则责任自负</w:t>
      </w:r>
      <w:r>
        <w:rPr>
          <w:rFonts w:hint="eastAsia" w:ascii="新宋体" w:hAnsi="新宋体" w:eastAsia="新宋体" w:cs="新宋体"/>
          <w:bCs/>
          <w:color w:val="auto"/>
          <w:sz w:val="22"/>
          <w:szCs w:val="22"/>
          <w:highlight w:val="none"/>
        </w:rPr>
        <w:t>。</w:t>
      </w:r>
    </w:p>
    <w:p w14:paraId="629B889E">
      <w:pPr>
        <w:overflowPunct w:val="0"/>
        <w:spacing w:before="100" w:beforeAutospacing="1" w:after="100" w:afterAutospacing="1" w:line="440" w:lineRule="exact"/>
        <w:jc w:val="center"/>
        <w:outlineLvl w:val="0"/>
        <w:rPr>
          <w:rFonts w:hint="eastAsia" w:ascii="新宋体" w:hAnsi="新宋体" w:eastAsia="新宋体" w:cs="新宋体"/>
          <w:b/>
          <w:bCs/>
          <w:color w:val="auto"/>
          <w:sz w:val="26"/>
          <w:szCs w:val="26"/>
          <w:highlight w:val="none"/>
        </w:rPr>
      </w:pPr>
      <w:r>
        <w:rPr>
          <w:rFonts w:hint="eastAsia" w:ascii="新宋体" w:hAnsi="新宋体" w:eastAsia="新宋体" w:cs="新宋体"/>
          <w:b/>
          <w:bCs/>
          <w:color w:val="auto"/>
          <w:sz w:val="26"/>
          <w:szCs w:val="26"/>
          <w:highlight w:val="none"/>
        </w:rPr>
        <w:t>三、 投标文件的编制</w:t>
      </w:r>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p>
    <w:p w14:paraId="05B456A6">
      <w:pPr>
        <w:numPr>
          <w:ilvl w:val="0"/>
          <w:numId w:val="3"/>
        </w:numPr>
        <w:tabs>
          <w:tab w:val="left" w:pos="420"/>
          <w:tab w:val="left" w:pos="540"/>
        </w:tabs>
        <w:spacing w:line="460" w:lineRule="exact"/>
        <w:ind w:left="540" w:hanging="54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供应商应认真阅读采购文件中所有事项格式、条款和技术规范等。投标供应商没有按照采购文件要求提交全部资料，或者没有对采购文件各个方面做出实质性响应，导致投标被拒绝的风险由投标供应商自行承担。</w:t>
      </w:r>
    </w:p>
    <w:p w14:paraId="3DD24072">
      <w:pPr>
        <w:numPr>
          <w:ilvl w:val="0"/>
          <w:numId w:val="3"/>
        </w:numPr>
        <w:tabs>
          <w:tab w:val="left" w:pos="420"/>
          <w:tab w:val="left" w:pos="540"/>
        </w:tabs>
        <w:spacing w:line="460" w:lineRule="exact"/>
        <w:ind w:left="540" w:hanging="54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投标供应商法律责任</w:t>
      </w:r>
    </w:p>
    <w:p w14:paraId="0C144FC7">
      <w:pPr>
        <w:tabs>
          <w:tab w:val="left" w:pos="540"/>
          <w:tab w:val="left" w:pos="900"/>
        </w:tabs>
        <w:overflowPunct w:val="0"/>
        <w:spacing w:line="460" w:lineRule="exact"/>
        <w:ind w:left="440" w:hanging="440" w:hanging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9.1</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t>投标供应商应保证所提供文件资料的真实性，所有文件资料必须是针对本次投标的。如发现投标供应商提供了虚假文件资料，其投标将被拒绝，并自行承担相应的法律责任。</w:t>
      </w:r>
    </w:p>
    <w:p w14:paraId="4D9387D8">
      <w:pPr>
        <w:tabs>
          <w:tab w:val="left" w:pos="540"/>
          <w:tab w:val="left" w:pos="900"/>
        </w:tabs>
        <w:overflowPunct w:val="0"/>
        <w:spacing w:line="460" w:lineRule="exact"/>
        <w:ind w:left="440" w:hanging="440" w:hangingChars="200"/>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9.2 投标供应商所提供的货物或服务所有权归采购人所有。如若发生侵权事件，其侵权责任与采购人及采购代理机构无关，由投标供应商承担全部责任。侵权造成的所有相关费用，均由投标供应商支付，保证不伤害采购人的利益。</w:t>
      </w:r>
    </w:p>
    <w:p w14:paraId="3B001045">
      <w:pPr>
        <w:numPr>
          <w:ilvl w:val="0"/>
          <w:numId w:val="3"/>
        </w:numPr>
        <w:tabs>
          <w:tab w:val="left" w:pos="420"/>
          <w:tab w:val="left" w:pos="540"/>
        </w:tabs>
        <w:spacing w:line="460" w:lineRule="exact"/>
        <w:ind w:left="540" w:hanging="54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投标文件的构成：</w:t>
      </w:r>
    </w:p>
    <w:p w14:paraId="08A73974">
      <w:pPr>
        <w:numPr>
          <w:ilvl w:val="1"/>
          <w:numId w:val="4"/>
        </w:numPr>
        <w:tabs>
          <w:tab w:val="left" w:pos="535"/>
          <w:tab w:val="clear" w:pos="992"/>
        </w:tabs>
        <w:overflowPunct w:val="0"/>
        <w:spacing w:line="460" w:lineRule="exact"/>
        <w:ind w:left="535" w:hanging="535"/>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 xml:space="preserve">  投标文件由“资格文件”、“报价文件”和“商务技术文件”三个部分组成（详见第三部分</w:t>
      </w:r>
      <w:r>
        <w:rPr>
          <w:rFonts w:hint="eastAsia" w:ascii="新宋体" w:hAnsi="新宋体" w:eastAsia="新宋体" w:cs="新宋体"/>
          <w:b/>
          <w:color w:val="auto"/>
          <w:sz w:val="22"/>
          <w:szCs w:val="22"/>
          <w:highlight w:val="none"/>
          <w:lang w:val="en-US" w:eastAsia="zh-CN"/>
        </w:rPr>
        <w:t xml:space="preserve"> 投标文件格式</w:t>
      </w:r>
      <w:r>
        <w:rPr>
          <w:rFonts w:hint="eastAsia" w:ascii="新宋体" w:hAnsi="新宋体" w:eastAsia="新宋体" w:cs="新宋体"/>
          <w:b/>
          <w:color w:val="auto"/>
          <w:sz w:val="22"/>
          <w:szCs w:val="22"/>
          <w:highlight w:val="none"/>
        </w:rPr>
        <w:t>）：</w:t>
      </w:r>
    </w:p>
    <w:p w14:paraId="172EFDD6">
      <w:pPr>
        <w:numPr>
          <w:ilvl w:val="0"/>
          <w:numId w:val="3"/>
        </w:numPr>
        <w:tabs>
          <w:tab w:val="left" w:pos="420"/>
          <w:tab w:val="left" w:pos="540"/>
        </w:tabs>
        <w:spacing w:line="460" w:lineRule="exact"/>
        <w:ind w:left="540" w:hanging="54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投标报价</w:t>
      </w:r>
    </w:p>
    <w:p w14:paraId="427D895D">
      <w:pPr>
        <w:numPr>
          <w:ilvl w:val="1"/>
          <w:numId w:val="5"/>
        </w:numPr>
        <w:tabs>
          <w:tab w:val="left" w:pos="535"/>
          <w:tab w:val="clear" w:pos="992"/>
        </w:tabs>
        <w:overflowPunct w:val="0"/>
        <w:spacing w:line="460" w:lineRule="exact"/>
        <w:ind w:left="535" w:hanging="535"/>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本次采购的报价方式及要求：详见“</w:t>
      </w:r>
      <w:r>
        <w:rPr>
          <w:rFonts w:hint="eastAsia" w:ascii="新宋体" w:hAnsi="新宋体" w:eastAsia="新宋体" w:cs="新宋体"/>
          <w:b/>
          <w:bCs/>
          <w:color w:val="auto"/>
          <w:sz w:val="22"/>
          <w:szCs w:val="22"/>
          <w:highlight w:val="none"/>
          <w:lang w:eastAsia="zh-CN"/>
        </w:rPr>
        <w:t>开标一览表</w:t>
      </w:r>
      <w:r>
        <w:rPr>
          <w:rFonts w:hint="eastAsia" w:ascii="新宋体" w:hAnsi="新宋体" w:eastAsia="新宋体" w:cs="新宋体"/>
          <w:b/>
          <w:bCs/>
          <w:color w:val="auto"/>
          <w:sz w:val="22"/>
          <w:szCs w:val="22"/>
          <w:highlight w:val="none"/>
        </w:rPr>
        <w:t>”。</w:t>
      </w:r>
    </w:p>
    <w:p w14:paraId="46DA83FD">
      <w:pPr>
        <w:numPr>
          <w:ilvl w:val="1"/>
          <w:numId w:val="5"/>
        </w:numPr>
        <w:tabs>
          <w:tab w:val="left" w:pos="540"/>
          <w:tab w:val="clear" w:pos="992"/>
        </w:tabs>
        <w:overflowPunct w:val="0"/>
        <w:spacing w:line="460" w:lineRule="exact"/>
        <w:ind w:left="540" w:hanging="54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投标供应商必须按</w:t>
      </w:r>
      <w:r>
        <w:rPr>
          <w:rFonts w:hint="eastAsia" w:ascii="新宋体" w:hAnsi="新宋体" w:eastAsia="新宋体" w:cs="新宋体"/>
          <w:b/>
          <w:bCs/>
          <w:color w:val="auto"/>
          <w:sz w:val="22"/>
          <w:szCs w:val="22"/>
          <w:highlight w:val="none"/>
        </w:rPr>
        <w:t>“</w:t>
      </w:r>
      <w:r>
        <w:rPr>
          <w:rFonts w:hint="eastAsia" w:ascii="新宋体" w:hAnsi="新宋体" w:eastAsia="新宋体" w:cs="新宋体"/>
          <w:color w:val="auto"/>
          <w:sz w:val="22"/>
          <w:szCs w:val="22"/>
          <w:highlight w:val="none"/>
          <w:lang w:eastAsia="zh-CN"/>
        </w:rPr>
        <w:t>开标一览表</w:t>
      </w:r>
      <w:r>
        <w:rPr>
          <w:rFonts w:hint="eastAsia" w:ascii="新宋体" w:hAnsi="新宋体" w:eastAsia="新宋体" w:cs="新宋体"/>
          <w:b/>
          <w:bCs/>
          <w:color w:val="auto"/>
          <w:sz w:val="22"/>
          <w:szCs w:val="22"/>
          <w:highlight w:val="none"/>
        </w:rPr>
        <w:t>”</w:t>
      </w:r>
      <w:r>
        <w:rPr>
          <w:rFonts w:hint="eastAsia" w:ascii="新宋体" w:hAnsi="新宋体" w:eastAsia="新宋体" w:cs="新宋体"/>
          <w:color w:val="auto"/>
          <w:sz w:val="22"/>
          <w:szCs w:val="22"/>
          <w:highlight w:val="none"/>
        </w:rPr>
        <w:t>（统一格式）</w:t>
      </w:r>
      <w:r>
        <w:rPr>
          <w:rFonts w:hint="eastAsia" w:ascii="新宋体" w:hAnsi="新宋体" w:eastAsia="新宋体" w:cs="新宋体"/>
          <w:bCs/>
          <w:color w:val="auto"/>
          <w:kern w:val="0"/>
          <w:sz w:val="22"/>
          <w:szCs w:val="22"/>
          <w:highlight w:val="none"/>
          <w:lang w:val="zh-CN"/>
        </w:rPr>
        <w:t>、投标分项报价表（统一格式）</w:t>
      </w:r>
      <w:r>
        <w:rPr>
          <w:rFonts w:hint="eastAsia" w:ascii="新宋体" w:hAnsi="新宋体" w:eastAsia="新宋体" w:cs="新宋体"/>
          <w:color w:val="auto"/>
          <w:sz w:val="22"/>
          <w:szCs w:val="22"/>
          <w:highlight w:val="none"/>
        </w:rPr>
        <w:t>填写投标报价及其他内容，并由</w:t>
      </w:r>
      <w:r>
        <w:rPr>
          <w:rFonts w:hint="eastAsia" w:ascii="新宋体" w:hAnsi="新宋体" w:eastAsia="新宋体" w:cs="新宋体"/>
          <w:color w:val="auto"/>
          <w:sz w:val="22"/>
          <w:szCs w:val="22"/>
          <w:highlight w:val="none"/>
          <w:lang w:eastAsia="zh-CN"/>
        </w:rPr>
        <w:t>法定代表人（负责人）</w:t>
      </w:r>
      <w:r>
        <w:rPr>
          <w:rFonts w:hint="eastAsia" w:ascii="新宋体" w:hAnsi="新宋体" w:eastAsia="新宋体" w:cs="新宋体"/>
          <w:color w:val="auto"/>
          <w:sz w:val="22"/>
          <w:szCs w:val="22"/>
          <w:highlight w:val="none"/>
        </w:rPr>
        <w:t>或授权代表签署（签字或盖章）。</w:t>
      </w:r>
    </w:p>
    <w:p w14:paraId="52E86335">
      <w:pPr>
        <w:numPr>
          <w:ilvl w:val="1"/>
          <w:numId w:val="5"/>
        </w:numPr>
        <w:tabs>
          <w:tab w:val="left" w:pos="540"/>
          <w:tab w:val="clear" w:pos="992"/>
        </w:tabs>
        <w:overflowPunct w:val="0"/>
        <w:spacing w:line="460" w:lineRule="exact"/>
        <w:ind w:left="540" w:hanging="54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所有投标均以人民币报价。</w:t>
      </w:r>
    </w:p>
    <w:p w14:paraId="00CA9481">
      <w:pPr>
        <w:numPr>
          <w:ilvl w:val="1"/>
          <w:numId w:val="5"/>
        </w:numPr>
        <w:tabs>
          <w:tab w:val="left" w:pos="540"/>
          <w:tab w:val="clear" w:pos="992"/>
        </w:tabs>
        <w:overflowPunct w:val="0"/>
        <w:spacing w:line="460" w:lineRule="exact"/>
        <w:ind w:left="540" w:hanging="540"/>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采购人不接受任何选择报价，只允许一个报价。</w:t>
      </w:r>
    </w:p>
    <w:p w14:paraId="316831C4">
      <w:pPr>
        <w:numPr>
          <w:ilvl w:val="1"/>
          <w:numId w:val="5"/>
        </w:numPr>
        <w:tabs>
          <w:tab w:val="left" w:pos="535"/>
          <w:tab w:val="clear" w:pos="992"/>
        </w:tabs>
        <w:overflowPunct w:val="0"/>
        <w:spacing w:line="460" w:lineRule="exact"/>
        <w:ind w:left="535" w:hanging="535"/>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投标供应商依据市场行情和自身情况自由竞价。投标供应商所报的投标价在合同执行过程中是固定不变的，不得以任何理由予以变更。任何包含价格调整的要求，将被认为是非实质性响应投标而予以拒绝</w:t>
      </w:r>
    </w:p>
    <w:p w14:paraId="03E5E956">
      <w:pPr>
        <w:numPr>
          <w:ilvl w:val="1"/>
          <w:numId w:val="5"/>
        </w:numPr>
        <w:tabs>
          <w:tab w:val="left" w:pos="540"/>
          <w:tab w:val="clear" w:pos="992"/>
        </w:tabs>
        <w:overflowPunct w:val="0"/>
        <w:spacing w:line="460" w:lineRule="exact"/>
        <w:ind w:left="540" w:hanging="54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lang w:val="en-US" w:eastAsia="zh-CN"/>
        </w:rPr>
        <w:t>投标</w:t>
      </w:r>
      <w:r>
        <w:rPr>
          <w:rFonts w:hint="eastAsia" w:ascii="新宋体" w:hAnsi="新宋体" w:eastAsia="新宋体" w:cs="新宋体"/>
          <w:b/>
          <w:color w:val="auto"/>
          <w:sz w:val="22"/>
          <w:szCs w:val="22"/>
          <w:highlight w:val="none"/>
        </w:rPr>
        <w:t>报价是中标的一个重要因素，但最低报价不是中标的唯一依据。</w:t>
      </w:r>
    </w:p>
    <w:p w14:paraId="386107EC">
      <w:pPr>
        <w:numPr>
          <w:ilvl w:val="0"/>
          <w:numId w:val="3"/>
        </w:numPr>
        <w:tabs>
          <w:tab w:val="left" w:pos="420"/>
          <w:tab w:val="left" w:pos="540"/>
        </w:tabs>
        <w:spacing w:line="460" w:lineRule="exact"/>
        <w:ind w:left="540" w:hanging="54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 xml:space="preserve"> 投标保证金</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lang w:val="en-US" w:eastAsia="zh-CN"/>
        </w:rPr>
        <w:t>不要求提供。</w:t>
      </w:r>
    </w:p>
    <w:p w14:paraId="50FABE3E">
      <w:pPr>
        <w:tabs>
          <w:tab w:val="left" w:pos="535"/>
        </w:tabs>
        <w:overflowPunct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 投标有效期</w:t>
      </w:r>
    </w:p>
    <w:p w14:paraId="6163CBB6">
      <w:pPr>
        <w:numPr>
          <w:ilvl w:val="1"/>
          <w:numId w:val="6"/>
        </w:numPr>
        <w:tabs>
          <w:tab w:val="clear" w:pos="992"/>
        </w:tabs>
        <w:overflowPunct w:val="0"/>
        <w:spacing w:line="460" w:lineRule="exact"/>
        <w:ind w:left="540" w:hanging="54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color w:val="auto"/>
          <w:sz w:val="22"/>
          <w:szCs w:val="22"/>
          <w:highlight w:val="none"/>
          <w:u w:val="single"/>
        </w:rPr>
        <w:t>▲</w:t>
      </w:r>
      <w:r>
        <w:rPr>
          <w:rFonts w:hint="eastAsia" w:ascii="新宋体" w:hAnsi="新宋体" w:eastAsia="新宋体" w:cs="新宋体"/>
          <w:b/>
          <w:bCs/>
          <w:color w:val="auto"/>
          <w:sz w:val="22"/>
          <w:szCs w:val="22"/>
          <w:highlight w:val="none"/>
          <w:u w:val="single"/>
        </w:rPr>
        <w:t>投标有效期</w:t>
      </w:r>
      <w:bookmarkStart w:id="101" w:name="_Hlk74606726"/>
      <w:r>
        <w:rPr>
          <w:rFonts w:hint="eastAsia" w:ascii="新宋体" w:hAnsi="新宋体" w:eastAsia="新宋体" w:cs="新宋体"/>
          <w:b/>
          <w:bCs/>
          <w:color w:val="auto"/>
          <w:sz w:val="22"/>
          <w:szCs w:val="22"/>
          <w:highlight w:val="none"/>
          <w:u w:val="single"/>
        </w:rPr>
        <w:t>详见《投标供应商须知前附表》规定</w:t>
      </w:r>
      <w:bookmarkEnd w:id="101"/>
      <w:r>
        <w:rPr>
          <w:rFonts w:hint="eastAsia" w:ascii="新宋体" w:hAnsi="新宋体" w:eastAsia="新宋体" w:cs="新宋体"/>
          <w:b/>
          <w:bCs/>
          <w:color w:val="auto"/>
          <w:sz w:val="22"/>
          <w:szCs w:val="22"/>
          <w:highlight w:val="none"/>
          <w:u w:val="single"/>
        </w:rPr>
        <w:t>。投标有效期短于这个规定期限的投标将视为非响应性投标而予以拒绝。</w:t>
      </w:r>
    </w:p>
    <w:p w14:paraId="3D40CFC9">
      <w:pPr>
        <w:numPr>
          <w:ilvl w:val="1"/>
          <w:numId w:val="6"/>
        </w:numPr>
        <w:tabs>
          <w:tab w:val="clear" w:pos="992"/>
        </w:tabs>
        <w:overflowPunct w:val="0"/>
        <w:spacing w:line="460" w:lineRule="exact"/>
        <w:ind w:left="540" w:hanging="54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特殊情况下，在原投标有效期截止前，采购人可与投标供应商协商延长投标有效期，这种要求和答复均以书面形式进行。投标供应商可拒绝接受延期要求</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同意延长投标有效期的投标供应商不得修改采购响应文件。</w:t>
      </w:r>
    </w:p>
    <w:p w14:paraId="0EBF05C2">
      <w:pPr>
        <w:tabs>
          <w:tab w:val="left" w:pos="420"/>
          <w:tab w:val="left" w:pos="54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  投标文件的签署（签字或盖章）和规定</w:t>
      </w:r>
    </w:p>
    <w:p w14:paraId="4B4F5E0C">
      <w:pPr>
        <w:numPr>
          <w:ilvl w:val="1"/>
          <w:numId w:val="7"/>
        </w:numPr>
        <w:tabs>
          <w:tab w:val="left" w:pos="642"/>
          <w:tab w:val="clear" w:pos="992"/>
        </w:tabs>
        <w:overflowPunct w:val="0"/>
        <w:spacing w:line="460" w:lineRule="exact"/>
        <w:ind w:left="642" w:hanging="642"/>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本项目通过“</w:t>
      </w:r>
      <w:r>
        <w:rPr>
          <w:rFonts w:hint="eastAsia" w:ascii="新宋体" w:hAnsi="新宋体" w:eastAsia="新宋体" w:cs="新宋体"/>
          <w:b/>
          <w:bCs/>
          <w:color w:val="auto"/>
          <w:sz w:val="22"/>
          <w:szCs w:val="22"/>
          <w:highlight w:val="none"/>
          <w:lang w:eastAsia="zh-CN"/>
        </w:rPr>
        <w:t>乐采云平台</w:t>
      </w: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sz w:val="22"/>
          <w:szCs w:val="22"/>
          <w:highlight w:val="none"/>
          <w:lang w:eastAsia="zh-CN"/>
        </w:rPr>
        <w:t>https://www.lecaiyun.com/</w:t>
      </w:r>
      <w:r>
        <w:rPr>
          <w:rFonts w:hint="eastAsia" w:ascii="新宋体" w:hAnsi="新宋体" w:eastAsia="新宋体" w:cs="新宋体"/>
          <w:b/>
          <w:bCs/>
          <w:color w:val="auto"/>
          <w:sz w:val="22"/>
          <w:szCs w:val="22"/>
          <w:highlight w:val="none"/>
        </w:rPr>
        <w:t>）”实行在线投标响应（电子投标）。供应商应通过“</w:t>
      </w:r>
      <w:r>
        <w:rPr>
          <w:rFonts w:hint="eastAsia" w:ascii="新宋体" w:hAnsi="新宋体" w:eastAsia="新宋体" w:cs="新宋体"/>
          <w:b/>
          <w:bCs/>
          <w:color w:val="auto"/>
          <w:sz w:val="22"/>
          <w:szCs w:val="22"/>
          <w:highlight w:val="none"/>
          <w:lang w:eastAsia="zh-CN"/>
        </w:rPr>
        <w:t>乐采云</w:t>
      </w:r>
      <w:r>
        <w:rPr>
          <w:rFonts w:hint="eastAsia" w:ascii="新宋体" w:hAnsi="新宋体" w:eastAsia="新宋体" w:cs="新宋体"/>
          <w:b/>
          <w:bCs/>
          <w:color w:val="auto"/>
          <w:sz w:val="22"/>
          <w:szCs w:val="22"/>
          <w:highlight w:val="none"/>
        </w:rPr>
        <w:t>电子交易客户端”，并按照本采购文件和“</w:t>
      </w:r>
      <w:r>
        <w:rPr>
          <w:rFonts w:hint="eastAsia" w:ascii="新宋体" w:hAnsi="新宋体" w:eastAsia="新宋体" w:cs="新宋体"/>
          <w:b/>
          <w:bCs/>
          <w:color w:val="auto"/>
          <w:sz w:val="22"/>
          <w:szCs w:val="22"/>
          <w:highlight w:val="none"/>
          <w:lang w:eastAsia="zh-CN"/>
        </w:rPr>
        <w:t>乐采云平台</w:t>
      </w:r>
      <w:r>
        <w:rPr>
          <w:rFonts w:hint="eastAsia" w:ascii="新宋体" w:hAnsi="新宋体" w:eastAsia="新宋体" w:cs="新宋体"/>
          <w:b/>
          <w:bCs/>
          <w:color w:val="auto"/>
          <w:sz w:val="22"/>
          <w:szCs w:val="22"/>
          <w:highlight w:val="none"/>
        </w:rPr>
        <w:t>”的要求编制并加密投标文件</w:t>
      </w:r>
      <w:r>
        <w:rPr>
          <w:rFonts w:hint="eastAsia" w:ascii="新宋体" w:hAnsi="新宋体" w:eastAsia="新宋体" w:cs="新宋体"/>
          <w:color w:val="auto"/>
          <w:sz w:val="22"/>
          <w:szCs w:val="22"/>
          <w:highlight w:val="none"/>
        </w:rPr>
        <w:t>。</w:t>
      </w:r>
    </w:p>
    <w:p w14:paraId="099D633C">
      <w:pPr>
        <w:numPr>
          <w:ilvl w:val="1"/>
          <w:numId w:val="7"/>
        </w:numPr>
        <w:tabs>
          <w:tab w:val="left" w:pos="642"/>
          <w:tab w:val="clear" w:pos="992"/>
        </w:tabs>
        <w:overflowPunct w:val="0"/>
        <w:spacing w:line="460" w:lineRule="exact"/>
        <w:ind w:left="642" w:hanging="642"/>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投标供应商应当按照本章节“投标文件由‘资格文件’、‘报价文件’和‘商务技术文件’三个部分组成”规定的内容及顺序在“</w:t>
      </w:r>
      <w:r>
        <w:rPr>
          <w:rFonts w:hint="eastAsia" w:ascii="新宋体" w:hAnsi="新宋体" w:eastAsia="新宋体" w:cs="新宋体"/>
          <w:b/>
          <w:bCs/>
          <w:color w:val="auto"/>
          <w:sz w:val="22"/>
          <w:szCs w:val="22"/>
          <w:highlight w:val="none"/>
          <w:lang w:eastAsia="zh-CN"/>
        </w:rPr>
        <w:t>乐采云</w:t>
      </w:r>
      <w:r>
        <w:rPr>
          <w:rFonts w:hint="eastAsia" w:ascii="新宋体" w:hAnsi="新宋体" w:eastAsia="新宋体" w:cs="新宋体"/>
          <w:b/>
          <w:bCs/>
          <w:color w:val="auto"/>
          <w:sz w:val="22"/>
          <w:szCs w:val="22"/>
          <w:highlight w:val="none"/>
        </w:rPr>
        <w:t>电子交易客户端”编制投标文件。其中“资格文件”和“商务技术文件”中不得出现本项目投标报价，如因投标供应商原因提前泄露投标报价，是投标供应商的责任。</w:t>
      </w:r>
    </w:p>
    <w:p w14:paraId="4783F27C">
      <w:pPr>
        <w:numPr>
          <w:ilvl w:val="1"/>
          <w:numId w:val="7"/>
        </w:numPr>
        <w:tabs>
          <w:tab w:val="clear" w:pos="992"/>
        </w:tabs>
        <w:overflowPunct w:val="0"/>
        <w:spacing w:line="460" w:lineRule="exact"/>
        <w:ind w:left="540" w:hanging="54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 xml:space="preserve"> 本文件“第三部分 投标文件格式”中有提供格式的，投标供应商须参照格式进行编制（格式中要求提供相关证明材料的还需后附相关证明材料），并按格式要求在指定位置根据要求加盖投标供应商公章，并由</w:t>
      </w:r>
      <w:r>
        <w:rPr>
          <w:rFonts w:hint="eastAsia" w:ascii="新宋体" w:hAnsi="新宋体" w:eastAsia="新宋体" w:cs="新宋体"/>
          <w:b/>
          <w:color w:val="auto"/>
          <w:sz w:val="22"/>
          <w:szCs w:val="22"/>
          <w:highlight w:val="none"/>
          <w:lang w:eastAsia="zh-CN"/>
        </w:rPr>
        <w:t>法定代表人（负责人）</w:t>
      </w:r>
      <w:r>
        <w:rPr>
          <w:rFonts w:hint="eastAsia" w:ascii="新宋体" w:hAnsi="新宋体" w:eastAsia="新宋体" w:cs="新宋体"/>
          <w:b/>
          <w:color w:val="auto"/>
          <w:sz w:val="22"/>
          <w:szCs w:val="22"/>
          <w:highlight w:val="none"/>
        </w:rPr>
        <w:t>或其授权代表签署（签字或盖章），否则视为未提供；本文件“第三部分 投标文件格式”未提供格式的，请各投标单位自行拟定格式。</w:t>
      </w:r>
    </w:p>
    <w:p w14:paraId="1EFB5C06">
      <w:pPr>
        <w:numPr>
          <w:ilvl w:val="1"/>
          <w:numId w:val="7"/>
        </w:numPr>
        <w:tabs>
          <w:tab w:val="clear" w:pos="992"/>
        </w:tabs>
        <w:overflowPunct w:val="0"/>
        <w:spacing w:line="460" w:lineRule="exact"/>
        <w:ind w:left="540" w:hanging="54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投标文件内容不完整、编排混乱导致投标文件被误读、漏读或者查找不到相关内容的，是投标供应商的责任。</w:t>
      </w:r>
    </w:p>
    <w:p w14:paraId="0E6EB005">
      <w:pPr>
        <w:numPr>
          <w:ilvl w:val="1"/>
          <w:numId w:val="7"/>
        </w:numPr>
        <w:tabs>
          <w:tab w:val="left" w:pos="567"/>
          <w:tab w:val="clear" w:pos="992"/>
        </w:tabs>
        <w:overflowPunct w:val="0"/>
        <w:spacing w:line="460" w:lineRule="exact"/>
        <w:ind w:left="567"/>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投标文件因字迹潦草或表达不清所引起的后果由投标供应商负责。</w:t>
      </w:r>
    </w:p>
    <w:p w14:paraId="53361E6A">
      <w:pPr>
        <w:numPr>
          <w:ilvl w:val="1"/>
          <w:numId w:val="7"/>
        </w:numPr>
        <w:tabs>
          <w:tab w:val="clear" w:pos="992"/>
        </w:tabs>
        <w:overflowPunct w:val="0"/>
        <w:spacing w:line="460" w:lineRule="exact"/>
        <w:ind w:left="540" w:hanging="54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投标供应商没有按照本章节 “投标文件由‘资格文件’、‘报价文件’和‘商务技术文件’三个部分组成”要求提供全部资料，或者没有仔细阅读采购文件，或者没有对采购文件在各方面的要求作出实质性响应是投标供应商的风险，由此造成的一切后果由投标供应商自行承担。</w:t>
      </w:r>
    </w:p>
    <w:p w14:paraId="38173C10">
      <w:pPr>
        <w:tabs>
          <w:tab w:val="left" w:pos="420"/>
          <w:tab w:val="left" w:pos="540"/>
        </w:tabs>
        <w:spacing w:line="460" w:lineRule="exact"/>
        <w:rPr>
          <w:rFonts w:hint="eastAsia" w:ascii="新宋体" w:hAnsi="新宋体" w:eastAsia="新宋体" w:cs="新宋体"/>
          <w:color w:val="auto"/>
          <w:sz w:val="22"/>
          <w:szCs w:val="22"/>
          <w:highlight w:val="none"/>
        </w:rPr>
      </w:pPr>
      <w:bookmarkStart w:id="102" w:name="_Toc221356951"/>
      <w:bookmarkStart w:id="103" w:name="_Toc246261265"/>
      <w:bookmarkStart w:id="104" w:name="_Toc12648"/>
      <w:bookmarkStart w:id="105" w:name="_Toc221423619"/>
      <w:bookmarkStart w:id="106" w:name="_Toc223715998"/>
      <w:bookmarkStart w:id="107" w:name="_Toc251325214"/>
      <w:bookmarkStart w:id="108" w:name="_Toc245191314"/>
      <w:bookmarkStart w:id="109" w:name="_Toc245722281"/>
      <w:bookmarkStart w:id="110" w:name="_Toc251592737"/>
      <w:bookmarkStart w:id="111" w:name="_Toc222114879"/>
      <w:bookmarkStart w:id="112" w:name="_Toc252194852"/>
      <w:bookmarkStart w:id="113" w:name="_Toc221374626"/>
      <w:bookmarkStart w:id="114" w:name="_Toc28415"/>
      <w:bookmarkStart w:id="115" w:name="_Toc221356887"/>
      <w:bookmarkStart w:id="116" w:name="_Toc239145354"/>
      <w:bookmarkStart w:id="117" w:name="_Toc241404202"/>
      <w:r>
        <w:rPr>
          <w:rFonts w:hint="eastAsia" w:ascii="新宋体" w:hAnsi="新宋体" w:eastAsia="新宋体" w:cs="新宋体"/>
          <w:color w:val="auto"/>
          <w:sz w:val="22"/>
          <w:szCs w:val="22"/>
          <w:highlight w:val="none"/>
        </w:rPr>
        <w:t>15. 投标文件的签章、形式及份数</w:t>
      </w:r>
    </w:p>
    <w:p w14:paraId="09C5FA19">
      <w:pPr>
        <w:numPr>
          <w:ilvl w:val="1"/>
          <w:numId w:val="8"/>
        </w:numPr>
        <w:tabs>
          <w:tab w:val="left" w:pos="642"/>
          <w:tab w:val="clear" w:pos="992"/>
        </w:tabs>
        <w:overflowPunct w:val="0"/>
        <w:spacing w:line="460" w:lineRule="exact"/>
        <w:ind w:left="642" w:hanging="642"/>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投标文件的签章、形式及份数:详见《投标供应商须知前附表》规定。</w:t>
      </w:r>
    </w:p>
    <w:p w14:paraId="665206C0">
      <w:pPr>
        <w:overflowPunct w:val="0"/>
        <w:spacing w:before="100" w:beforeAutospacing="1" w:after="100" w:afterAutospacing="1" w:line="440" w:lineRule="exact"/>
        <w:jc w:val="center"/>
        <w:outlineLvl w:val="0"/>
        <w:rPr>
          <w:rFonts w:hint="eastAsia" w:ascii="新宋体" w:hAnsi="新宋体" w:eastAsia="新宋体" w:cs="新宋体"/>
          <w:b/>
          <w:bCs/>
          <w:color w:val="auto"/>
          <w:sz w:val="26"/>
          <w:szCs w:val="26"/>
          <w:highlight w:val="none"/>
        </w:rPr>
      </w:pPr>
      <w:bookmarkStart w:id="118" w:name="_Toc75948401"/>
      <w:r>
        <w:rPr>
          <w:rFonts w:hint="eastAsia" w:ascii="新宋体" w:hAnsi="新宋体" w:eastAsia="新宋体" w:cs="新宋体"/>
          <w:b/>
          <w:bCs/>
          <w:color w:val="auto"/>
          <w:sz w:val="26"/>
          <w:szCs w:val="26"/>
          <w:highlight w:val="none"/>
        </w:rPr>
        <w:t>四、 投标文件的递交</w:t>
      </w:r>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4F85594B">
      <w:pPr>
        <w:keepNext w:val="0"/>
        <w:keepLines w:val="0"/>
        <w:pageBreakBefore w:val="0"/>
        <w:widowControl w:val="0"/>
        <w:tabs>
          <w:tab w:val="left" w:pos="420"/>
          <w:tab w:val="left" w:pos="540"/>
        </w:tabs>
        <w:kinsoku/>
        <w:wordWrap/>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16. 投标文件的上传和递交</w:t>
      </w:r>
    </w:p>
    <w:p w14:paraId="7BB33220">
      <w:pPr>
        <w:keepNext w:val="0"/>
        <w:keepLines w:val="0"/>
        <w:pageBreakBefore w:val="0"/>
        <w:widowControl w:val="0"/>
        <w:numPr>
          <w:ilvl w:val="1"/>
          <w:numId w:val="9"/>
        </w:numPr>
        <w:tabs>
          <w:tab w:val="left" w:pos="535"/>
          <w:tab w:val="clear" w:pos="992"/>
        </w:tabs>
        <w:kinsoku/>
        <w:wordWrap/>
        <w:overflowPunct w:val="0"/>
        <w:topLinePunct w:val="0"/>
        <w:autoSpaceDE/>
        <w:autoSpaceDN/>
        <w:bidi w:val="0"/>
        <w:adjustRightInd/>
        <w:snapToGrid/>
        <w:spacing w:line="460" w:lineRule="exact"/>
        <w:ind w:left="535" w:hanging="53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投标文件的上传和递交：见《投标供应商须知前附表》。</w:t>
      </w:r>
    </w:p>
    <w:p w14:paraId="747D0B40">
      <w:pPr>
        <w:keepNext w:val="0"/>
        <w:keepLines w:val="0"/>
        <w:pageBreakBefore w:val="0"/>
        <w:widowControl w:val="0"/>
        <w:tabs>
          <w:tab w:val="left" w:pos="420"/>
          <w:tab w:val="left" w:pos="540"/>
        </w:tabs>
        <w:kinsoku/>
        <w:wordWrap/>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 投标文件的修改和撤回</w:t>
      </w:r>
    </w:p>
    <w:p w14:paraId="1B48A86C">
      <w:pPr>
        <w:keepNext w:val="0"/>
        <w:keepLines w:val="0"/>
        <w:pageBreakBefore w:val="0"/>
        <w:widowControl w:val="0"/>
        <w:numPr>
          <w:ilvl w:val="1"/>
          <w:numId w:val="10"/>
        </w:numPr>
        <w:tabs>
          <w:tab w:val="left" w:pos="535"/>
          <w:tab w:val="clear" w:pos="992"/>
        </w:tabs>
        <w:kinsoku/>
        <w:wordWrap/>
        <w:overflowPunct w:val="0"/>
        <w:topLinePunct w:val="0"/>
        <w:autoSpaceDE/>
        <w:autoSpaceDN/>
        <w:bidi w:val="0"/>
        <w:adjustRightInd/>
        <w:snapToGrid/>
        <w:spacing w:line="460" w:lineRule="exact"/>
        <w:ind w:left="535" w:hanging="535"/>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投标文件应当在投标截止时间前完成投标文件的上传、递交，并可以补充、修改或者撤回投标文件。补充或者修改投标文件的，应当先行撤回原文件，补充、修改后重新上传、递交。投标截止时间后递交的投标文件，“</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”将予以拒收。</w:t>
      </w:r>
    </w:p>
    <w:p w14:paraId="3DAE0BA0">
      <w:pPr>
        <w:keepNext w:val="0"/>
        <w:keepLines w:val="0"/>
        <w:pageBreakBefore w:val="0"/>
        <w:widowControl w:val="0"/>
        <w:numPr>
          <w:ilvl w:val="1"/>
          <w:numId w:val="10"/>
        </w:numPr>
        <w:tabs>
          <w:tab w:val="left" w:pos="540"/>
          <w:tab w:val="clear" w:pos="992"/>
        </w:tabs>
        <w:kinsoku/>
        <w:wordWrap/>
        <w:overflowPunct w:val="0"/>
        <w:topLinePunct w:val="0"/>
        <w:autoSpaceDE/>
        <w:autoSpaceDN/>
        <w:bidi w:val="0"/>
        <w:adjustRightInd/>
        <w:snapToGrid/>
        <w:spacing w:line="460" w:lineRule="exact"/>
        <w:ind w:left="540" w:hanging="54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从投标截止日期起至投标有效期满这段时间内，投标供应商不得撤回其投标，否则按采购预算金额的2%赔偿对采购组织机构造成的损失</w:t>
      </w:r>
      <w:r>
        <w:rPr>
          <w:rFonts w:hint="eastAsia" w:ascii="新宋体" w:hAnsi="新宋体" w:eastAsia="新宋体" w:cs="新宋体"/>
          <w:color w:val="auto"/>
          <w:sz w:val="22"/>
          <w:szCs w:val="22"/>
          <w:highlight w:val="none"/>
        </w:rPr>
        <w:t>。</w:t>
      </w:r>
    </w:p>
    <w:p w14:paraId="720A0931">
      <w:pPr>
        <w:keepNext w:val="0"/>
        <w:keepLines w:val="0"/>
        <w:pageBreakBefore w:val="0"/>
        <w:widowControl w:val="0"/>
        <w:tabs>
          <w:tab w:val="left" w:pos="420"/>
          <w:tab w:val="left" w:pos="540"/>
        </w:tabs>
        <w:kinsoku/>
        <w:wordWrap/>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18. 发生下列情况之一的投标文件将拒收：</w:t>
      </w:r>
    </w:p>
    <w:p w14:paraId="7D8E852E">
      <w:pPr>
        <w:keepNext w:val="0"/>
        <w:keepLines w:val="0"/>
        <w:pageBreakBefore w:val="0"/>
        <w:widowControl w:val="0"/>
        <w:numPr>
          <w:ilvl w:val="1"/>
          <w:numId w:val="11"/>
        </w:numPr>
        <w:tabs>
          <w:tab w:val="left" w:pos="535"/>
          <w:tab w:val="clear" w:pos="992"/>
        </w:tabs>
        <w:kinsoku/>
        <w:wordWrap/>
        <w:overflowPunct w:val="0"/>
        <w:topLinePunct w:val="0"/>
        <w:autoSpaceDE/>
        <w:autoSpaceDN/>
        <w:bidi w:val="0"/>
        <w:adjustRightInd/>
        <w:snapToGrid/>
        <w:spacing w:line="460" w:lineRule="exact"/>
        <w:ind w:left="535" w:hanging="535"/>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在投标截止时间以后未上传成功的投标文件；</w:t>
      </w:r>
    </w:p>
    <w:p w14:paraId="509AD155">
      <w:pPr>
        <w:pStyle w:val="29"/>
        <w:keepNext w:val="0"/>
        <w:keepLines w:val="0"/>
        <w:pageBreakBefore w:val="0"/>
        <w:widowControl w:val="0"/>
        <w:kinsoku/>
        <w:wordWrap/>
        <w:topLinePunct w:val="0"/>
        <w:autoSpaceDE/>
        <w:autoSpaceDN/>
        <w:bidi w:val="0"/>
        <w:adjustRightInd/>
        <w:snapToGrid/>
        <w:spacing w:line="460" w:lineRule="exact"/>
        <w:ind w:firstLine="0" w:firstLineChars="0"/>
        <w:textAlignment w:val="auto"/>
        <w:rPr>
          <w:rFonts w:hint="eastAsia" w:ascii="新宋体" w:hAnsi="新宋体" w:eastAsia="新宋体" w:cs="新宋体"/>
          <w:color w:val="auto"/>
          <w:highlight w:val="none"/>
        </w:rPr>
      </w:pPr>
      <w:r>
        <w:rPr>
          <w:rFonts w:hint="eastAsia" w:ascii="新宋体" w:hAnsi="新宋体" w:eastAsia="新宋体" w:cs="新宋体"/>
          <w:color w:val="auto"/>
          <w:highlight w:val="none"/>
        </w:rPr>
        <w:t>18.2</w:t>
      </w:r>
      <w:r>
        <w:rPr>
          <w:rFonts w:hint="eastAsia" w:ascii="新宋体" w:hAnsi="新宋体" w:eastAsia="新宋体" w:cs="新宋体"/>
          <w:b/>
          <w:bCs/>
          <w:color w:val="auto"/>
          <w:sz w:val="22"/>
          <w:szCs w:val="22"/>
          <w:highlight w:val="none"/>
        </w:rPr>
        <w:t>在投标截止时间以后递交的备份投标文件。</w:t>
      </w:r>
    </w:p>
    <w:p w14:paraId="22896B33">
      <w:pPr>
        <w:pStyle w:val="4"/>
        <w:spacing w:line="500" w:lineRule="exact"/>
        <w:jc w:val="center"/>
        <w:rPr>
          <w:rFonts w:hint="eastAsia" w:ascii="新宋体" w:hAnsi="新宋体" w:eastAsia="新宋体" w:cs="新宋体"/>
          <w:color w:val="auto"/>
          <w:sz w:val="24"/>
          <w:szCs w:val="24"/>
          <w:highlight w:val="none"/>
        </w:rPr>
      </w:pPr>
      <w:bookmarkStart w:id="119" w:name="_Toc221356952"/>
      <w:bookmarkStart w:id="120" w:name="_Toc265529384"/>
      <w:bookmarkStart w:id="121" w:name="_Toc241404203"/>
      <w:bookmarkStart w:id="122" w:name="_Toc223715999"/>
      <w:bookmarkStart w:id="123" w:name="_Toc239145355"/>
      <w:bookmarkStart w:id="124" w:name="_Toc222114880"/>
      <w:bookmarkStart w:id="125" w:name="_Toc221374627"/>
      <w:bookmarkStart w:id="126" w:name="_Toc221356888"/>
      <w:bookmarkStart w:id="127" w:name="_Toc221423620"/>
      <w:bookmarkStart w:id="128" w:name="_Toc34508134"/>
      <w:bookmarkStart w:id="129" w:name="_Toc223716000"/>
      <w:bookmarkStart w:id="130" w:name="_Toc75948403"/>
      <w:bookmarkStart w:id="131" w:name="_Toc221356889"/>
      <w:bookmarkStart w:id="132" w:name="_Toc252194854"/>
      <w:bookmarkStart w:id="133" w:name="_Toc251325216"/>
      <w:bookmarkStart w:id="134" w:name="_Toc221356953"/>
      <w:bookmarkStart w:id="135" w:name="_Toc222114881"/>
      <w:bookmarkStart w:id="136" w:name="_Toc245722283"/>
      <w:bookmarkStart w:id="137" w:name="_Toc246261267"/>
      <w:bookmarkStart w:id="138" w:name="_Toc221423621"/>
      <w:bookmarkStart w:id="139" w:name="_Toc16671"/>
      <w:bookmarkStart w:id="140" w:name="_Toc15318"/>
      <w:bookmarkStart w:id="141" w:name="_Toc245191316"/>
      <w:bookmarkStart w:id="142" w:name="_Toc239145356"/>
      <w:bookmarkStart w:id="143" w:name="_Toc221374628"/>
      <w:bookmarkStart w:id="144" w:name="_Toc241404204"/>
      <w:bookmarkStart w:id="145" w:name="_Toc251592739"/>
      <w:r>
        <w:rPr>
          <w:rFonts w:hint="eastAsia" w:ascii="新宋体" w:hAnsi="新宋体" w:eastAsia="新宋体" w:cs="新宋体"/>
          <w:color w:val="auto"/>
          <w:sz w:val="24"/>
          <w:szCs w:val="24"/>
          <w:highlight w:val="none"/>
        </w:rPr>
        <w:t>五、 开标</w:t>
      </w:r>
      <w:bookmarkEnd w:id="119"/>
      <w:bookmarkEnd w:id="120"/>
      <w:bookmarkEnd w:id="121"/>
      <w:bookmarkEnd w:id="122"/>
      <w:bookmarkEnd w:id="123"/>
      <w:bookmarkEnd w:id="124"/>
      <w:bookmarkEnd w:id="125"/>
      <w:bookmarkEnd w:id="126"/>
      <w:bookmarkEnd w:id="127"/>
      <w:bookmarkEnd w:id="128"/>
    </w:p>
    <w:p w14:paraId="04DA5CBF">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lang w:val="en-US" w:eastAsia="zh-CN"/>
        </w:rPr>
        <w:t>19</w:t>
      </w:r>
      <w:r>
        <w:rPr>
          <w:rFonts w:hint="eastAsia" w:ascii="新宋体" w:hAnsi="新宋体" w:eastAsia="新宋体" w:cs="新宋体"/>
          <w:b/>
          <w:bCs/>
          <w:color w:val="auto"/>
          <w:kern w:val="0"/>
          <w:sz w:val="22"/>
          <w:szCs w:val="22"/>
          <w:highlight w:val="none"/>
        </w:rPr>
        <w:t>. 开标形式</w:t>
      </w:r>
    </w:p>
    <w:p w14:paraId="069AC6E2">
      <w:pPr>
        <w:tabs>
          <w:tab w:val="left" w:pos="540"/>
        </w:tabs>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lang w:val="en-US" w:eastAsia="zh-CN"/>
        </w:rPr>
        <w:t>19</w:t>
      </w:r>
      <w:r>
        <w:rPr>
          <w:rFonts w:hint="eastAsia" w:ascii="新宋体" w:hAnsi="新宋体" w:eastAsia="新宋体" w:cs="新宋体"/>
          <w:bCs/>
          <w:color w:val="auto"/>
          <w:kern w:val="0"/>
          <w:sz w:val="22"/>
          <w:szCs w:val="22"/>
          <w:highlight w:val="none"/>
        </w:rPr>
        <w:t>.1 采购组织机构将按照采购文件规定的时间通过“</w:t>
      </w:r>
      <w:r>
        <w:rPr>
          <w:rFonts w:hint="eastAsia" w:ascii="新宋体" w:hAnsi="新宋体" w:eastAsia="新宋体" w:cs="新宋体"/>
          <w:bCs/>
          <w:color w:val="auto"/>
          <w:kern w:val="0"/>
          <w:sz w:val="22"/>
          <w:szCs w:val="22"/>
          <w:highlight w:val="none"/>
          <w:lang w:eastAsia="zh-CN"/>
        </w:rPr>
        <w:t>乐采云</w:t>
      </w:r>
      <w:r>
        <w:rPr>
          <w:rFonts w:hint="eastAsia" w:ascii="新宋体" w:hAnsi="新宋体" w:eastAsia="新宋体" w:cs="新宋体"/>
          <w:bCs/>
          <w:color w:val="auto"/>
          <w:kern w:val="0"/>
          <w:sz w:val="22"/>
          <w:szCs w:val="22"/>
          <w:highlight w:val="none"/>
        </w:rPr>
        <w:t>平台”组织开标、开启投标文件</w:t>
      </w:r>
      <w:r>
        <w:rPr>
          <w:rFonts w:hint="eastAsia" w:ascii="宋体" w:hAnsi="宋体"/>
          <w:bCs/>
          <w:color w:val="auto"/>
          <w:sz w:val="22"/>
          <w:szCs w:val="22"/>
          <w:highlight w:val="none"/>
        </w:rPr>
        <w:t>（资格文件、商务技术文件、报价文件）</w:t>
      </w:r>
      <w:r>
        <w:rPr>
          <w:rFonts w:hint="eastAsia" w:ascii="新宋体" w:hAnsi="新宋体" w:eastAsia="新宋体" w:cs="新宋体"/>
          <w:bCs/>
          <w:color w:val="auto"/>
          <w:kern w:val="0"/>
          <w:sz w:val="22"/>
          <w:szCs w:val="22"/>
          <w:highlight w:val="none"/>
        </w:rPr>
        <w:t>，所有供应商均应当准时在线参加。</w:t>
      </w:r>
    </w:p>
    <w:p w14:paraId="17715E9A">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lang w:val="en-US" w:eastAsia="zh-CN"/>
        </w:rPr>
        <w:t>20</w:t>
      </w:r>
      <w:r>
        <w:rPr>
          <w:rFonts w:hint="eastAsia" w:ascii="新宋体" w:hAnsi="新宋体" w:eastAsia="新宋体" w:cs="新宋体"/>
          <w:b/>
          <w:bCs/>
          <w:color w:val="auto"/>
          <w:kern w:val="0"/>
          <w:sz w:val="22"/>
          <w:szCs w:val="22"/>
          <w:highlight w:val="none"/>
        </w:rPr>
        <w:t>. 开标准备</w:t>
      </w:r>
    </w:p>
    <w:p w14:paraId="2686A7D4">
      <w:pPr>
        <w:tabs>
          <w:tab w:val="left" w:pos="540"/>
        </w:tabs>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2</w:t>
      </w:r>
      <w:r>
        <w:rPr>
          <w:rFonts w:hint="eastAsia" w:ascii="新宋体" w:hAnsi="新宋体" w:eastAsia="新宋体" w:cs="新宋体"/>
          <w:bCs/>
          <w:color w:val="auto"/>
          <w:kern w:val="0"/>
          <w:sz w:val="22"/>
          <w:szCs w:val="22"/>
          <w:highlight w:val="none"/>
          <w:lang w:val="en-US" w:eastAsia="zh-CN"/>
        </w:rPr>
        <w:t>0</w:t>
      </w:r>
      <w:r>
        <w:rPr>
          <w:rFonts w:hint="eastAsia" w:ascii="新宋体" w:hAnsi="新宋体" w:eastAsia="新宋体" w:cs="新宋体"/>
          <w:bCs/>
          <w:color w:val="auto"/>
          <w:kern w:val="0"/>
          <w:sz w:val="22"/>
          <w:szCs w:val="22"/>
          <w:highlight w:val="none"/>
        </w:rPr>
        <w:t>.1开标的准备工作由采购组织机构负责落实。</w:t>
      </w:r>
    </w:p>
    <w:p w14:paraId="349896A0">
      <w:pPr>
        <w:tabs>
          <w:tab w:val="left" w:pos="540"/>
        </w:tabs>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2</w:t>
      </w:r>
      <w:r>
        <w:rPr>
          <w:rFonts w:hint="eastAsia" w:ascii="新宋体" w:hAnsi="新宋体" w:eastAsia="新宋体" w:cs="新宋体"/>
          <w:bCs/>
          <w:color w:val="auto"/>
          <w:kern w:val="0"/>
          <w:sz w:val="22"/>
          <w:szCs w:val="22"/>
          <w:highlight w:val="none"/>
          <w:lang w:val="en-US" w:eastAsia="zh-CN"/>
        </w:rPr>
        <w:t>0</w:t>
      </w:r>
      <w:r>
        <w:rPr>
          <w:rFonts w:hint="eastAsia" w:ascii="新宋体" w:hAnsi="新宋体" w:eastAsia="新宋体" w:cs="新宋体"/>
          <w:bCs/>
          <w:color w:val="auto"/>
          <w:kern w:val="0"/>
          <w:sz w:val="22"/>
          <w:szCs w:val="22"/>
          <w:highlight w:val="none"/>
        </w:rPr>
        <w:t>.2采购组织机构将按照采购文件规定的时间通过“</w:t>
      </w:r>
      <w:r>
        <w:rPr>
          <w:rFonts w:hint="eastAsia" w:ascii="新宋体" w:hAnsi="新宋体" w:eastAsia="新宋体" w:cs="新宋体"/>
          <w:bCs/>
          <w:color w:val="auto"/>
          <w:kern w:val="0"/>
          <w:sz w:val="22"/>
          <w:szCs w:val="22"/>
          <w:highlight w:val="none"/>
          <w:lang w:eastAsia="zh-CN"/>
        </w:rPr>
        <w:t>乐采云</w:t>
      </w:r>
      <w:r>
        <w:rPr>
          <w:rFonts w:hint="eastAsia" w:ascii="新宋体" w:hAnsi="新宋体" w:eastAsia="新宋体" w:cs="新宋体"/>
          <w:bCs/>
          <w:color w:val="auto"/>
          <w:kern w:val="0"/>
          <w:sz w:val="22"/>
          <w:szCs w:val="22"/>
          <w:highlight w:val="none"/>
        </w:rPr>
        <w:t>平台”组织开标、开启投标文件</w:t>
      </w:r>
      <w:r>
        <w:rPr>
          <w:rFonts w:hint="eastAsia" w:ascii="宋体" w:hAnsi="宋体"/>
          <w:bCs/>
          <w:color w:val="auto"/>
          <w:sz w:val="22"/>
          <w:szCs w:val="22"/>
          <w:highlight w:val="none"/>
        </w:rPr>
        <w:t>（资格文件、商务技术文件、报价文件）</w:t>
      </w:r>
      <w:r>
        <w:rPr>
          <w:rFonts w:hint="eastAsia" w:ascii="新宋体" w:hAnsi="新宋体" w:eastAsia="新宋体" w:cs="新宋体"/>
          <w:bCs/>
          <w:color w:val="auto"/>
          <w:kern w:val="0"/>
          <w:sz w:val="22"/>
          <w:szCs w:val="22"/>
          <w:highlight w:val="none"/>
        </w:rPr>
        <w:t>，所有供应商均应当准时在线参加。</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如不参加开标大会的，视同认可开标结果，事后不得对采购相关人员、开标过程和开标结果提出异议，同时</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因未在线参加开标而导致投标文件无法按时解密等一切后果由供应商自己承担。</w:t>
      </w:r>
    </w:p>
    <w:p w14:paraId="07444EF7">
      <w:pPr>
        <w:tabs>
          <w:tab w:val="left" w:pos="540"/>
        </w:tabs>
        <w:spacing w:line="460" w:lineRule="exact"/>
        <w:rPr>
          <w:rFonts w:hint="eastAsia" w:ascii="新宋体" w:hAnsi="新宋体" w:eastAsia="新宋体" w:cs="新宋体"/>
          <w:b/>
          <w:bCs/>
          <w:color w:val="auto"/>
          <w:kern w:val="0"/>
          <w:sz w:val="22"/>
          <w:szCs w:val="22"/>
          <w:highlight w:val="none"/>
        </w:rPr>
      </w:pPr>
      <w:bookmarkStart w:id="146" w:name="_Toc34508135"/>
      <w:bookmarkStart w:id="147" w:name="_Toc34221900"/>
      <w:r>
        <w:rPr>
          <w:rFonts w:hint="eastAsia" w:ascii="新宋体" w:hAnsi="新宋体" w:eastAsia="新宋体" w:cs="新宋体"/>
          <w:b/>
          <w:bCs/>
          <w:color w:val="auto"/>
          <w:kern w:val="0"/>
          <w:sz w:val="22"/>
          <w:szCs w:val="22"/>
          <w:highlight w:val="none"/>
        </w:rPr>
        <w:t>2</w:t>
      </w:r>
      <w:r>
        <w:rPr>
          <w:rFonts w:hint="eastAsia" w:ascii="新宋体" w:hAnsi="新宋体" w:eastAsia="新宋体" w:cs="新宋体"/>
          <w:b/>
          <w:bCs/>
          <w:color w:val="auto"/>
          <w:kern w:val="0"/>
          <w:sz w:val="22"/>
          <w:szCs w:val="22"/>
          <w:highlight w:val="none"/>
          <w:lang w:val="en-US" w:eastAsia="zh-CN"/>
        </w:rPr>
        <w:t>1</w:t>
      </w:r>
      <w:r>
        <w:rPr>
          <w:rFonts w:hint="eastAsia" w:ascii="新宋体" w:hAnsi="新宋体" w:eastAsia="新宋体" w:cs="新宋体"/>
          <w:b/>
          <w:bCs/>
          <w:color w:val="auto"/>
          <w:kern w:val="0"/>
          <w:sz w:val="22"/>
          <w:szCs w:val="22"/>
          <w:highlight w:val="none"/>
        </w:rPr>
        <w:t>.开标流程</w:t>
      </w:r>
    </w:p>
    <w:p w14:paraId="19543D73">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2</w:t>
      </w:r>
      <w:r>
        <w:rPr>
          <w:rFonts w:hint="eastAsia" w:ascii="新宋体" w:hAnsi="新宋体" w:eastAsia="新宋体" w:cs="新宋体"/>
          <w:b/>
          <w:bCs/>
          <w:color w:val="auto"/>
          <w:kern w:val="0"/>
          <w:sz w:val="22"/>
          <w:szCs w:val="22"/>
          <w:highlight w:val="none"/>
          <w:lang w:val="en-US" w:eastAsia="zh-CN"/>
        </w:rPr>
        <w:t>1</w:t>
      </w:r>
      <w:r>
        <w:rPr>
          <w:rFonts w:hint="eastAsia" w:ascii="新宋体" w:hAnsi="新宋体" w:eastAsia="新宋体" w:cs="新宋体"/>
          <w:b/>
          <w:bCs/>
          <w:color w:val="auto"/>
          <w:kern w:val="0"/>
          <w:sz w:val="22"/>
          <w:szCs w:val="22"/>
          <w:highlight w:val="none"/>
        </w:rPr>
        <w:t>.1向各</w:t>
      </w:r>
      <w:r>
        <w:rPr>
          <w:rFonts w:hint="eastAsia" w:ascii="新宋体" w:hAnsi="新宋体" w:eastAsia="新宋体" w:cs="新宋体"/>
          <w:b/>
          <w:bCs/>
          <w:color w:val="auto"/>
          <w:kern w:val="0"/>
          <w:sz w:val="22"/>
          <w:szCs w:val="22"/>
          <w:highlight w:val="none"/>
          <w:lang w:eastAsia="zh-CN"/>
        </w:rPr>
        <w:t>投标供应商</w:t>
      </w:r>
      <w:r>
        <w:rPr>
          <w:rFonts w:hint="eastAsia" w:ascii="新宋体" w:hAnsi="新宋体" w:eastAsia="新宋体" w:cs="新宋体"/>
          <w:b/>
          <w:bCs/>
          <w:color w:val="auto"/>
          <w:kern w:val="0"/>
          <w:sz w:val="22"/>
          <w:szCs w:val="22"/>
          <w:highlight w:val="none"/>
        </w:rPr>
        <w:t>发出电子加密投标文件【开始解密】通知，由</w:t>
      </w:r>
      <w:r>
        <w:rPr>
          <w:rFonts w:hint="eastAsia" w:ascii="新宋体" w:hAnsi="新宋体" w:eastAsia="新宋体" w:cs="新宋体"/>
          <w:b/>
          <w:bCs/>
          <w:color w:val="auto"/>
          <w:kern w:val="0"/>
          <w:sz w:val="22"/>
          <w:szCs w:val="22"/>
          <w:highlight w:val="none"/>
          <w:lang w:eastAsia="zh-CN"/>
        </w:rPr>
        <w:t>投标供应商</w:t>
      </w:r>
      <w:r>
        <w:rPr>
          <w:rFonts w:hint="eastAsia" w:ascii="新宋体" w:hAnsi="新宋体" w:eastAsia="新宋体" w:cs="新宋体"/>
          <w:b/>
          <w:bCs/>
          <w:color w:val="auto"/>
          <w:kern w:val="0"/>
          <w:sz w:val="22"/>
          <w:szCs w:val="22"/>
          <w:highlight w:val="none"/>
        </w:rPr>
        <w:t>按采购文件规定的时间内自行进行投标文件解密。</w:t>
      </w:r>
      <w:r>
        <w:rPr>
          <w:rFonts w:hint="eastAsia" w:ascii="新宋体" w:hAnsi="新宋体" w:eastAsia="新宋体" w:cs="新宋体"/>
          <w:b/>
          <w:bCs/>
          <w:color w:val="auto"/>
          <w:kern w:val="0"/>
          <w:sz w:val="22"/>
          <w:szCs w:val="22"/>
          <w:highlight w:val="none"/>
          <w:lang w:eastAsia="zh-CN"/>
        </w:rPr>
        <w:t>投标供应商</w:t>
      </w:r>
      <w:r>
        <w:rPr>
          <w:rFonts w:hint="eastAsia" w:ascii="新宋体" w:hAnsi="新宋体" w:eastAsia="新宋体" w:cs="新宋体"/>
          <w:b/>
          <w:bCs/>
          <w:color w:val="auto"/>
          <w:kern w:val="0"/>
          <w:sz w:val="22"/>
          <w:szCs w:val="22"/>
          <w:highlight w:val="none"/>
        </w:rPr>
        <w:t>在规定的时间内（开标时间起</w:t>
      </w:r>
      <w:r>
        <w:rPr>
          <w:rFonts w:hint="eastAsia" w:ascii="新宋体" w:hAnsi="新宋体" w:eastAsia="新宋体" w:cs="新宋体"/>
          <w:b/>
          <w:bCs/>
          <w:color w:val="auto"/>
          <w:kern w:val="0"/>
          <w:sz w:val="22"/>
          <w:szCs w:val="22"/>
          <w:highlight w:val="none"/>
          <w:lang w:eastAsia="zh-CN"/>
        </w:rPr>
        <w:t>30分钟</w:t>
      </w:r>
      <w:r>
        <w:rPr>
          <w:rFonts w:hint="eastAsia" w:ascii="新宋体" w:hAnsi="新宋体" w:eastAsia="新宋体" w:cs="新宋体"/>
          <w:b/>
          <w:bCs/>
          <w:color w:val="auto"/>
          <w:kern w:val="0"/>
          <w:sz w:val="22"/>
          <w:szCs w:val="22"/>
          <w:highlight w:val="none"/>
        </w:rPr>
        <w:t>内,具体以</w:t>
      </w:r>
      <w:r>
        <w:rPr>
          <w:rFonts w:hint="eastAsia" w:ascii="新宋体" w:hAnsi="新宋体" w:eastAsia="新宋体" w:cs="新宋体"/>
          <w:b/>
          <w:bCs/>
          <w:color w:val="auto"/>
          <w:kern w:val="0"/>
          <w:sz w:val="22"/>
          <w:szCs w:val="22"/>
          <w:highlight w:val="none"/>
          <w:lang w:eastAsia="zh-CN"/>
        </w:rPr>
        <w:t>乐采云</w:t>
      </w:r>
      <w:r>
        <w:rPr>
          <w:rFonts w:hint="eastAsia" w:ascii="新宋体" w:hAnsi="新宋体" w:eastAsia="新宋体" w:cs="新宋体"/>
          <w:b/>
          <w:bCs/>
          <w:color w:val="auto"/>
          <w:kern w:val="0"/>
          <w:sz w:val="22"/>
          <w:szCs w:val="22"/>
          <w:highlight w:val="none"/>
        </w:rPr>
        <w:t>系统要求</w:t>
      </w:r>
      <w:r>
        <w:rPr>
          <w:rFonts w:hint="eastAsia" w:ascii="新宋体" w:hAnsi="新宋体" w:eastAsia="新宋体" w:cs="新宋体"/>
          <w:b/>
          <w:bCs/>
          <w:color w:val="auto"/>
          <w:kern w:val="0"/>
          <w:sz w:val="22"/>
          <w:szCs w:val="22"/>
          <w:highlight w:val="none"/>
          <w:lang w:val="en-US" w:eastAsia="zh-CN"/>
        </w:rPr>
        <w:t>的时间</w:t>
      </w:r>
      <w:r>
        <w:rPr>
          <w:rFonts w:hint="eastAsia" w:ascii="新宋体" w:hAnsi="新宋体" w:eastAsia="新宋体" w:cs="新宋体"/>
          <w:b/>
          <w:bCs/>
          <w:color w:val="auto"/>
          <w:kern w:val="0"/>
          <w:sz w:val="22"/>
          <w:szCs w:val="22"/>
          <w:highlight w:val="none"/>
        </w:rPr>
        <w:t>为准）无法完成已递交的“电子加密投标文件”解密的，如已按规定递交了备份投标文件的，将由采购组织机构按“</w:t>
      </w:r>
      <w:r>
        <w:rPr>
          <w:rFonts w:hint="eastAsia" w:ascii="新宋体" w:hAnsi="新宋体" w:eastAsia="新宋体" w:cs="新宋体"/>
          <w:b/>
          <w:bCs/>
          <w:color w:val="auto"/>
          <w:kern w:val="0"/>
          <w:sz w:val="22"/>
          <w:szCs w:val="22"/>
          <w:highlight w:val="none"/>
          <w:lang w:eastAsia="zh-CN"/>
        </w:rPr>
        <w:t>乐采云</w:t>
      </w:r>
      <w:r>
        <w:rPr>
          <w:rFonts w:hint="eastAsia" w:ascii="新宋体" w:hAnsi="新宋体" w:eastAsia="新宋体" w:cs="新宋体"/>
          <w:b/>
          <w:bCs/>
          <w:color w:val="auto"/>
          <w:kern w:val="0"/>
          <w:sz w:val="22"/>
          <w:szCs w:val="22"/>
          <w:highlight w:val="none"/>
        </w:rPr>
        <w:t>平台”操作规范将备份投标文件上传至“</w:t>
      </w:r>
      <w:r>
        <w:rPr>
          <w:rFonts w:hint="eastAsia" w:ascii="新宋体" w:hAnsi="新宋体" w:eastAsia="新宋体" w:cs="新宋体"/>
          <w:b/>
          <w:bCs/>
          <w:color w:val="auto"/>
          <w:kern w:val="0"/>
          <w:sz w:val="22"/>
          <w:szCs w:val="22"/>
          <w:highlight w:val="none"/>
          <w:lang w:eastAsia="zh-CN"/>
        </w:rPr>
        <w:t>乐采云</w:t>
      </w:r>
      <w:r>
        <w:rPr>
          <w:rFonts w:hint="eastAsia" w:ascii="新宋体" w:hAnsi="新宋体" w:eastAsia="新宋体" w:cs="新宋体"/>
          <w:b/>
          <w:bCs/>
          <w:color w:val="auto"/>
          <w:kern w:val="0"/>
          <w:sz w:val="22"/>
          <w:szCs w:val="22"/>
          <w:highlight w:val="none"/>
        </w:rPr>
        <w:t>平台”，上传成功后，“电子加密投标文件”自动失效；</w:t>
      </w:r>
    </w:p>
    <w:p w14:paraId="70B3BA1D">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lang w:eastAsia="zh-CN"/>
        </w:rPr>
        <w:t>投标供应商</w:t>
      </w:r>
      <w:r>
        <w:rPr>
          <w:rFonts w:hint="eastAsia" w:ascii="新宋体" w:hAnsi="新宋体" w:eastAsia="新宋体" w:cs="新宋体"/>
          <w:b/>
          <w:bCs/>
          <w:color w:val="auto"/>
          <w:kern w:val="0"/>
          <w:sz w:val="22"/>
          <w:szCs w:val="22"/>
          <w:highlight w:val="none"/>
        </w:rPr>
        <w:t>不足3家的，不得开标。</w:t>
      </w:r>
    </w:p>
    <w:p w14:paraId="3843570E">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开标现场组织人员在</w:t>
      </w:r>
      <w:r>
        <w:rPr>
          <w:rFonts w:hint="eastAsia" w:ascii="新宋体" w:hAnsi="新宋体" w:eastAsia="新宋体" w:cs="新宋体"/>
          <w:b/>
          <w:bCs/>
          <w:color w:val="auto"/>
          <w:kern w:val="0"/>
          <w:sz w:val="22"/>
          <w:szCs w:val="22"/>
          <w:highlight w:val="none"/>
          <w:lang w:eastAsia="zh-CN"/>
        </w:rPr>
        <w:t>乐采云平台</w:t>
      </w:r>
      <w:r>
        <w:rPr>
          <w:rFonts w:hint="eastAsia" w:ascii="新宋体" w:hAnsi="新宋体" w:eastAsia="新宋体" w:cs="新宋体"/>
          <w:b/>
          <w:bCs/>
          <w:color w:val="auto"/>
          <w:kern w:val="0"/>
          <w:sz w:val="22"/>
          <w:szCs w:val="22"/>
          <w:highlight w:val="none"/>
        </w:rPr>
        <w:t>在线公布投标文件解密情况并组织签署《</w:t>
      </w:r>
      <w:r>
        <w:rPr>
          <w:rFonts w:hint="eastAsia" w:ascii="新宋体" w:hAnsi="新宋体" w:eastAsia="新宋体" w:cs="新宋体"/>
          <w:b/>
          <w:bCs/>
          <w:color w:val="auto"/>
          <w:kern w:val="0"/>
          <w:sz w:val="22"/>
          <w:szCs w:val="22"/>
          <w:highlight w:val="none"/>
          <w:lang w:eastAsia="zh-CN"/>
        </w:rPr>
        <w:t>国企采购活动现场确认声明书</w:t>
      </w:r>
      <w:r>
        <w:rPr>
          <w:rFonts w:hint="eastAsia" w:ascii="新宋体" w:hAnsi="新宋体" w:eastAsia="新宋体" w:cs="新宋体"/>
          <w:b/>
          <w:bCs/>
          <w:color w:val="auto"/>
          <w:kern w:val="0"/>
          <w:sz w:val="22"/>
          <w:szCs w:val="22"/>
          <w:highlight w:val="none"/>
        </w:rPr>
        <w:t>》（格式详见</w:t>
      </w:r>
      <w:r>
        <w:rPr>
          <w:rFonts w:hint="eastAsia" w:ascii="新宋体" w:hAnsi="新宋体" w:eastAsia="新宋体" w:cs="新宋体"/>
          <w:b/>
          <w:bCs/>
          <w:color w:val="auto"/>
          <w:kern w:val="0"/>
          <w:sz w:val="22"/>
          <w:szCs w:val="22"/>
          <w:highlight w:val="none"/>
          <w:lang w:val="en-US" w:eastAsia="zh-CN"/>
        </w:rPr>
        <w:t>采购文件</w:t>
      </w:r>
      <w:r>
        <w:rPr>
          <w:rFonts w:hint="eastAsia" w:ascii="新宋体" w:hAnsi="新宋体" w:eastAsia="新宋体" w:cs="新宋体"/>
          <w:b/>
          <w:bCs/>
          <w:color w:val="auto"/>
          <w:kern w:val="0"/>
          <w:sz w:val="22"/>
          <w:szCs w:val="22"/>
          <w:highlight w:val="none"/>
        </w:rPr>
        <w:t>其他附件</w:t>
      </w:r>
      <w:r>
        <w:rPr>
          <w:rFonts w:hint="eastAsia" w:ascii="新宋体" w:hAnsi="新宋体" w:eastAsia="新宋体" w:cs="新宋体"/>
          <w:b/>
          <w:bCs/>
          <w:color w:val="auto"/>
          <w:kern w:val="0"/>
          <w:sz w:val="22"/>
          <w:szCs w:val="22"/>
          <w:highlight w:val="none"/>
          <w:lang w:val="en-US" w:eastAsia="zh-CN"/>
        </w:rPr>
        <w:t>一</w:t>
      </w:r>
      <w:r>
        <w:rPr>
          <w:rFonts w:hint="eastAsia" w:ascii="新宋体" w:hAnsi="新宋体" w:eastAsia="新宋体" w:cs="新宋体"/>
          <w:b/>
          <w:bCs/>
          <w:color w:val="auto"/>
          <w:kern w:val="0"/>
          <w:sz w:val="22"/>
          <w:szCs w:val="22"/>
          <w:highlight w:val="none"/>
        </w:rPr>
        <w:t>《</w:t>
      </w:r>
      <w:r>
        <w:rPr>
          <w:rFonts w:hint="eastAsia" w:ascii="新宋体" w:hAnsi="新宋体" w:eastAsia="新宋体" w:cs="新宋体"/>
          <w:b/>
          <w:bCs/>
          <w:color w:val="auto"/>
          <w:kern w:val="0"/>
          <w:sz w:val="22"/>
          <w:szCs w:val="22"/>
          <w:highlight w:val="none"/>
          <w:lang w:eastAsia="zh-CN"/>
        </w:rPr>
        <w:t>国企采购活动现场确认声明书</w:t>
      </w:r>
      <w:r>
        <w:rPr>
          <w:rFonts w:hint="eastAsia" w:ascii="新宋体" w:hAnsi="新宋体" w:eastAsia="新宋体" w:cs="新宋体"/>
          <w:b/>
          <w:bCs/>
          <w:color w:val="auto"/>
          <w:kern w:val="0"/>
          <w:sz w:val="22"/>
          <w:szCs w:val="22"/>
          <w:highlight w:val="none"/>
        </w:rPr>
        <w:t>》，如实填写完成后扫描后发送至采购代理机构邮箱：53514766@qq.com）</w:t>
      </w:r>
      <w:r>
        <w:rPr>
          <w:rFonts w:hint="eastAsia" w:ascii="新宋体" w:hAnsi="新宋体" w:eastAsia="新宋体" w:cs="新宋体"/>
          <w:b/>
          <w:bCs/>
          <w:color w:val="auto"/>
          <w:kern w:val="0"/>
          <w:sz w:val="22"/>
          <w:szCs w:val="22"/>
          <w:highlight w:val="none"/>
          <w:lang w:val="en-US" w:eastAsia="zh-CN"/>
        </w:rPr>
        <w:t>；</w:t>
      </w:r>
    </w:p>
    <w:p w14:paraId="1D301135">
      <w:pPr>
        <w:tabs>
          <w:tab w:val="left" w:pos="540"/>
        </w:tabs>
        <w:spacing w:line="460" w:lineRule="exact"/>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rPr>
        <w:t>2</w:t>
      </w:r>
      <w:r>
        <w:rPr>
          <w:rFonts w:hint="eastAsia" w:ascii="新宋体" w:hAnsi="新宋体" w:eastAsia="新宋体" w:cs="新宋体"/>
          <w:b/>
          <w:bCs/>
          <w:color w:val="auto"/>
          <w:kern w:val="0"/>
          <w:sz w:val="22"/>
          <w:szCs w:val="22"/>
          <w:highlight w:val="none"/>
          <w:lang w:val="en-US" w:eastAsia="zh-CN"/>
        </w:rPr>
        <w:t>1</w:t>
      </w:r>
      <w:r>
        <w:rPr>
          <w:rFonts w:hint="eastAsia" w:ascii="新宋体" w:hAnsi="新宋体" w:eastAsia="新宋体" w:cs="新宋体"/>
          <w:b/>
          <w:bCs/>
          <w:color w:val="auto"/>
          <w:kern w:val="0"/>
          <w:sz w:val="22"/>
          <w:szCs w:val="22"/>
          <w:highlight w:val="none"/>
        </w:rPr>
        <w:t>.</w:t>
      </w:r>
      <w:r>
        <w:rPr>
          <w:rFonts w:hint="eastAsia" w:ascii="新宋体" w:hAnsi="新宋体" w:eastAsia="新宋体" w:cs="新宋体"/>
          <w:b/>
          <w:bCs/>
          <w:color w:val="auto"/>
          <w:kern w:val="0"/>
          <w:sz w:val="22"/>
          <w:szCs w:val="22"/>
          <w:highlight w:val="none"/>
          <w:lang w:val="en-US" w:eastAsia="zh-CN"/>
        </w:rPr>
        <w:t>2解密成功后，开启各投标供应商的《投标文件》，在系统上公布各投标供应商名称、投标报价及采购文件规定的需要宣布的其他内容，投标供应商通过乐采云系统对自己报价文件相关内容进行签字确认（不予确认的应说明理由，否则视为无异议，时间为30分钟）；</w:t>
      </w:r>
    </w:p>
    <w:p w14:paraId="42952C31">
      <w:pPr>
        <w:tabs>
          <w:tab w:val="left" w:pos="540"/>
        </w:tabs>
        <w:spacing w:line="460" w:lineRule="exact"/>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21.3</w:t>
      </w:r>
      <w:r>
        <w:rPr>
          <w:rFonts w:hint="eastAsia" w:ascii="新宋体" w:hAnsi="新宋体" w:eastAsia="新宋体" w:cs="新宋体"/>
          <w:b/>
          <w:bCs/>
          <w:color w:val="auto"/>
          <w:kern w:val="0"/>
          <w:sz w:val="22"/>
          <w:szCs w:val="22"/>
          <w:highlight w:val="none"/>
        </w:rPr>
        <w:t>采购人或采购代理机构</w:t>
      </w:r>
      <w:r>
        <w:rPr>
          <w:rFonts w:hint="eastAsia" w:ascii="新宋体" w:hAnsi="新宋体" w:eastAsia="新宋体" w:cs="新宋体"/>
          <w:b/>
          <w:bCs/>
          <w:color w:val="auto"/>
          <w:kern w:val="0"/>
          <w:sz w:val="22"/>
          <w:szCs w:val="22"/>
          <w:highlight w:val="none"/>
          <w:lang w:val="en-US" w:eastAsia="zh-CN"/>
        </w:rPr>
        <w:t>进入资格审查；</w:t>
      </w:r>
    </w:p>
    <w:p w14:paraId="2ACA66A1">
      <w:pPr>
        <w:tabs>
          <w:tab w:val="left" w:pos="540"/>
        </w:tabs>
        <w:spacing w:line="460" w:lineRule="exact"/>
        <w:rPr>
          <w:rFonts w:hint="default" w:ascii="新宋体" w:hAnsi="新宋体" w:eastAsia="新宋体" w:cs="新宋体"/>
          <w:b/>
          <w:bCs/>
          <w:color w:val="auto"/>
          <w:kern w:val="0"/>
          <w:sz w:val="22"/>
          <w:szCs w:val="22"/>
          <w:highlight w:val="none"/>
          <w:lang w:val="en-US" w:eastAsia="zh-CN"/>
        </w:rPr>
      </w:pPr>
      <w:r>
        <w:rPr>
          <w:rFonts w:hint="default" w:ascii="新宋体" w:hAnsi="新宋体" w:eastAsia="新宋体" w:cs="新宋体"/>
          <w:b/>
          <w:bCs/>
          <w:color w:val="auto"/>
          <w:kern w:val="0"/>
          <w:sz w:val="22"/>
          <w:szCs w:val="22"/>
          <w:highlight w:val="none"/>
          <w:lang w:val="en-US" w:eastAsia="zh-CN"/>
        </w:rPr>
        <w:t>合格</w:t>
      </w:r>
      <w:r>
        <w:rPr>
          <w:rFonts w:hint="eastAsia" w:ascii="新宋体" w:hAnsi="新宋体" w:eastAsia="新宋体" w:cs="新宋体"/>
          <w:b/>
          <w:bCs/>
          <w:color w:val="auto"/>
          <w:kern w:val="0"/>
          <w:sz w:val="22"/>
          <w:szCs w:val="22"/>
          <w:highlight w:val="none"/>
          <w:lang w:val="en-US" w:eastAsia="zh-CN"/>
        </w:rPr>
        <w:t>投标供应商</w:t>
      </w:r>
      <w:r>
        <w:rPr>
          <w:rFonts w:hint="default" w:ascii="新宋体" w:hAnsi="新宋体" w:eastAsia="新宋体" w:cs="新宋体"/>
          <w:b/>
          <w:bCs/>
          <w:color w:val="auto"/>
          <w:kern w:val="0"/>
          <w:sz w:val="22"/>
          <w:szCs w:val="22"/>
          <w:highlight w:val="none"/>
          <w:lang w:val="en-US" w:eastAsia="zh-CN"/>
        </w:rPr>
        <w:t>不足 3 家的，不得评标。</w:t>
      </w:r>
    </w:p>
    <w:p w14:paraId="2120E4DF">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备注：开标大会</w:t>
      </w:r>
      <w:r>
        <w:rPr>
          <w:rFonts w:hint="eastAsia" w:ascii="新宋体" w:hAnsi="新宋体" w:eastAsia="新宋体" w:cs="新宋体"/>
          <w:b/>
          <w:bCs/>
          <w:color w:val="auto"/>
          <w:kern w:val="0"/>
          <w:sz w:val="22"/>
          <w:szCs w:val="22"/>
          <w:highlight w:val="none"/>
          <w:lang w:val="en-US" w:eastAsia="zh-CN"/>
        </w:rPr>
        <w:t>结束后</w:t>
      </w:r>
      <w:r>
        <w:rPr>
          <w:rFonts w:hint="eastAsia" w:ascii="新宋体" w:hAnsi="新宋体" w:eastAsia="新宋体" w:cs="新宋体"/>
          <w:b/>
          <w:bCs/>
          <w:color w:val="auto"/>
          <w:kern w:val="0"/>
          <w:sz w:val="22"/>
          <w:szCs w:val="22"/>
          <w:highlight w:val="none"/>
        </w:rPr>
        <w:t>，采购人或采购代理机构将依法对</w:t>
      </w:r>
      <w:r>
        <w:rPr>
          <w:rFonts w:hint="eastAsia" w:ascii="新宋体" w:hAnsi="新宋体" w:eastAsia="新宋体" w:cs="新宋体"/>
          <w:b/>
          <w:bCs/>
          <w:color w:val="auto"/>
          <w:kern w:val="0"/>
          <w:sz w:val="22"/>
          <w:szCs w:val="22"/>
          <w:highlight w:val="none"/>
          <w:lang w:eastAsia="zh-CN"/>
        </w:rPr>
        <w:t>投标供应商</w:t>
      </w:r>
      <w:r>
        <w:rPr>
          <w:rFonts w:hint="eastAsia" w:ascii="新宋体" w:hAnsi="新宋体" w:eastAsia="新宋体" w:cs="新宋体"/>
          <w:b/>
          <w:bCs/>
          <w:color w:val="auto"/>
          <w:kern w:val="0"/>
          <w:sz w:val="22"/>
          <w:szCs w:val="22"/>
          <w:highlight w:val="none"/>
        </w:rPr>
        <w:t>的资格进行审查，资格审查结束后进入符合性审查和商务技术文件的评审工作，具体见本章节“</w:t>
      </w:r>
      <w:r>
        <w:rPr>
          <w:rFonts w:hint="eastAsia" w:ascii="新宋体" w:hAnsi="新宋体" w:eastAsia="新宋体" w:cs="新宋体"/>
          <w:b/>
          <w:bCs/>
          <w:color w:val="auto"/>
          <w:kern w:val="0"/>
          <w:sz w:val="22"/>
          <w:szCs w:val="22"/>
          <w:highlight w:val="none"/>
          <w:lang w:eastAsia="zh-CN"/>
        </w:rPr>
        <w:t>投标供应商</w:t>
      </w:r>
      <w:r>
        <w:rPr>
          <w:rFonts w:hint="eastAsia" w:ascii="新宋体" w:hAnsi="新宋体" w:eastAsia="新宋体" w:cs="新宋体"/>
          <w:b/>
          <w:bCs/>
          <w:color w:val="auto"/>
          <w:kern w:val="0"/>
          <w:sz w:val="22"/>
          <w:szCs w:val="22"/>
          <w:highlight w:val="none"/>
        </w:rPr>
        <w:t>资格审查”相关规定。</w:t>
      </w:r>
    </w:p>
    <w:p w14:paraId="7280FC92">
      <w:pPr>
        <w:tabs>
          <w:tab w:val="left" w:pos="540"/>
        </w:tabs>
        <w:spacing w:line="460" w:lineRule="exact"/>
        <w:rPr>
          <w:rFonts w:hint="eastAsia" w:ascii="新宋体" w:hAnsi="新宋体" w:eastAsia="新宋体" w:cs="新宋体"/>
          <w:b/>
          <w:bCs/>
          <w:color w:val="auto"/>
          <w:kern w:val="0"/>
          <w:sz w:val="22"/>
          <w:szCs w:val="22"/>
          <w:highlight w:val="none"/>
          <w:lang w:eastAsia="zh-CN"/>
        </w:rPr>
      </w:pPr>
      <w:r>
        <w:rPr>
          <w:rFonts w:hint="eastAsia" w:ascii="新宋体" w:hAnsi="新宋体" w:eastAsia="新宋体" w:cs="新宋体"/>
          <w:b/>
          <w:bCs/>
          <w:color w:val="auto"/>
          <w:kern w:val="0"/>
          <w:sz w:val="22"/>
          <w:szCs w:val="22"/>
          <w:highlight w:val="none"/>
          <w:lang w:val="en-US" w:eastAsia="zh-CN"/>
        </w:rPr>
        <w:t>21.4</w:t>
      </w:r>
      <w:r>
        <w:rPr>
          <w:rFonts w:hint="eastAsia" w:ascii="新宋体" w:hAnsi="新宋体" w:eastAsia="新宋体" w:cs="新宋体"/>
          <w:b/>
          <w:bCs/>
          <w:color w:val="auto"/>
          <w:kern w:val="0"/>
          <w:sz w:val="22"/>
          <w:szCs w:val="22"/>
          <w:highlight w:val="none"/>
        </w:rPr>
        <w:t>开启通过资格审查的</w:t>
      </w:r>
      <w:r>
        <w:rPr>
          <w:rFonts w:hint="eastAsia" w:ascii="新宋体" w:hAnsi="新宋体" w:eastAsia="新宋体" w:cs="新宋体"/>
          <w:b/>
          <w:bCs/>
          <w:color w:val="auto"/>
          <w:kern w:val="0"/>
          <w:sz w:val="22"/>
          <w:szCs w:val="22"/>
          <w:highlight w:val="none"/>
          <w:lang w:eastAsia="zh-CN"/>
        </w:rPr>
        <w:t>投标供应商</w:t>
      </w:r>
      <w:r>
        <w:rPr>
          <w:rFonts w:hint="eastAsia" w:ascii="新宋体" w:hAnsi="新宋体" w:eastAsia="新宋体" w:cs="新宋体"/>
          <w:b/>
          <w:bCs/>
          <w:color w:val="auto"/>
          <w:kern w:val="0"/>
          <w:sz w:val="22"/>
          <w:szCs w:val="22"/>
          <w:highlight w:val="none"/>
        </w:rPr>
        <w:t>的商务技术文件进入符合性审查</w:t>
      </w:r>
      <w:r>
        <w:rPr>
          <w:rFonts w:hint="eastAsia" w:ascii="新宋体" w:hAnsi="新宋体" w:eastAsia="新宋体" w:cs="新宋体"/>
          <w:b/>
          <w:bCs/>
          <w:color w:val="auto"/>
          <w:kern w:val="0"/>
          <w:sz w:val="22"/>
          <w:szCs w:val="22"/>
          <w:highlight w:val="none"/>
          <w:lang w:eastAsia="zh-CN"/>
        </w:rPr>
        <w:t>，以确定其是否满足采购文件的实质性要求。没有满足采购文件的实质性要求的投标作无效标处理。</w:t>
      </w:r>
    </w:p>
    <w:p w14:paraId="4E3B9F25">
      <w:pPr>
        <w:tabs>
          <w:tab w:val="left" w:pos="540"/>
        </w:tabs>
        <w:spacing w:line="460" w:lineRule="exact"/>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21.5对通过资格审查、符合性审查的合格投标供应商进行商务技术文件的评审。</w:t>
      </w:r>
    </w:p>
    <w:p w14:paraId="7BC81BC5">
      <w:pPr>
        <w:tabs>
          <w:tab w:val="left" w:pos="540"/>
        </w:tabs>
        <w:spacing w:line="460" w:lineRule="exact"/>
        <w:rPr>
          <w:rFonts w:hint="default"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21.6评标委员会对报价的合理性、准确性等进行审查核实。</w:t>
      </w:r>
    </w:p>
    <w:p w14:paraId="76A49D3C">
      <w:pPr>
        <w:tabs>
          <w:tab w:val="left" w:pos="540"/>
        </w:tabs>
        <w:spacing w:line="460" w:lineRule="exact"/>
        <w:rPr>
          <w:rFonts w:hint="default"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21.7</w:t>
      </w:r>
      <w:r>
        <w:rPr>
          <w:rFonts w:hint="eastAsia" w:ascii="新宋体" w:hAnsi="新宋体" w:eastAsia="新宋体" w:cs="新宋体"/>
          <w:b/>
          <w:bCs/>
          <w:color w:val="auto"/>
          <w:kern w:val="0"/>
          <w:sz w:val="22"/>
          <w:szCs w:val="22"/>
          <w:highlight w:val="none"/>
        </w:rPr>
        <w:t>评审结束后，在“</w:t>
      </w:r>
      <w:r>
        <w:rPr>
          <w:rFonts w:hint="eastAsia" w:ascii="新宋体" w:hAnsi="新宋体" w:eastAsia="新宋体" w:cs="新宋体"/>
          <w:b/>
          <w:bCs/>
          <w:color w:val="auto"/>
          <w:kern w:val="0"/>
          <w:sz w:val="22"/>
          <w:szCs w:val="22"/>
          <w:highlight w:val="none"/>
          <w:lang w:eastAsia="zh-CN"/>
        </w:rPr>
        <w:t>乐采云</w:t>
      </w:r>
      <w:r>
        <w:rPr>
          <w:rFonts w:hint="eastAsia" w:ascii="新宋体" w:hAnsi="新宋体" w:eastAsia="新宋体" w:cs="新宋体"/>
          <w:b/>
          <w:bCs/>
          <w:color w:val="auto"/>
          <w:kern w:val="0"/>
          <w:sz w:val="22"/>
          <w:szCs w:val="22"/>
          <w:highlight w:val="none"/>
        </w:rPr>
        <w:t>平台”系统平台上公布中标（成交）候选人名单。</w:t>
      </w:r>
    </w:p>
    <w:p w14:paraId="0BC41D5C">
      <w:pPr>
        <w:tabs>
          <w:tab w:val="left" w:pos="540"/>
        </w:tabs>
        <w:spacing w:line="460" w:lineRule="exact"/>
        <w:rPr>
          <w:rFonts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特别说明：</w:t>
      </w:r>
    </w:p>
    <w:p w14:paraId="7DA6F6E9">
      <w:pPr>
        <w:tabs>
          <w:tab w:val="left" w:pos="540"/>
        </w:tabs>
        <w:spacing w:line="460" w:lineRule="exact"/>
        <w:rPr>
          <w:rFonts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（1）如遇“</w:t>
      </w:r>
      <w:r>
        <w:rPr>
          <w:rFonts w:hint="eastAsia" w:ascii="新宋体" w:hAnsi="新宋体" w:eastAsia="新宋体" w:cs="新宋体"/>
          <w:b/>
          <w:bCs/>
          <w:color w:val="auto"/>
          <w:kern w:val="0"/>
          <w:sz w:val="22"/>
          <w:szCs w:val="22"/>
          <w:highlight w:val="none"/>
          <w:lang w:val="en-US" w:eastAsia="zh-CN"/>
        </w:rPr>
        <w:t>乐</w:t>
      </w:r>
      <w:r>
        <w:rPr>
          <w:rFonts w:hint="eastAsia" w:ascii="新宋体" w:hAnsi="新宋体" w:eastAsia="新宋体" w:cs="新宋体"/>
          <w:b/>
          <w:bCs/>
          <w:color w:val="auto"/>
          <w:kern w:val="0"/>
          <w:sz w:val="22"/>
          <w:szCs w:val="22"/>
          <w:highlight w:val="none"/>
        </w:rPr>
        <w:t>采云平台”电子化开标或评审程序（含相关数据公布）调整的，按调整后程序执行。</w:t>
      </w:r>
    </w:p>
    <w:p w14:paraId="095B3418">
      <w:pPr>
        <w:tabs>
          <w:tab w:val="left" w:pos="540"/>
        </w:tabs>
        <w:spacing w:line="460" w:lineRule="exact"/>
        <w:rPr>
          <w:rFonts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（2）开标过程中需要相关当事人进行签字或盖章确认的材料可通过“</w:t>
      </w:r>
      <w:r>
        <w:rPr>
          <w:rFonts w:hint="eastAsia" w:ascii="新宋体" w:hAnsi="新宋体" w:eastAsia="新宋体" w:cs="新宋体"/>
          <w:b/>
          <w:bCs/>
          <w:color w:val="auto"/>
          <w:kern w:val="0"/>
          <w:sz w:val="22"/>
          <w:szCs w:val="22"/>
          <w:highlight w:val="none"/>
          <w:lang w:val="en-US" w:eastAsia="zh-CN"/>
        </w:rPr>
        <w:t>乐采</w:t>
      </w:r>
      <w:r>
        <w:rPr>
          <w:rFonts w:hint="eastAsia" w:ascii="新宋体" w:hAnsi="新宋体" w:eastAsia="新宋体" w:cs="新宋体"/>
          <w:b/>
          <w:bCs/>
          <w:color w:val="auto"/>
          <w:kern w:val="0"/>
          <w:sz w:val="22"/>
          <w:szCs w:val="22"/>
          <w:highlight w:val="none"/>
        </w:rPr>
        <w:t>云平台”进行，采购组织机构也可通过邮件、传真等形式组织确认。</w:t>
      </w:r>
    </w:p>
    <w:p w14:paraId="0AEA427B">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（3）</w:t>
      </w:r>
      <w:r>
        <w:rPr>
          <w:rFonts w:hint="eastAsia" w:ascii="新宋体" w:hAnsi="新宋体" w:eastAsia="新宋体" w:cs="新宋体"/>
          <w:b/>
          <w:bCs/>
          <w:color w:val="auto"/>
          <w:kern w:val="0"/>
          <w:sz w:val="22"/>
          <w:szCs w:val="22"/>
          <w:highlight w:val="none"/>
          <w:lang w:eastAsia="zh-CN"/>
        </w:rPr>
        <w:t>投标供应商</w:t>
      </w:r>
      <w:r>
        <w:rPr>
          <w:rFonts w:hint="eastAsia" w:ascii="新宋体" w:hAnsi="新宋体" w:eastAsia="新宋体" w:cs="新宋体"/>
          <w:b/>
          <w:bCs/>
          <w:color w:val="auto"/>
          <w:kern w:val="0"/>
          <w:sz w:val="22"/>
          <w:szCs w:val="22"/>
          <w:highlight w:val="none"/>
        </w:rPr>
        <w:t>代表应保持“</w:t>
      </w:r>
      <w:r>
        <w:rPr>
          <w:rFonts w:hint="eastAsia" w:ascii="新宋体" w:hAnsi="新宋体" w:eastAsia="新宋体" w:cs="新宋体"/>
          <w:b/>
          <w:bCs/>
          <w:color w:val="auto"/>
          <w:kern w:val="0"/>
          <w:sz w:val="22"/>
          <w:szCs w:val="22"/>
          <w:highlight w:val="none"/>
          <w:lang w:eastAsia="zh-CN"/>
        </w:rPr>
        <w:t>乐采云平台</w:t>
      </w:r>
      <w:r>
        <w:rPr>
          <w:rFonts w:hint="eastAsia" w:ascii="新宋体" w:hAnsi="新宋体" w:eastAsia="新宋体" w:cs="新宋体"/>
          <w:b/>
          <w:bCs/>
          <w:color w:val="auto"/>
          <w:kern w:val="0"/>
          <w:sz w:val="22"/>
          <w:szCs w:val="22"/>
          <w:highlight w:val="none"/>
        </w:rPr>
        <w:t>”在线并准备好</w:t>
      </w:r>
      <w:r>
        <w:rPr>
          <w:rFonts w:hint="eastAsia" w:ascii="新宋体" w:hAnsi="新宋体" w:eastAsia="新宋体" w:cs="新宋体"/>
          <w:b/>
          <w:bCs/>
          <w:color w:val="auto"/>
          <w:kern w:val="0"/>
          <w:sz w:val="22"/>
          <w:szCs w:val="22"/>
          <w:highlight w:val="none"/>
          <w:lang w:eastAsia="zh-CN"/>
        </w:rPr>
        <w:t>投标供应商</w:t>
      </w:r>
      <w:r>
        <w:rPr>
          <w:rFonts w:hint="eastAsia" w:ascii="新宋体" w:hAnsi="新宋体" w:eastAsia="新宋体" w:cs="新宋体"/>
          <w:b/>
          <w:bCs/>
          <w:color w:val="auto"/>
          <w:kern w:val="0"/>
          <w:sz w:val="22"/>
          <w:szCs w:val="22"/>
          <w:highlight w:val="none"/>
        </w:rPr>
        <w:t>公章、笔、纸、打印机等办公用品，随时做好开评标过程所需文件的邮件收发及签字、盖章工作（下同）。由于</w:t>
      </w:r>
      <w:r>
        <w:rPr>
          <w:rFonts w:hint="eastAsia" w:ascii="新宋体" w:hAnsi="新宋体" w:eastAsia="新宋体" w:cs="新宋体"/>
          <w:b/>
          <w:bCs/>
          <w:color w:val="auto"/>
          <w:kern w:val="0"/>
          <w:sz w:val="22"/>
          <w:szCs w:val="22"/>
          <w:highlight w:val="none"/>
          <w:lang w:eastAsia="zh-CN"/>
        </w:rPr>
        <w:t>投标供应商</w:t>
      </w:r>
      <w:r>
        <w:rPr>
          <w:rFonts w:hint="eastAsia" w:ascii="新宋体" w:hAnsi="新宋体" w:eastAsia="新宋体" w:cs="新宋体"/>
          <w:b/>
          <w:bCs/>
          <w:color w:val="auto"/>
          <w:kern w:val="0"/>
          <w:sz w:val="22"/>
          <w:szCs w:val="22"/>
          <w:highlight w:val="none"/>
        </w:rPr>
        <w:t>代表未在线或电话无法联系而导致的相关损失或责任由</w:t>
      </w:r>
      <w:r>
        <w:rPr>
          <w:rFonts w:hint="eastAsia" w:ascii="新宋体" w:hAnsi="新宋体" w:eastAsia="新宋体" w:cs="新宋体"/>
          <w:b/>
          <w:bCs/>
          <w:color w:val="auto"/>
          <w:kern w:val="0"/>
          <w:sz w:val="22"/>
          <w:szCs w:val="22"/>
          <w:highlight w:val="none"/>
          <w:lang w:eastAsia="zh-CN"/>
        </w:rPr>
        <w:t>投标供应商</w:t>
      </w:r>
      <w:r>
        <w:rPr>
          <w:rFonts w:hint="eastAsia" w:ascii="新宋体" w:hAnsi="新宋体" w:eastAsia="新宋体" w:cs="新宋体"/>
          <w:b/>
          <w:bCs/>
          <w:color w:val="auto"/>
          <w:kern w:val="0"/>
          <w:sz w:val="22"/>
          <w:szCs w:val="22"/>
          <w:highlight w:val="none"/>
        </w:rPr>
        <w:t>承担。</w:t>
      </w:r>
    </w:p>
    <w:p w14:paraId="0244DA24">
      <w:pPr>
        <w:tabs>
          <w:tab w:val="left" w:pos="540"/>
        </w:tabs>
        <w:spacing w:line="460" w:lineRule="exact"/>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eastAsia="zh-CN"/>
        </w:rPr>
        <w:t>（</w:t>
      </w:r>
      <w:r>
        <w:rPr>
          <w:rFonts w:hint="eastAsia" w:ascii="新宋体" w:hAnsi="新宋体" w:eastAsia="新宋体" w:cs="新宋体"/>
          <w:b/>
          <w:bCs/>
          <w:color w:val="auto"/>
          <w:kern w:val="0"/>
          <w:sz w:val="22"/>
          <w:szCs w:val="22"/>
          <w:highlight w:val="none"/>
          <w:lang w:val="en-US" w:eastAsia="zh-CN"/>
        </w:rPr>
        <w:t>4</w:t>
      </w:r>
      <w:r>
        <w:rPr>
          <w:rFonts w:hint="eastAsia" w:ascii="新宋体" w:hAnsi="新宋体" w:eastAsia="新宋体" w:cs="新宋体"/>
          <w:b/>
          <w:bCs/>
          <w:color w:val="auto"/>
          <w:kern w:val="0"/>
          <w:sz w:val="22"/>
          <w:szCs w:val="22"/>
          <w:highlight w:val="none"/>
          <w:lang w:eastAsia="zh-CN"/>
        </w:rPr>
        <w:t>）</w:t>
      </w:r>
      <w:r>
        <w:rPr>
          <w:rFonts w:hint="eastAsia" w:ascii="新宋体" w:hAnsi="新宋体" w:eastAsia="新宋体" w:cs="新宋体"/>
          <w:b/>
          <w:bCs/>
          <w:color w:val="auto"/>
          <w:kern w:val="0"/>
          <w:sz w:val="22"/>
          <w:szCs w:val="22"/>
          <w:highlight w:val="none"/>
        </w:rPr>
        <w:t>开标流程</w:t>
      </w:r>
      <w:r>
        <w:rPr>
          <w:rFonts w:hint="eastAsia" w:ascii="新宋体" w:hAnsi="新宋体" w:eastAsia="新宋体" w:cs="新宋体"/>
          <w:b/>
          <w:bCs/>
          <w:color w:val="auto"/>
          <w:kern w:val="0"/>
          <w:sz w:val="22"/>
          <w:szCs w:val="22"/>
          <w:highlight w:val="none"/>
          <w:lang w:val="en-US" w:eastAsia="zh-CN"/>
        </w:rPr>
        <w:t>如存在前后不一致，以本条规定为准。</w:t>
      </w:r>
    </w:p>
    <w:p w14:paraId="4668DE8F">
      <w:pPr>
        <w:tabs>
          <w:tab w:val="left" w:pos="540"/>
        </w:tabs>
        <w:spacing w:line="460" w:lineRule="exact"/>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2</w:t>
      </w:r>
      <w:r>
        <w:rPr>
          <w:rFonts w:hint="eastAsia" w:ascii="新宋体" w:hAnsi="新宋体" w:eastAsia="新宋体" w:cs="新宋体"/>
          <w:b/>
          <w:bCs/>
          <w:color w:val="auto"/>
          <w:kern w:val="0"/>
          <w:sz w:val="22"/>
          <w:szCs w:val="22"/>
          <w:highlight w:val="none"/>
          <w:lang w:val="en-US" w:eastAsia="zh-CN"/>
        </w:rPr>
        <w:t>2</w:t>
      </w:r>
      <w:r>
        <w:rPr>
          <w:rFonts w:hint="eastAsia" w:ascii="新宋体" w:hAnsi="新宋体" w:eastAsia="新宋体" w:cs="新宋体"/>
          <w:b/>
          <w:bCs/>
          <w:color w:val="auto"/>
          <w:kern w:val="0"/>
          <w:sz w:val="22"/>
          <w:szCs w:val="22"/>
          <w:highlight w:val="none"/>
        </w:rPr>
        <w:t xml:space="preserve">. </w:t>
      </w:r>
      <w:r>
        <w:rPr>
          <w:rFonts w:hint="eastAsia" w:ascii="新宋体" w:hAnsi="新宋体" w:eastAsia="新宋体" w:cs="新宋体"/>
          <w:b/>
          <w:bCs/>
          <w:color w:val="auto"/>
          <w:kern w:val="0"/>
          <w:sz w:val="22"/>
          <w:szCs w:val="22"/>
          <w:highlight w:val="none"/>
          <w:lang w:eastAsia="zh-CN"/>
        </w:rPr>
        <w:t>投标供应商</w:t>
      </w:r>
      <w:r>
        <w:rPr>
          <w:rFonts w:hint="eastAsia" w:ascii="新宋体" w:hAnsi="新宋体" w:eastAsia="新宋体" w:cs="新宋体"/>
          <w:b/>
          <w:bCs/>
          <w:color w:val="auto"/>
          <w:kern w:val="0"/>
          <w:sz w:val="22"/>
          <w:szCs w:val="22"/>
          <w:highlight w:val="none"/>
        </w:rPr>
        <w:t>资格审查</w:t>
      </w:r>
    </w:p>
    <w:p w14:paraId="2CFC83F7">
      <w:pPr>
        <w:tabs>
          <w:tab w:val="left" w:pos="540"/>
        </w:tabs>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2</w:t>
      </w:r>
      <w:r>
        <w:rPr>
          <w:rFonts w:hint="eastAsia" w:ascii="新宋体" w:hAnsi="新宋体" w:eastAsia="新宋体" w:cs="新宋体"/>
          <w:bCs/>
          <w:color w:val="auto"/>
          <w:kern w:val="0"/>
          <w:sz w:val="22"/>
          <w:szCs w:val="22"/>
          <w:highlight w:val="none"/>
          <w:lang w:val="en-US" w:eastAsia="zh-CN"/>
        </w:rPr>
        <w:t>2</w:t>
      </w:r>
      <w:r>
        <w:rPr>
          <w:rFonts w:hint="eastAsia" w:ascii="新宋体" w:hAnsi="新宋体" w:eastAsia="新宋体" w:cs="新宋体"/>
          <w:bCs/>
          <w:color w:val="auto"/>
          <w:kern w:val="0"/>
          <w:sz w:val="22"/>
          <w:szCs w:val="22"/>
          <w:highlight w:val="none"/>
        </w:rPr>
        <w:t>.1开标大会结束后，采购人或采购代理机构首先依法对各</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的资格进行审查，审查各</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的资格是否满足采购文件的要求。采购人或采购代理机构对</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所提交的资格审查材料仅负审核的责任。如发现</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所提交的资格审查材料不合法或与事实不符，采购人可取消其中标资格并追究</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的法律责任。</w:t>
      </w:r>
    </w:p>
    <w:p w14:paraId="77C51152">
      <w:pPr>
        <w:tabs>
          <w:tab w:val="left" w:pos="540"/>
        </w:tabs>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2</w:t>
      </w:r>
      <w:r>
        <w:rPr>
          <w:rFonts w:hint="eastAsia" w:ascii="新宋体" w:hAnsi="新宋体" w:eastAsia="新宋体" w:cs="新宋体"/>
          <w:bCs/>
          <w:color w:val="auto"/>
          <w:kern w:val="0"/>
          <w:sz w:val="22"/>
          <w:szCs w:val="22"/>
          <w:highlight w:val="none"/>
          <w:lang w:val="en-US" w:eastAsia="zh-CN"/>
        </w:rPr>
        <w:t>2</w:t>
      </w:r>
      <w:r>
        <w:rPr>
          <w:rFonts w:hint="eastAsia" w:ascii="新宋体" w:hAnsi="新宋体" w:eastAsia="新宋体" w:cs="新宋体"/>
          <w:bCs/>
          <w:color w:val="auto"/>
          <w:kern w:val="0"/>
          <w:sz w:val="22"/>
          <w:szCs w:val="22"/>
          <w:highlight w:val="none"/>
        </w:rPr>
        <w:t>.2</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提交的资格审查材料无法证明其符合采购文件规定的“</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资格要求”的，采购人或采购代理机构将对其作资格审查不通过处理（无效投标），并不再将其投标提交评标委员会进行后续评审。</w:t>
      </w:r>
    </w:p>
    <w:p w14:paraId="179C6730">
      <w:pPr>
        <w:tabs>
          <w:tab w:val="left" w:pos="540"/>
        </w:tabs>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2</w:t>
      </w:r>
      <w:r>
        <w:rPr>
          <w:rFonts w:hint="eastAsia" w:ascii="新宋体" w:hAnsi="新宋体" w:eastAsia="新宋体" w:cs="新宋体"/>
          <w:bCs/>
          <w:color w:val="auto"/>
          <w:kern w:val="0"/>
          <w:sz w:val="22"/>
          <w:szCs w:val="22"/>
          <w:highlight w:val="none"/>
          <w:lang w:val="en-US" w:eastAsia="zh-CN"/>
        </w:rPr>
        <w:t>2</w:t>
      </w:r>
      <w:r>
        <w:rPr>
          <w:rFonts w:hint="eastAsia" w:ascii="新宋体" w:hAnsi="新宋体" w:eastAsia="新宋体" w:cs="新宋体"/>
          <w:bCs/>
          <w:color w:val="auto"/>
          <w:kern w:val="0"/>
          <w:sz w:val="22"/>
          <w:szCs w:val="22"/>
          <w:highlight w:val="none"/>
        </w:rPr>
        <w:t>.3单位负责人为同一人或者存在直接控股、管理关系的不同供应商参加同一合同项下的采购活动的，相关</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均作资格无效处理。</w:t>
      </w:r>
    </w:p>
    <w:p w14:paraId="3DF78D86">
      <w:pPr>
        <w:pStyle w:val="4"/>
        <w:spacing w:line="500" w:lineRule="exact"/>
        <w:jc w:val="center"/>
        <w:rPr>
          <w:rFonts w:hint="eastAsia" w:ascii="新宋体" w:hAnsi="新宋体" w:eastAsia="新宋体" w:cs="新宋体"/>
          <w:color w:val="auto"/>
          <w:sz w:val="24"/>
          <w:szCs w:val="24"/>
          <w:highlight w:val="none"/>
        </w:rPr>
      </w:pPr>
      <w:r>
        <w:rPr>
          <w:rFonts w:hint="eastAsia" w:ascii="新宋体" w:hAnsi="新宋体" w:eastAsia="新宋体" w:cs="新宋体"/>
          <w:color w:val="auto"/>
          <w:sz w:val="24"/>
          <w:szCs w:val="24"/>
          <w:highlight w:val="none"/>
        </w:rPr>
        <w:t>六、 评  标</w:t>
      </w:r>
      <w:bookmarkEnd w:id="146"/>
      <w:bookmarkEnd w:id="147"/>
    </w:p>
    <w:p w14:paraId="5F8DA753">
      <w:pPr>
        <w:spacing w:line="460" w:lineRule="exact"/>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2</w:t>
      </w:r>
      <w:r>
        <w:rPr>
          <w:rFonts w:hint="eastAsia" w:ascii="新宋体" w:hAnsi="新宋体" w:eastAsia="新宋体" w:cs="新宋体"/>
          <w:b/>
          <w:color w:val="auto"/>
          <w:kern w:val="0"/>
          <w:sz w:val="22"/>
          <w:szCs w:val="22"/>
          <w:highlight w:val="none"/>
          <w:lang w:val="en-US" w:eastAsia="zh-CN"/>
        </w:rPr>
        <w:t>3</w:t>
      </w:r>
      <w:r>
        <w:rPr>
          <w:rFonts w:hint="eastAsia" w:ascii="新宋体" w:hAnsi="新宋体" w:eastAsia="新宋体" w:cs="新宋体"/>
          <w:b/>
          <w:color w:val="auto"/>
          <w:kern w:val="0"/>
          <w:sz w:val="22"/>
          <w:szCs w:val="22"/>
          <w:highlight w:val="none"/>
        </w:rPr>
        <w:t>. 评标委员会</w:t>
      </w:r>
    </w:p>
    <w:p w14:paraId="7A9750CE">
      <w:pPr>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采购人按照《中华人民共和国政府采购法》等有关法律、法规的规定组建评标委员会，评标委员会成员由采购人代表和有关技术、经济等方面的专家组成，成员人数为5人（含）以上单数。</w:t>
      </w:r>
    </w:p>
    <w:p w14:paraId="4123CBCF">
      <w:pPr>
        <w:spacing w:line="460" w:lineRule="exact"/>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2</w:t>
      </w:r>
      <w:r>
        <w:rPr>
          <w:rFonts w:hint="eastAsia" w:ascii="新宋体" w:hAnsi="新宋体" w:eastAsia="新宋体" w:cs="新宋体"/>
          <w:b/>
          <w:color w:val="auto"/>
          <w:kern w:val="0"/>
          <w:sz w:val="22"/>
          <w:szCs w:val="22"/>
          <w:highlight w:val="none"/>
          <w:lang w:val="en-US" w:eastAsia="zh-CN"/>
        </w:rPr>
        <w:t>4</w:t>
      </w:r>
      <w:r>
        <w:rPr>
          <w:rFonts w:hint="eastAsia" w:ascii="新宋体" w:hAnsi="新宋体" w:eastAsia="新宋体" w:cs="新宋体"/>
          <w:b/>
          <w:color w:val="auto"/>
          <w:kern w:val="0"/>
          <w:sz w:val="22"/>
          <w:szCs w:val="22"/>
          <w:highlight w:val="none"/>
        </w:rPr>
        <w:t>. 评标过程的保密性</w:t>
      </w:r>
    </w:p>
    <w:p w14:paraId="4A82DF08">
      <w:pPr>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开标后直至向中标人授予合同时止，凡与评审有关的资料均不得向</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及与评标无关人员透露。如果</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在评标过程中试图向采购人和采购代理机构施加影响，其投标将被拒绝。</w:t>
      </w:r>
    </w:p>
    <w:p w14:paraId="773FF45D">
      <w:pPr>
        <w:spacing w:line="460" w:lineRule="exact"/>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lang w:val="en-US" w:eastAsia="zh-CN"/>
        </w:rPr>
        <w:t>25</w:t>
      </w:r>
      <w:r>
        <w:rPr>
          <w:rFonts w:hint="eastAsia" w:ascii="新宋体" w:hAnsi="新宋体" w:eastAsia="新宋体" w:cs="新宋体"/>
          <w:b/>
          <w:color w:val="auto"/>
          <w:kern w:val="0"/>
          <w:sz w:val="22"/>
          <w:szCs w:val="22"/>
          <w:highlight w:val="none"/>
        </w:rPr>
        <w:t>. 投标文件的初审（符合性检查）。</w:t>
      </w:r>
    </w:p>
    <w:p w14:paraId="604EA486">
      <w:pPr>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评标委员会依据采购文件的规定，从投标文件中的有效性、完整性和对采购文件的响应程度进行审查，以确定是否对采购文件的实质性要求作出响应。</w:t>
      </w:r>
    </w:p>
    <w:p w14:paraId="7CBC4077">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26</w:t>
      </w:r>
      <w:r>
        <w:rPr>
          <w:rFonts w:hint="eastAsia" w:ascii="新宋体" w:hAnsi="新宋体" w:eastAsia="新宋体" w:cs="新宋体"/>
          <w:color w:val="auto"/>
          <w:kern w:val="0"/>
          <w:sz w:val="22"/>
          <w:szCs w:val="22"/>
          <w:highlight w:val="none"/>
        </w:rPr>
        <w:t>.1</w:t>
      </w:r>
      <w:r>
        <w:rPr>
          <w:rFonts w:hint="eastAsia" w:ascii="新宋体" w:hAnsi="新宋体" w:eastAsia="新宋体" w:cs="新宋体"/>
          <w:color w:val="auto"/>
          <w:kern w:val="0"/>
          <w:sz w:val="22"/>
          <w:szCs w:val="22"/>
          <w:highlight w:val="none"/>
          <w:u w:val="single"/>
          <w:lang w:eastAsia="zh-CN"/>
        </w:rPr>
        <w:t>▲</w:t>
      </w:r>
      <w:r>
        <w:rPr>
          <w:rFonts w:hint="eastAsia" w:ascii="新宋体" w:hAnsi="新宋体" w:eastAsia="新宋体" w:cs="新宋体"/>
          <w:b/>
          <w:bCs/>
          <w:color w:val="auto"/>
          <w:kern w:val="0"/>
          <w:sz w:val="22"/>
          <w:szCs w:val="22"/>
          <w:highlight w:val="none"/>
          <w:u w:val="single"/>
          <w:lang w:eastAsia="zh-CN"/>
        </w:rPr>
        <w:t>投标供应商</w:t>
      </w:r>
      <w:r>
        <w:rPr>
          <w:rFonts w:hint="eastAsia" w:ascii="新宋体" w:hAnsi="新宋体" w:eastAsia="新宋体" w:cs="新宋体"/>
          <w:b/>
          <w:bCs/>
          <w:color w:val="auto"/>
          <w:kern w:val="0"/>
          <w:sz w:val="22"/>
          <w:szCs w:val="22"/>
          <w:highlight w:val="none"/>
          <w:u w:val="single"/>
        </w:rPr>
        <w:t>存在下列情况之一的，投标无效</w:t>
      </w:r>
      <w:r>
        <w:rPr>
          <w:rFonts w:hint="eastAsia" w:ascii="新宋体" w:hAnsi="新宋体" w:eastAsia="新宋体" w:cs="新宋体"/>
          <w:color w:val="auto"/>
          <w:kern w:val="0"/>
          <w:sz w:val="22"/>
          <w:szCs w:val="22"/>
          <w:highlight w:val="none"/>
        </w:rPr>
        <w:t>:</w:t>
      </w:r>
    </w:p>
    <w:p w14:paraId="620303F2">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1）仅提交“备份投标文件”的；</w:t>
      </w:r>
    </w:p>
    <w:p w14:paraId="6F1AB638">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2）不具备采购文件中规定的资格要求的；</w:t>
      </w:r>
    </w:p>
    <w:p w14:paraId="342A2765">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3）投标文件未按要求加盖单位公章、无法定代表人（负责人）签字或其授权代表签字（非实质性条款除外）的；</w:t>
      </w:r>
    </w:p>
    <w:p w14:paraId="4E046D9E">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4）明显不符合</w:t>
      </w:r>
      <w:r>
        <w:rPr>
          <w:rFonts w:hint="eastAsia" w:ascii="新宋体" w:hAnsi="新宋体" w:eastAsia="新宋体" w:cs="新宋体"/>
          <w:b/>
          <w:bCs/>
          <w:color w:val="auto"/>
          <w:kern w:val="0"/>
          <w:sz w:val="22"/>
          <w:szCs w:val="22"/>
          <w:highlight w:val="none"/>
          <w:u w:val="single"/>
          <w:lang w:eastAsia="zh-CN"/>
        </w:rPr>
        <w:t>采购文件</w:t>
      </w:r>
      <w:r>
        <w:rPr>
          <w:rFonts w:hint="eastAsia" w:ascii="新宋体" w:hAnsi="新宋体" w:eastAsia="新宋体" w:cs="新宋体"/>
          <w:b/>
          <w:bCs/>
          <w:color w:val="auto"/>
          <w:kern w:val="0"/>
          <w:sz w:val="22"/>
          <w:szCs w:val="22"/>
          <w:highlight w:val="none"/>
          <w:u w:val="single"/>
        </w:rPr>
        <w:t>中主要技术规格、商务技术标准或服务要求人或</w:t>
      </w:r>
      <w:r>
        <w:rPr>
          <w:rFonts w:hint="eastAsia" w:ascii="新宋体" w:hAnsi="新宋体" w:eastAsia="新宋体" w:cs="新宋体"/>
          <w:b/>
          <w:bCs/>
          <w:color w:val="auto"/>
          <w:kern w:val="0"/>
          <w:sz w:val="22"/>
          <w:szCs w:val="22"/>
          <w:highlight w:val="none"/>
          <w:u w:val="single"/>
          <w:lang w:eastAsia="zh-CN"/>
        </w:rPr>
        <w:t>采购文件</w:t>
      </w:r>
      <w:r>
        <w:rPr>
          <w:rFonts w:hint="eastAsia" w:ascii="新宋体" w:hAnsi="新宋体" w:eastAsia="新宋体" w:cs="新宋体"/>
          <w:b/>
          <w:bCs/>
          <w:color w:val="auto"/>
          <w:kern w:val="0"/>
          <w:sz w:val="22"/>
          <w:szCs w:val="22"/>
          <w:highlight w:val="none"/>
          <w:u w:val="single"/>
        </w:rPr>
        <w:t>中标注“</w:t>
      </w:r>
      <w:r>
        <w:rPr>
          <w:rFonts w:hint="eastAsia" w:ascii="新宋体" w:hAnsi="新宋体" w:eastAsia="新宋体" w:cs="新宋体"/>
          <w:b/>
          <w:bCs/>
          <w:color w:val="auto"/>
          <w:kern w:val="0"/>
          <w:sz w:val="22"/>
          <w:szCs w:val="22"/>
          <w:highlight w:val="none"/>
          <w:u w:val="single"/>
          <w:lang w:eastAsia="zh-CN"/>
        </w:rPr>
        <w:t>▲</w:t>
      </w:r>
      <w:r>
        <w:rPr>
          <w:rFonts w:hint="eastAsia" w:ascii="新宋体" w:hAnsi="新宋体" w:eastAsia="新宋体" w:cs="新宋体"/>
          <w:b/>
          <w:bCs/>
          <w:color w:val="auto"/>
          <w:kern w:val="0"/>
          <w:sz w:val="22"/>
          <w:szCs w:val="22"/>
          <w:highlight w:val="none"/>
          <w:u w:val="single"/>
        </w:rPr>
        <w:t>”且加下划线的实质性要求和条件，存在负偏离的；</w:t>
      </w:r>
    </w:p>
    <w:p w14:paraId="66DA1AD9">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5）投标文件实质性内容不全或关键字迹模糊无法辨认</w:t>
      </w:r>
      <w:r>
        <w:rPr>
          <w:rFonts w:hint="eastAsia" w:ascii="新宋体" w:hAnsi="新宋体" w:eastAsia="新宋体" w:cs="新宋体"/>
          <w:b/>
          <w:bCs/>
          <w:color w:val="auto"/>
          <w:kern w:val="0"/>
          <w:sz w:val="22"/>
          <w:szCs w:val="22"/>
          <w:highlight w:val="none"/>
          <w:u w:val="single"/>
          <w:lang w:val="en-US" w:eastAsia="zh-CN"/>
        </w:rPr>
        <w:t>的或</w:t>
      </w:r>
      <w:r>
        <w:rPr>
          <w:rFonts w:hint="eastAsia" w:ascii="新宋体" w:hAnsi="新宋体" w:eastAsia="新宋体" w:cs="新宋体"/>
          <w:b/>
          <w:bCs/>
          <w:color w:val="auto"/>
          <w:kern w:val="0"/>
          <w:sz w:val="22"/>
          <w:szCs w:val="22"/>
          <w:highlight w:val="none"/>
          <w:u w:val="single"/>
        </w:rPr>
        <w:t>未对所有项目内容进行投标的；</w:t>
      </w:r>
    </w:p>
    <w:p w14:paraId="4ABD16F6">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6）</w:t>
      </w:r>
      <w:r>
        <w:rPr>
          <w:rFonts w:hint="eastAsia" w:ascii="新宋体" w:hAnsi="新宋体" w:eastAsia="新宋体" w:cs="新宋体"/>
          <w:b/>
          <w:bCs/>
          <w:color w:val="auto"/>
          <w:kern w:val="0"/>
          <w:sz w:val="22"/>
          <w:szCs w:val="22"/>
          <w:highlight w:val="none"/>
          <w:u w:val="single"/>
          <w:lang w:eastAsia="zh-CN"/>
        </w:rPr>
        <w:t>投标供应商</w:t>
      </w:r>
      <w:r>
        <w:rPr>
          <w:rFonts w:hint="eastAsia" w:ascii="新宋体" w:hAnsi="新宋体" w:eastAsia="新宋体" w:cs="新宋体"/>
          <w:b/>
          <w:bCs/>
          <w:color w:val="auto"/>
          <w:kern w:val="0"/>
          <w:sz w:val="22"/>
          <w:szCs w:val="22"/>
          <w:highlight w:val="none"/>
          <w:u w:val="single"/>
        </w:rPr>
        <w:t>投标</w:t>
      </w:r>
      <w:r>
        <w:rPr>
          <w:rFonts w:hint="eastAsia" w:ascii="新宋体" w:hAnsi="新宋体" w:eastAsia="新宋体" w:cs="新宋体"/>
          <w:b/>
          <w:bCs/>
          <w:color w:val="auto"/>
          <w:kern w:val="0"/>
          <w:sz w:val="22"/>
          <w:szCs w:val="22"/>
          <w:highlight w:val="none"/>
          <w:u w:val="single"/>
          <w:lang w:val="en-US" w:eastAsia="zh-CN"/>
        </w:rPr>
        <w:t>报</w:t>
      </w:r>
      <w:r>
        <w:rPr>
          <w:rFonts w:hint="eastAsia" w:ascii="新宋体" w:hAnsi="新宋体" w:eastAsia="新宋体" w:cs="新宋体"/>
          <w:b/>
          <w:bCs/>
          <w:color w:val="auto"/>
          <w:kern w:val="0"/>
          <w:sz w:val="22"/>
          <w:szCs w:val="22"/>
          <w:highlight w:val="none"/>
          <w:u w:val="single"/>
        </w:rPr>
        <w:t>价超过</w:t>
      </w:r>
      <w:r>
        <w:rPr>
          <w:rFonts w:hint="eastAsia" w:ascii="新宋体" w:hAnsi="新宋体" w:eastAsia="新宋体" w:cs="新宋体"/>
          <w:b/>
          <w:bCs/>
          <w:color w:val="auto"/>
          <w:kern w:val="0"/>
          <w:sz w:val="22"/>
          <w:szCs w:val="22"/>
          <w:highlight w:val="none"/>
          <w:u w:val="single"/>
          <w:lang w:val="en-US" w:eastAsia="zh-CN"/>
        </w:rPr>
        <w:t>采购预算或者最高限价</w:t>
      </w:r>
      <w:r>
        <w:rPr>
          <w:rFonts w:hint="eastAsia" w:ascii="新宋体" w:hAnsi="新宋体" w:eastAsia="新宋体" w:cs="新宋体"/>
          <w:b/>
          <w:bCs/>
          <w:color w:val="auto"/>
          <w:kern w:val="0"/>
          <w:sz w:val="22"/>
          <w:szCs w:val="22"/>
          <w:highlight w:val="none"/>
          <w:u w:val="single"/>
        </w:rPr>
        <w:t>的；</w:t>
      </w:r>
    </w:p>
    <w:p w14:paraId="4587454B">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7）投标文件</w:t>
      </w:r>
      <w:r>
        <w:rPr>
          <w:rFonts w:hint="eastAsia" w:ascii="新宋体" w:hAnsi="新宋体" w:eastAsia="新宋体" w:cs="新宋体"/>
          <w:b/>
          <w:bCs/>
          <w:color w:val="auto"/>
          <w:kern w:val="0"/>
          <w:sz w:val="22"/>
          <w:szCs w:val="22"/>
          <w:highlight w:val="none"/>
          <w:u w:val="single"/>
          <w:lang w:val="en-US" w:eastAsia="zh-CN"/>
        </w:rPr>
        <w:t>含</w:t>
      </w:r>
      <w:r>
        <w:rPr>
          <w:rFonts w:hint="eastAsia" w:ascii="新宋体" w:hAnsi="新宋体" w:eastAsia="新宋体" w:cs="新宋体"/>
          <w:b/>
          <w:bCs/>
          <w:color w:val="auto"/>
          <w:kern w:val="0"/>
          <w:sz w:val="22"/>
          <w:szCs w:val="22"/>
          <w:highlight w:val="none"/>
          <w:u w:val="single"/>
        </w:rPr>
        <w:t>有采购人不能接受的附加条件的；</w:t>
      </w:r>
    </w:p>
    <w:p w14:paraId="7D81B3AD">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8）授权代表没有法定代表人（负责人）合法、有效委托的；</w:t>
      </w:r>
    </w:p>
    <w:p w14:paraId="320697BB">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9）</w:t>
      </w:r>
      <w:r>
        <w:rPr>
          <w:rFonts w:hint="eastAsia" w:ascii="新宋体" w:hAnsi="新宋体" w:eastAsia="新宋体" w:cs="新宋体"/>
          <w:b/>
          <w:bCs/>
          <w:color w:val="auto"/>
          <w:kern w:val="0"/>
          <w:sz w:val="22"/>
          <w:szCs w:val="22"/>
          <w:highlight w:val="none"/>
          <w:u w:val="single"/>
          <w:lang w:eastAsia="zh-CN"/>
        </w:rPr>
        <w:t>投标供应商</w:t>
      </w:r>
      <w:r>
        <w:rPr>
          <w:rFonts w:hint="eastAsia" w:ascii="新宋体" w:hAnsi="新宋体" w:eastAsia="新宋体" w:cs="新宋体"/>
          <w:b/>
          <w:bCs/>
          <w:color w:val="auto"/>
          <w:kern w:val="0"/>
          <w:sz w:val="22"/>
          <w:szCs w:val="22"/>
          <w:highlight w:val="none"/>
          <w:u w:val="single"/>
        </w:rPr>
        <w:t>提交的投标文件相关证书、材料经评标委员会认定有弄虚作假情况的；</w:t>
      </w:r>
    </w:p>
    <w:p w14:paraId="5847E2BC">
      <w:pPr>
        <w:spacing w:line="460" w:lineRule="exact"/>
        <w:ind w:firstLine="420" w:firstLineChars="190"/>
        <w:rPr>
          <w:rFonts w:hint="eastAsia" w:ascii="新宋体" w:hAnsi="新宋体" w:eastAsia="新宋体" w:cs="新宋体"/>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rPr>
        <w:t>10）</w:t>
      </w:r>
      <w:r>
        <w:rPr>
          <w:rFonts w:hint="eastAsia" w:ascii="新宋体" w:hAnsi="新宋体" w:eastAsia="新宋体" w:cs="新宋体"/>
          <w:b/>
          <w:bCs/>
          <w:color w:val="auto"/>
          <w:kern w:val="0"/>
          <w:sz w:val="22"/>
          <w:szCs w:val="22"/>
          <w:highlight w:val="none"/>
          <w:u w:val="single"/>
          <w:lang w:val="en-US" w:eastAsia="zh-CN"/>
        </w:rPr>
        <w:t>参与同一个采购包（标段）的供应商存在下列情形之一且无法合理解释的，其投标（响应）文件无效：①不同供应商的电子投标（响应）文件上传计算机的网卡 MAC 地址或硬盘序列号等硬件信 息相同的；②上传的电子投标（响应）文件若出现使用本项目其他投标（响应）供应商的数字证书加密的，或者加盖本项目其他投标（响应）供应商的电子印章的；③不同供应商的投标（响应）文件的内容存在 3 处（含）以上错误一致的；④不同供应商联系人为同一人或不同联系人的联系电话一致的。</w:t>
      </w:r>
    </w:p>
    <w:p w14:paraId="42C0BA27">
      <w:pPr>
        <w:spacing w:line="460" w:lineRule="exact"/>
        <w:ind w:firstLine="420" w:firstLineChars="190"/>
        <w:rPr>
          <w:rFonts w:hint="eastAsia" w:ascii="新宋体" w:hAnsi="新宋体" w:eastAsia="新宋体" w:cs="新宋体"/>
          <w:b/>
          <w:bCs/>
          <w:color w:val="auto"/>
          <w:kern w:val="0"/>
          <w:sz w:val="22"/>
          <w:szCs w:val="22"/>
          <w:highlight w:val="none"/>
          <w:u w:val="single"/>
        </w:rPr>
      </w:pPr>
      <w:r>
        <w:rPr>
          <w:rFonts w:hint="eastAsia" w:ascii="新宋体" w:hAnsi="新宋体" w:eastAsia="新宋体" w:cs="新宋体"/>
          <w:b/>
          <w:bCs/>
          <w:color w:val="auto"/>
          <w:kern w:val="0"/>
          <w:sz w:val="22"/>
          <w:szCs w:val="22"/>
          <w:highlight w:val="none"/>
          <w:u w:val="single"/>
          <w:lang w:val="en-US" w:eastAsia="zh-CN"/>
        </w:rPr>
        <w:t>11)</w:t>
      </w:r>
      <w:r>
        <w:rPr>
          <w:rFonts w:hint="eastAsia" w:ascii="新宋体" w:hAnsi="新宋体" w:eastAsia="新宋体" w:cs="新宋体"/>
          <w:b/>
          <w:bCs/>
          <w:color w:val="auto"/>
          <w:kern w:val="0"/>
          <w:sz w:val="22"/>
          <w:szCs w:val="22"/>
          <w:highlight w:val="none"/>
          <w:u w:val="single"/>
        </w:rPr>
        <w:t>法律、法规和采购文件规定的其他无效情形（或出现重大偏差）。</w:t>
      </w:r>
    </w:p>
    <w:p w14:paraId="3D0977D7">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26</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2</w:t>
      </w:r>
      <w:r>
        <w:rPr>
          <w:rFonts w:hint="eastAsia" w:ascii="新宋体" w:hAnsi="新宋体" w:eastAsia="新宋体" w:cs="新宋体"/>
          <w:b/>
          <w:bCs/>
          <w:color w:val="auto"/>
          <w:kern w:val="0"/>
          <w:sz w:val="22"/>
          <w:szCs w:val="22"/>
          <w:highlight w:val="none"/>
        </w:rPr>
        <w:t>有下列情形之一的，视为投标人串通投标，其投标无效</w:t>
      </w:r>
      <w:r>
        <w:rPr>
          <w:rFonts w:hint="eastAsia" w:ascii="新宋体" w:hAnsi="新宋体" w:eastAsia="新宋体" w:cs="新宋体"/>
          <w:color w:val="auto"/>
          <w:kern w:val="0"/>
          <w:sz w:val="22"/>
          <w:szCs w:val="22"/>
          <w:highlight w:val="none"/>
        </w:rPr>
        <w:t>：</w:t>
      </w:r>
    </w:p>
    <w:p w14:paraId="0F4728F1">
      <w:pPr>
        <w:spacing w:line="460" w:lineRule="exact"/>
        <w:ind w:firstLine="418" w:firstLineChars="19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1)不同投标人的投标文件由同一单位或者个人编制；</w:t>
      </w:r>
    </w:p>
    <w:p w14:paraId="1FF1F370">
      <w:pPr>
        <w:spacing w:line="460" w:lineRule="exact"/>
        <w:ind w:firstLine="418" w:firstLineChars="19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2)不同投标人委托同一单位或者个人办理投标事宜；</w:t>
      </w:r>
    </w:p>
    <w:p w14:paraId="2CD0986A">
      <w:pPr>
        <w:spacing w:line="460" w:lineRule="exact"/>
        <w:ind w:firstLine="418" w:firstLineChars="19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3)不同投标人的投标文件载明的项目管理成员或者联系人员为同一人；</w:t>
      </w:r>
    </w:p>
    <w:p w14:paraId="2152FC65">
      <w:pPr>
        <w:spacing w:line="460" w:lineRule="exact"/>
        <w:ind w:firstLine="418" w:firstLineChars="19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4）不同投标人的投标文件异常一致或者投标报价呈规律性差异；</w:t>
      </w:r>
    </w:p>
    <w:p w14:paraId="313C10E5">
      <w:pPr>
        <w:spacing w:line="460" w:lineRule="exact"/>
        <w:ind w:firstLine="418" w:firstLineChars="19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5）不同投标人的投标文件相互混装；</w:t>
      </w:r>
    </w:p>
    <w:p w14:paraId="20786B5A">
      <w:pPr>
        <w:spacing w:line="460" w:lineRule="exact"/>
        <w:ind w:firstLine="418" w:firstLineChars="190"/>
        <w:rPr>
          <w:rFonts w:hint="eastAsia" w:ascii="新宋体" w:hAnsi="新宋体" w:eastAsia="新宋体" w:cs="新宋体"/>
          <w:color w:val="auto"/>
          <w:kern w:val="0"/>
          <w:sz w:val="22"/>
          <w:szCs w:val="22"/>
          <w:highlight w:val="none"/>
          <w:u w:val="single"/>
        </w:rPr>
      </w:pP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rPr>
        <w:t xml:space="preserve">）不同投标人的投标保证金从同一单位或者个人的账户转出。 </w:t>
      </w:r>
    </w:p>
    <w:p w14:paraId="1E4C4D79">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26</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3</w:t>
      </w:r>
      <w:r>
        <w:rPr>
          <w:rFonts w:hint="eastAsia" w:ascii="新宋体" w:hAnsi="新宋体" w:eastAsia="新宋体" w:cs="新宋体"/>
          <w:color w:val="auto"/>
          <w:kern w:val="0"/>
          <w:sz w:val="22"/>
          <w:szCs w:val="22"/>
          <w:highlight w:val="none"/>
        </w:rPr>
        <w:t>在详细评标之前，评标委员会要审查每份投标文件是否实质上响应了采购文件的要求。实质上响应的投标应该是与采购文件要求的全部条款、条件和规格基本相符。没有重大偏离。</w:t>
      </w:r>
    </w:p>
    <w:p w14:paraId="6E2071E3">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26</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4</w:t>
      </w:r>
      <w:r>
        <w:rPr>
          <w:rFonts w:hint="eastAsia" w:ascii="新宋体" w:hAnsi="新宋体" w:eastAsia="新宋体" w:cs="新宋体"/>
          <w:color w:val="auto"/>
          <w:kern w:val="0"/>
          <w:sz w:val="22"/>
          <w:szCs w:val="22"/>
          <w:highlight w:val="none"/>
        </w:rPr>
        <w:t>实质上没有响应采购文件要求的投标将被否决，</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不得通过修正或撤消不合要求的偏离或保留从而使其投标成为实质上响应的投标。</w:t>
      </w:r>
    </w:p>
    <w:p w14:paraId="12B8E4D9">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27</w:t>
      </w:r>
      <w:r>
        <w:rPr>
          <w:rFonts w:hint="eastAsia" w:ascii="新宋体" w:hAnsi="新宋体" w:eastAsia="新宋体" w:cs="新宋体"/>
          <w:color w:val="auto"/>
          <w:kern w:val="0"/>
          <w:sz w:val="22"/>
          <w:szCs w:val="22"/>
          <w:highlight w:val="none"/>
        </w:rPr>
        <w:t>.投标文件的澄清</w:t>
      </w:r>
    </w:p>
    <w:p w14:paraId="728F9C1C">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lang w:val="en-US" w:eastAsia="zh-CN"/>
        </w:rPr>
        <w:t>27</w:t>
      </w:r>
      <w:r>
        <w:rPr>
          <w:rFonts w:hint="eastAsia" w:ascii="新宋体" w:hAnsi="新宋体" w:eastAsia="新宋体" w:cs="新宋体"/>
          <w:color w:val="auto"/>
          <w:kern w:val="0"/>
          <w:sz w:val="22"/>
          <w:szCs w:val="22"/>
          <w:highlight w:val="none"/>
        </w:rPr>
        <w:t>.1</w:t>
      </w:r>
      <w:r>
        <w:rPr>
          <w:rFonts w:hint="eastAsia" w:ascii="新宋体" w:hAnsi="新宋体" w:eastAsia="新宋体" w:cs="新宋体"/>
          <w:b/>
          <w:bCs/>
          <w:color w:val="auto"/>
          <w:sz w:val="22"/>
          <w:szCs w:val="22"/>
          <w:highlight w:val="none"/>
        </w:rPr>
        <w:t>为有助于投标文件的审查、评价和比较，评标小组可以在“</w:t>
      </w:r>
      <w:r>
        <w:rPr>
          <w:rFonts w:hint="eastAsia" w:ascii="新宋体" w:hAnsi="新宋体" w:eastAsia="新宋体" w:cs="新宋体"/>
          <w:b/>
          <w:bCs/>
          <w:color w:val="auto"/>
          <w:sz w:val="22"/>
          <w:szCs w:val="22"/>
          <w:highlight w:val="none"/>
          <w:lang w:eastAsia="zh-CN"/>
        </w:rPr>
        <w:t>乐采云</w:t>
      </w:r>
      <w:r>
        <w:rPr>
          <w:rFonts w:hint="eastAsia" w:ascii="新宋体" w:hAnsi="新宋体" w:eastAsia="新宋体" w:cs="新宋体"/>
          <w:b/>
          <w:bCs/>
          <w:color w:val="auto"/>
          <w:sz w:val="22"/>
          <w:szCs w:val="22"/>
          <w:highlight w:val="none"/>
        </w:rPr>
        <w:t>平台”在线询标或其他有效形式要求</w:t>
      </w:r>
      <w:r>
        <w:rPr>
          <w:rFonts w:hint="eastAsia" w:ascii="新宋体" w:hAnsi="新宋体" w:eastAsia="新宋体" w:cs="新宋体"/>
          <w:b/>
          <w:bCs/>
          <w:color w:val="auto"/>
          <w:sz w:val="22"/>
          <w:szCs w:val="22"/>
          <w:highlight w:val="none"/>
          <w:lang w:eastAsia="zh-CN"/>
        </w:rPr>
        <w:t>投标供应商</w:t>
      </w:r>
      <w:r>
        <w:rPr>
          <w:rFonts w:hint="eastAsia" w:ascii="新宋体" w:hAnsi="新宋体" w:eastAsia="新宋体" w:cs="新宋体"/>
          <w:b/>
          <w:bCs/>
          <w:color w:val="auto"/>
          <w:sz w:val="22"/>
          <w:szCs w:val="22"/>
          <w:highlight w:val="none"/>
        </w:rPr>
        <w:t>对同一份投标文件含义不明确或同类问题表述不一致或者有明显文字和计算错误的内容（采购文件其它地方有规定处理方法的除外）作必要的澄清或说明，投标</w:t>
      </w:r>
      <w:r>
        <w:rPr>
          <w:rFonts w:hint="eastAsia" w:ascii="新宋体" w:hAnsi="新宋体" w:eastAsia="新宋体" w:cs="新宋体"/>
          <w:b/>
          <w:bCs/>
          <w:color w:val="auto"/>
          <w:sz w:val="22"/>
          <w:szCs w:val="22"/>
          <w:highlight w:val="none"/>
          <w:lang w:val="en-US" w:eastAsia="zh-CN"/>
        </w:rPr>
        <w:t>供应商</w:t>
      </w:r>
      <w:r>
        <w:rPr>
          <w:rFonts w:hint="eastAsia" w:ascii="新宋体" w:hAnsi="新宋体" w:eastAsia="新宋体" w:cs="新宋体"/>
          <w:b/>
          <w:bCs/>
          <w:color w:val="auto"/>
          <w:sz w:val="22"/>
          <w:szCs w:val="22"/>
          <w:highlight w:val="none"/>
        </w:rPr>
        <w:t>应采用在线回复或其他有效形式在询标规定时间内进行澄清或说明（需盖电子签章或实体公章），但不得超出投标文件的范围或改变投标文件的实质性内容。凡属于评标小组在评标中发现的计算错误并进行核实的修改不在此列。</w:t>
      </w:r>
      <w:r>
        <w:rPr>
          <w:rFonts w:hint="eastAsia" w:ascii="新宋体" w:hAnsi="新宋体" w:eastAsia="新宋体" w:cs="新宋体"/>
          <w:b/>
          <w:bCs/>
          <w:color w:val="auto"/>
          <w:sz w:val="22"/>
          <w:szCs w:val="22"/>
          <w:highlight w:val="none"/>
          <w:lang w:val="en-US" w:eastAsia="zh-CN"/>
        </w:rPr>
        <w:t>未在规定时间内进行</w:t>
      </w:r>
      <w:r>
        <w:rPr>
          <w:rFonts w:hint="eastAsia" w:ascii="新宋体" w:hAnsi="新宋体" w:eastAsia="新宋体" w:cs="新宋体"/>
          <w:b/>
          <w:bCs/>
          <w:color w:val="auto"/>
          <w:sz w:val="22"/>
          <w:szCs w:val="22"/>
          <w:highlight w:val="none"/>
        </w:rPr>
        <w:t>澄清或说明</w:t>
      </w:r>
      <w:r>
        <w:rPr>
          <w:rFonts w:hint="eastAsia" w:ascii="新宋体" w:hAnsi="新宋体" w:eastAsia="新宋体" w:cs="新宋体"/>
          <w:b/>
          <w:bCs/>
          <w:color w:val="auto"/>
          <w:sz w:val="22"/>
          <w:szCs w:val="22"/>
          <w:highlight w:val="none"/>
          <w:lang w:val="en-US" w:eastAsia="zh-CN"/>
        </w:rPr>
        <w:t>的，评标委员会可作出不利于投标供应商的评审或者按投标无效处理。</w:t>
      </w:r>
    </w:p>
    <w:p w14:paraId="7E7E6245">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lang w:val="en-US" w:eastAsia="zh-CN"/>
        </w:rPr>
        <w:t>27</w:t>
      </w:r>
      <w:r>
        <w:rPr>
          <w:rFonts w:hint="eastAsia" w:ascii="新宋体" w:hAnsi="新宋体" w:eastAsia="新宋体" w:cs="新宋体"/>
          <w:color w:val="auto"/>
          <w:kern w:val="0"/>
          <w:sz w:val="22"/>
          <w:szCs w:val="22"/>
          <w:highlight w:val="none"/>
        </w:rPr>
        <w:t>.2若投标文件中所提交的证书、证明等材料若出现已过有效期、时间或其他主要信息不明确，且</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书面澄清（书面澄清仅限在投标文件递交截止时间前所提交投标文件及相关材料中未被评标委员会审查出的内容）亦不明确的，评审过程中将不予认可，不再寻求外部证据（外部证据包括</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在澄清过程中申请补交的证明材料或网络查询结果等非投标文件本身内容）。</w:t>
      </w:r>
    </w:p>
    <w:p w14:paraId="40136E20">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27</w:t>
      </w:r>
      <w:r>
        <w:rPr>
          <w:rFonts w:hint="eastAsia" w:ascii="新宋体" w:hAnsi="新宋体" w:eastAsia="新宋体" w:cs="新宋体"/>
          <w:color w:val="auto"/>
          <w:kern w:val="0"/>
          <w:sz w:val="22"/>
          <w:szCs w:val="22"/>
          <w:highlight w:val="none"/>
        </w:rPr>
        <w:t>.3</w:t>
      </w:r>
      <w:r>
        <w:rPr>
          <w:rFonts w:hint="eastAsia" w:ascii="新宋体" w:hAnsi="新宋体" w:eastAsia="新宋体" w:cs="新宋体"/>
          <w:color w:val="auto"/>
          <w:sz w:val="22"/>
          <w:highlight w:val="none"/>
        </w:rPr>
        <w:t>投标文件报价出现前后不一致的，除采购文件另有规定外，按照下列规定修正</w:t>
      </w:r>
      <w:r>
        <w:rPr>
          <w:rFonts w:hint="eastAsia" w:ascii="新宋体" w:hAnsi="新宋体" w:eastAsia="新宋体" w:cs="新宋体"/>
          <w:color w:val="auto"/>
          <w:kern w:val="0"/>
          <w:sz w:val="22"/>
          <w:szCs w:val="22"/>
          <w:highlight w:val="none"/>
        </w:rPr>
        <w:t>：</w:t>
      </w:r>
    </w:p>
    <w:p w14:paraId="2B885F5D">
      <w:pPr>
        <w:spacing w:line="460" w:lineRule="exact"/>
        <w:ind w:firstLine="418" w:firstLineChars="19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w:t>
      </w:r>
      <w:r>
        <w:rPr>
          <w:rFonts w:hint="eastAsia" w:ascii="新宋体" w:hAnsi="新宋体" w:eastAsia="新宋体" w:cs="新宋体"/>
          <w:color w:val="auto"/>
          <w:sz w:val="22"/>
          <w:highlight w:val="none"/>
        </w:rPr>
        <w:t>投标文件中开标一览表（报价表）内容与投标文件中相应内容不一致的，以开标一览表（报价表）为准</w:t>
      </w:r>
      <w:r>
        <w:rPr>
          <w:rFonts w:hint="eastAsia" w:ascii="新宋体" w:hAnsi="新宋体" w:eastAsia="新宋体" w:cs="新宋体"/>
          <w:color w:val="auto"/>
          <w:kern w:val="0"/>
          <w:sz w:val="22"/>
          <w:szCs w:val="22"/>
          <w:highlight w:val="none"/>
        </w:rPr>
        <w:t>。</w:t>
      </w:r>
    </w:p>
    <w:p w14:paraId="207466A1">
      <w:pPr>
        <w:spacing w:line="460" w:lineRule="exact"/>
        <w:ind w:firstLine="418" w:firstLineChars="190"/>
        <w:rPr>
          <w:rFonts w:hint="eastAsia" w:ascii="新宋体" w:hAnsi="新宋体" w:eastAsia="新宋体" w:cs="新宋体"/>
          <w:color w:val="auto"/>
          <w:sz w:val="22"/>
          <w:highlight w:val="none"/>
        </w:rPr>
      </w:pPr>
      <w:r>
        <w:rPr>
          <w:rFonts w:hint="eastAsia" w:ascii="新宋体" w:hAnsi="新宋体" w:eastAsia="新宋体" w:cs="新宋体"/>
          <w:color w:val="auto"/>
          <w:kern w:val="0"/>
          <w:sz w:val="22"/>
          <w:szCs w:val="22"/>
          <w:highlight w:val="none"/>
        </w:rPr>
        <w:t>2）</w:t>
      </w:r>
      <w:r>
        <w:rPr>
          <w:rFonts w:hint="eastAsia" w:ascii="新宋体" w:hAnsi="新宋体" w:eastAsia="新宋体" w:cs="新宋体"/>
          <w:color w:val="auto"/>
          <w:sz w:val="22"/>
          <w:highlight w:val="none"/>
        </w:rPr>
        <w:t>大写金额和小写金额不一致的，以大写金额为准。</w:t>
      </w:r>
    </w:p>
    <w:p w14:paraId="196FBF8F">
      <w:pPr>
        <w:spacing w:line="460" w:lineRule="exact"/>
        <w:ind w:firstLine="418" w:firstLineChars="19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3）单价金额小数点或者百分比有明显错位的，以开标一览表的总价为准，并修改单价。</w:t>
      </w:r>
    </w:p>
    <w:p w14:paraId="6EE674B2">
      <w:pPr>
        <w:spacing w:line="460" w:lineRule="exact"/>
        <w:ind w:firstLine="418" w:firstLineChars="19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4）总价金额与按单价汇总金额不一致的，以单价金额计算结果为准。</w:t>
      </w:r>
    </w:p>
    <w:p w14:paraId="7C8F4927">
      <w:pPr>
        <w:spacing w:line="460" w:lineRule="exact"/>
        <w:ind w:firstLine="420" w:firstLineChars="190"/>
        <w:rPr>
          <w:rFonts w:hint="eastAsia" w:ascii="新宋体" w:hAnsi="新宋体" w:eastAsia="新宋体" w:cs="新宋体"/>
          <w:b/>
          <w:bCs/>
          <w:color w:val="auto"/>
          <w:sz w:val="22"/>
          <w:highlight w:val="none"/>
        </w:rPr>
      </w:pPr>
      <w:r>
        <w:rPr>
          <w:rFonts w:hint="eastAsia" w:ascii="新宋体" w:hAnsi="新宋体" w:eastAsia="新宋体" w:cs="新宋体"/>
          <w:b/>
          <w:bCs/>
          <w:color w:val="auto"/>
          <w:sz w:val="22"/>
          <w:highlight w:val="none"/>
        </w:rPr>
        <w:t>同时出现两种以上不一致的，按照前款规定的顺序修正。修正后的报价按照本采购文件规定经</w:t>
      </w:r>
      <w:r>
        <w:rPr>
          <w:rFonts w:hint="eastAsia" w:ascii="新宋体" w:hAnsi="新宋体" w:eastAsia="新宋体" w:cs="新宋体"/>
          <w:b/>
          <w:bCs/>
          <w:color w:val="auto"/>
          <w:sz w:val="22"/>
          <w:highlight w:val="none"/>
          <w:lang w:eastAsia="zh-CN"/>
        </w:rPr>
        <w:t>投标供应商</w:t>
      </w:r>
      <w:r>
        <w:rPr>
          <w:rFonts w:hint="eastAsia" w:ascii="新宋体" w:hAnsi="新宋体" w:eastAsia="新宋体" w:cs="新宋体"/>
          <w:b/>
          <w:bCs/>
          <w:color w:val="auto"/>
          <w:sz w:val="22"/>
          <w:highlight w:val="none"/>
        </w:rPr>
        <w:t>确认后产生约束力，</w:t>
      </w:r>
      <w:r>
        <w:rPr>
          <w:rFonts w:hint="eastAsia" w:ascii="新宋体" w:hAnsi="新宋体" w:eastAsia="新宋体" w:cs="新宋体"/>
          <w:b/>
          <w:bCs/>
          <w:color w:val="auto"/>
          <w:sz w:val="22"/>
          <w:highlight w:val="none"/>
          <w:lang w:eastAsia="zh-CN"/>
        </w:rPr>
        <w:t>投标供应商</w:t>
      </w:r>
      <w:r>
        <w:rPr>
          <w:rFonts w:hint="eastAsia" w:ascii="新宋体" w:hAnsi="新宋体" w:eastAsia="新宋体" w:cs="新宋体"/>
          <w:b/>
          <w:bCs/>
          <w:color w:val="auto"/>
          <w:sz w:val="22"/>
          <w:highlight w:val="none"/>
        </w:rPr>
        <w:t>不确认的，其投标无效。</w:t>
      </w:r>
    </w:p>
    <w:p w14:paraId="7D5D2B32">
      <w:pPr>
        <w:spacing w:line="460" w:lineRule="exact"/>
        <w:ind w:firstLine="420" w:firstLineChars="190"/>
        <w:rPr>
          <w:rFonts w:hint="eastAsia" w:ascii="新宋体" w:hAnsi="新宋体" w:eastAsia="新宋体" w:cs="新宋体"/>
          <w:b/>
          <w:bCs/>
          <w:color w:val="auto"/>
          <w:sz w:val="22"/>
          <w:highlight w:val="none"/>
        </w:rPr>
      </w:pPr>
      <w:r>
        <w:rPr>
          <w:rFonts w:hint="eastAsia" w:ascii="新宋体" w:hAnsi="新宋体" w:eastAsia="新宋体" w:cs="新宋体"/>
          <w:b/>
          <w:bCs/>
          <w:color w:val="auto"/>
          <w:sz w:val="22"/>
          <w:highlight w:val="none"/>
        </w:rPr>
        <w:t>投标文件中开标一览表（报价表）内容与</w:t>
      </w:r>
      <w:r>
        <w:rPr>
          <w:rFonts w:hint="eastAsia" w:ascii="新宋体" w:hAnsi="新宋体" w:eastAsia="新宋体" w:cs="新宋体"/>
          <w:b/>
          <w:bCs/>
          <w:color w:val="auto"/>
          <w:sz w:val="22"/>
          <w:highlight w:val="none"/>
          <w:lang w:eastAsia="zh-CN"/>
        </w:rPr>
        <w:t>乐采云</w:t>
      </w:r>
      <w:r>
        <w:rPr>
          <w:rFonts w:hint="eastAsia" w:ascii="新宋体" w:hAnsi="新宋体" w:eastAsia="新宋体" w:cs="新宋体"/>
          <w:b/>
          <w:bCs/>
          <w:color w:val="auto"/>
          <w:sz w:val="22"/>
          <w:highlight w:val="none"/>
        </w:rPr>
        <w:t>系统显示的电子开标一览表（报价表）相应内容不一致的，以扫描上传</w:t>
      </w:r>
      <w:r>
        <w:rPr>
          <w:rFonts w:hint="eastAsia" w:ascii="新宋体" w:hAnsi="新宋体" w:eastAsia="新宋体" w:cs="新宋体"/>
          <w:b/>
          <w:bCs/>
          <w:color w:val="auto"/>
          <w:sz w:val="22"/>
          <w:highlight w:val="none"/>
          <w:lang w:eastAsia="zh-CN"/>
        </w:rPr>
        <w:t>乐采云</w:t>
      </w:r>
      <w:r>
        <w:rPr>
          <w:rFonts w:hint="eastAsia" w:ascii="新宋体" w:hAnsi="新宋体" w:eastAsia="新宋体" w:cs="新宋体"/>
          <w:b/>
          <w:bCs/>
          <w:color w:val="auto"/>
          <w:sz w:val="22"/>
          <w:highlight w:val="none"/>
        </w:rPr>
        <w:t>系统并已签章的开标一览表（报价表）为准。</w:t>
      </w:r>
      <w:r>
        <w:rPr>
          <w:rFonts w:hint="eastAsia" w:ascii="新宋体" w:hAnsi="新宋体" w:eastAsia="新宋体" w:cs="新宋体"/>
          <w:b/>
          <w:bCs/>
          <w:color w:val="auto"/>
          <w:sz w:val="22"/>
          <w:highlight w:val="none"/>
          <w:lang w:eastAsia="zh-CN"/>
        </w:rPr>
        <w:t>投标供应商</w:t>
      </w:r>
      <w:r>
        <w:rPr>
          <w:rFonts w:hint="eastAsia" w:ascii="新宋体" w:hAnsi="新宋体" w:eastAsia="新宋体" w:cs="新宋体"/>
          <w:b/>
          <w:bCs/>
          <w:color w:val="auto"/>
          <w:sz w:val="22"/>
          <w:highlight w:val="none"/>
        </w:rPr>
        <w:t>不确认的，其投标无效。</w:t>
      </w:r>
    </w:p>
    <w:p w14:paraId="016F558D">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b/>
          <w:bCs/>
          <w:color w:val="auto"/>
          <w:sz w:val="22"/>
          <w:szCs w:val="22"/>
          <w:highlight w:val="none"/>
          <w:lang w:val="en-US" w:eastAsia="zh-CN"/>
        </w:rPr>
        <w:t>27</w:t>
      </w:r>
      <w:r>
        <w:rPr>
          <w:rFonts w:hint="eastAsia" w:ascii="新宋体" w:hAnsi="新宋体" w:eastAsia="新宋体" w:cs="新宋体"/>
          <w:b/>
          <w:bCs/>
          <w:color w:val="auto"/>
          <w:sz w:val="22"/>
          <w:szCs w:val="22"/>
          <w:highlight w:val="none"/>
        </w:rPr>
        <w:t>.4</w:t>
      </w:r>
      <w:r>
        <w:rPr>
          <w:rFonts w:hint="eastAsia" w:ascii="新宋体" w:hAnsi="新宋体" w:eastAsia="新宋体" w:cs="新宋体"/>
          <w:color w:val="auto"/>
          <w:kern w:val="0"/>
          <w:sz w:val="22"/>
          <w:szCs w:val="22"/>
          <w:highlight w:val="none"/>
          <w:u w:val="single"/>
          <w:lang w:eastAsia="zh-CN"/>
        </w:rPr>
        <w:t>▲</w:t>
      </w:r>
      <w:r>
        <w:rPr>
          <w:rFonts w:hint="eastAsia" w:ascii="新宋体" w:hAnsi="新宋体" w:eastAsia="新宋体" w:cs="新宋体"/>
          <w:b/>
          <w:bCs/>
          <w:color w:val="auto"/>
          <w:kern w:val="0"/>
          <w:sz w:val="22"/>
          <w:szCs w:val="22"/>
          <w:highlight w:val="none"/>
          <w:u w:val="single"/>
        </w:rPr>
        <w:t>评标委员会认为</w:t>
      </w:r>
      <w:r>
        <w:rPr>
          <w:rFonts w:hint="eastAsia" w:ascii="新宋体" w:hAnsi="新宋体" w:eastAsia="新宋体" w:cs="新宋体"/>
          <w:b/>
          <w:bCs/>
          <w:color w:val="auto"/>
          <w:kern w:val="0"/>
          <w:sz w:val="22"/>
          <w:szCs w:val="22"/>
          <w:highlight w:val="none"/>
          <w:u w:val="single"/>
          <w:lang w:eastAsia="zh-CN"/>
        </w:rPr>
        <w:t>投标供应商</w:t>
      </w:r>
      <w:r>
        <w:rPr>
          <w:rFonts w:hint="eastAsia" w:ascii="新宋体" w:hAnsi="新宋体" w:eastAsia="新宋体" w:cs="新宋体"/>
          <w:b/>
          <w:bCs/>
          <w:color w:val="auto"/>
          <w:kern w:val="0"/>
          <w:sz w:val="22"/>
          <w:szCs w:val="22"/>
          <w:highlight w:val="none"/>
          <w:u w:val="single"/>
        </w:rPr>
        <w:t>的报价明显低于其他通过符合性审查</w:t>
      </w:r>
      <w:r>
        <w:rPr>
          <w:rFonts w:hint="eastAsia" w:ascii="新宋体" w:hAnsi="新宋体" w:eastAsia="新宋体" w:cs="新宋体"/>
          <w:b/>
          <w:bCs/>
          <w:color w:val="auto"/>
          <w:kern w:val="0"/>
          <w:sz w:val="22"/>
          <w:szCs w:val="22"/>
          <w:highlight w:val="none"/>
          <w:u w:val="single"/>
          <w:lang w:eastAsia="zh-CN"/>
        </w:rPr>
        <w:t>投标供应商</w:t>
      </w:r>
      <w:r>
        <w:rPr>
          <w:rFonts w:hint="eastAsia" w:ascii="新宋体" w:hAnsi="新宋体" w:eastAsia="新宋体" w:cs="新宋体"/>
          <w:b/>
          <w:bCs/>
          <w:color w:val="auto"/>
          <w:kern w:val="0"/>
          <w:sz w:val="22"/>
          <w:szCs w:val="22"/>
          <w:highlight w:val="none"/>
          <w:u w:val="single"/>
        </w:rPr>
        <w:t>的报价，有可能影响产品质量或者不能诚信履约的，将要求其在合理时间内在“</w:t>
      </w:r>
      <w:r>
        <w:rPr>
          <w:rFonts w:hint="eastAsia" w:ascii="新宋体" w:hAnsi="新宋体" w:eastAsia="新宋体" w:cs="新宋体"/>
          <w:b/>
          <w:bCs/>
          <w:color w:val="auto"/>
          <w:kern w:val="0"/>
          <w:sz w:val="22"/>
          <w:szCs w:val="22"/>
          <w:highlight w:val="none"/>
          <w:u w:val="single"/>
          <w:lang w:eastAsia="zh-CN"/>
        </w:rPr>
        <w:t>乐采云</w:t>
      </w:r>
      <w:r>
        <w:rPr>
          <w:rFonts w:hint="eastAsia" w:ascii="新宋体" w:hAnsi="新宋体" w:eastAsia="新宋体" w:cs="新宋体"/>
          <w:b/>
          <w:bCs/>
          <w:color w:val="auto"/>
          <w:kern w:val="0"/>
          <w:sz w:val="22"/>
          <w:szCs w:val="22"/>
          <w:highlight w:val="none"/>
          <w:u w:val="single"/>
        </w:rPr>
        <w:t>平台”上作出在线澄清并提供书面说明，必要时提交相关证明材料；</w:t>
      </w:r>
      <w:r>
        <w:rPr>
          <w:rFonts w:hint="eastAsia" w:ascii="新宋体" w:hAnsi="新宋体" w:eastAsia="新宋体" w:cs="新宋体"/>
          <w:b/>
          <w:bCs/>
          <w:color w:val="auto"/>
          <w:kern w:val="0"/>
          <w:sz w:val="22"/>
          <w:szCs w:val="22"/>
          <w:highlight w:val="none"/>
          <w:u w:val="single"/>
          <w:lang w:eastAsia="zh-CN"/>
        </w:rPr>
        <w:t>投标供应商</w:t>
      </w:r>
      <w:r>
        <w:rPr>
          <w:rFonts w:hint="eastAsia" w:ascii="新宋体" w:hAnsi="新宋体" w:eastAsia="新宋体" w:cs="新宋体"/>
          <w:b/>
          <w:bCs/>
          <w:color w:val="auto"/>
          <w:kern w:val="0"/>
          <w:sz w:val="22"/>
          <w:szCs w:val="22"/>
          <w:highlight w:val="none"/>
          <w:u w:val="single"/>
        </w:rPr>
        <w:t>不能证明其报价合理性的，评标委员会应当将其作为无效投标处理</w:t>
      </w:r>
      <w:r>
        <w:rPr>
          <w:rFonts w:hint="eastAsia" w:ascii="新宋体" w:hAnsi="新宋体" w:eastAsia="新宋体" w:cs="新宋体"/>
          <w:color w:val="auto"/>
          <w:kern w:val="0"/>
          <w:sz w:val="22"/>
          <w:szCs w:val="22"/>
          <w:highlight w:val="none"/>
        </w:rPr>
        <w:t>。</w:t>
      </w:r>
    </w:p>
    <w:p w14:paraId="24248574">
      <w:pPr>
        <w:spacing w:line="460" w:lineRule="exact"/>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注：投标供应商投标报价低于采购预算金额50%的，需在报价文件中详细阐述不影响产品质量或者诚信履约的具体原因。</w:t>
      </w:r>
    </w:p>
    <w:p w14:paraId="2AC884A3">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27</w:t>
      </w:r>
      <w:r>
        <w:rPr>
          <w:rFonts w:hint="eastAsia" w:ascii="新宋体" w:hAnsi="新宋体" w:eastAsia="新宋体" w:cs="新宋体"/>
          <w:b/>
          <w:bCs/>
          <w:color w:val="auto"/>
          <w:sz w:val="22"/>
          <w:szCs w:val="22"/>
          <w:highlight w:val="none"/>
        </w:rPr>
        <w:t>.5如果</w:t>
      </w:r>
      <w:r>
        <w:rPr>
          <w:rFonts w:hint="eastAsia" w:ascii="新宋体" w:hAnsi="新宋体" w:eastAsia="新宋体" w:cs="新宋体"/>
          <w:b/>
          <w:bCs/>
          <w:color w:val="auto"/>
          <w:sz w:val="22"/>
          <w:szCs w:val="22"/>
          <w:highlight w:val="none"/>
          <w:lang w:eastAsia="zh-CN"/>
        </w:rPr>
        <w:t>投标供应商</w:t>
      </w:r>
      <w:r>
        <w:rPr>
          <w:rFonts w:hint="eastAsia" w:ascii="新宋体" w:hAnsi="新宋体" w:eastAsia="新宋体" w:cs="新宋体"/>
          <w:b/>
          <w:bCs/>
          <w:color w:val="auto"/>
          <w:sz w:val="22"/>
          <w:szCs w:val="22"/>
          <w:highlight w:val="none"/>
        </w:rPr>
        <w:t>代表拒绝按评标委员会要求在“</w:t>
      </w:r>
      <w:r>
        <w:rPr>
          <w:rFonts w:hint="eastAsia" w:ascii="新宋体" w:hAnsi="新宋体" w:eastAsia="新宋体" w:cs="新宋体"/>
          <w:b/>
          <w:bCs/>
          <w:color w:val="auto"/>
          <w:sz w:val="22"/>
          <w:szCs w:val="22"/>
          <w:highlight w:val="none"/>
          <w:lang w:eastAsia="zh-CN"/>
        </w:rPr>
        <w:t>乐采云</w:t>
      </w:r>
      <w:r>
        <w:rPr>
          <w:rFonts w:hint="eastAsia" w:ascii="新宋体" w:hAnsi="新宋体" w:eastAsia="新宋体" w:cs="新宋体"/>
          <w:b/>
          <w:bCs/>
          <w:color w:val="auto"/>
          <w:sz w:val="22"/>
          <w:szCs w:val="22"/>
          <w:highlight w:val="none"/>
        </w:rPr>
        <w:t>平台”作出在线回复且无其他有效回复方式的，评标委员会可以对其作投标无效处理。</w:t>
      </w:r>
    </w:p>
    <w:p w14:paraId="5EBB99EF">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28</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b/>
          <w:bCs/>
          <w:color w:val="auto"/>
          <w:sz w:val="22"/>
          <w:highlight w:val="none"/>
        </w:rPr>
        <w:t xml:space="preserve"> 评标原则和评标办法</w:t>
      </w:r>
    </w:p>
    <w:p w14:paraId="147549EB">
      <w:pPr>
        <w:pStyle w:val="14"/>
        <w:adjustRightInd/>
        <w:snapToGrid w:val="0"/>
        <w:spacing w:line="460" w:lineRule="exact"/>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en-US" w:eastAsia="zh-CN"/>
        </w:rPr>
        <w:t>28</w:t>
      </w:r>
      <w:r>
        <w:rPr>
          <w:rFonts w:hint="eastAsia" w:ascii="新宋体" w:hAnsi="新宋体" w:eastAsia="新宋体" w:cs="新宋体"/>
          <w:color w:val="auto"/>
          <w:sz w:val="22"/>
          <w:highlight w:val="none"/>
        </w:rPr>
        <w:t>.1评标委员会成员应当按照客观、公正、审慎的原则，根据采购文件规定的评标程序、评标方法和评标标准进行独立评审。采购文件内容违反国家有关强制性规定的，评标委员会应当停止评标并向采购人或者采购代理机构说明情况。</w:t>
      </w:r>
    </w:p>
    <w:p w14:paraId="16727ED2">
      <w:pPr>
        <w:pStyle w:val="27"/>
        <w:spacing w:before="0" w:beforeAutospacing="0" w:after="0" w:afterAutospacing="0" w:line="460" w:lineRule="exact"/>
        <w:jc w:val="both"/>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en-US" w:eastAsia="zh-CN"/>
        </w:rPr>
        <w:t>28</w:t>
      </w:r>
      <w:r>
        <w:rPr>
          <w:rFonts w:hint="eastAsia" w:ascii="新宋体" w:hAnsi="新宋体" w:eastAsia="新宋体" w:cs="新宋体"/>
          <w:color w:val="auto"/>
          <w:sz w:val="22"/>
          <w:highlight w:val="none"/>
        </w:rPr>
        <w:t>.2评标中因评标委员会成员缺席、回避或者健康等特殊原因导致评标委员会组成不符合规定的，依法补足后继续评标。被更换的评标委员会成员所作出的评标意见无效。</w:t>
      </w:r>
    </w:p>
    <w:p w14:paraId="15541E45">
      <w:pPr>
        <w:pStyle w:val="14"/>
        <w:adjustRightInd/>
        <w:snapToGrid w:val="0"/>
        <w:spacing w:line="460" w:lineRule="exact"/>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en-US" w:eastAsia="zh-CN"/>
        </w:rPr>
        <w:t>28</w:t>
      </w:r>
      <w:r>
        <w:rPr>
          <w:rFonts w:hint="eastAsia" w:ascii="新宋体" w:hAnsi="新宋体" w:eastAsia="新宋体" w:cs="新宋体"/>
          <w:color w:val="auto"/>
          <w:sz w:val="22"/>
          <w:highlight w:val="none"/>
        </w:rPr>
        <w:t>.3评标委员会成员对需要共同认定的事项存在争议的，应当按照少数服从多数的原则作出结论。持不同意见的评标委员会成员应当在评标报告上签署不同意见及理由，否则视为同意评标报告。</w:t>
      </w:r>
    </w:p>
    <w:p w14:paraId="18A98A08">
      <w:pPr>
        <w:pStyle w:val="14"/>
        <w:adjustRightInd/>
        <w:snapToGrid w:val="0"/>
        <w:spacing w:line="460" w:lineRule="exact"/>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en-US" w:eastAsia="zh-CN"/>
        </w:rPr>
        <w:t>28</w:t>
      </w:r>
      <w:r>
        <w:rPr>
          <w:rFonts w:hint="eastAsia" w:ascii="新宋体" w:hAnsi="新宋体" w:eastAsia="新宋体" w:cs="新宋体"/>
          <w:color w:val="auto"/>
          <w:sz w:val="22"/>
          <w:highlight w:val="none"/>
        </w:rPr>
        <w:t>.4本项目评标办法是综合评分法，具体评标内容及评分标准等详见第五部分“评标原则及方法”。</w:t>
      </w:r>
    </w:p>
    <w:p w14:paraId="24DBC318">
      <w:pPr>
        <w:pStyle w:val="14"/>
        <w:adjustRightInd/>
        <w:snapToGrid w:val="0"/>
        <w:spacing w:line="460" w:lineRule="exact"/>
        <w:textAlignment w:val="auto"/>
        <w:rPr>
          <w:rFonts w:hint="eastAsia" w:ascii="新宋体" w:hAnsi="新宋体" w:eastAsia="新宋体" w:cs="新宋体"/>
          <w:b/>
          <w:bCs/>
          <w:color w:val="auto"/>
          <w:sz w:val="22"/>
          <w:highlight w:val="none"/>
        </w:rPr>
      </w:pPr>
      <w:r>
        <w:rPr>
          <w:rFonts w:hint="eastAsia" w:ascii="新宋体" w:hAnsi="新宋体" w:eastAsia="新宋体" w:cs="新宋体"/>
          <w:b/>
          <w:bCs/>
          <w:color w:val="auto"/>
          <w:sz w:val="22"/>
          <w:highlight w:val="none"/>
          <w:lang w:val="en-US" w:eastAsia="zh-CN"/>
        </w:rPr>
        <w:t>28</w:t>
      </w:r>
      <w:r>
        <w:rPr>
          <w:rFonts w:hint="eastAsia" w:ascii="新宋体" w:hAnsi="新宋体" w:eastAsia="新宋体" w:cs="新宋体"/>
          <w:b/>
          <w:bCs/>
          <w:color w:val="auto"/>
          <w:sz w:val="22"/>
          <w:highlight w:val="none"/>
        </w:rPr>
        <w:t>.5</w:t>
      </w: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投标截止时间止及评审期间，如出现有效</w:t>
      </w:r>
      <w:r>
        <w:rPr>
          <w:rFonts w:hint="eastAsia" w:ascii="新宋体" w:hAnsi="新宋体" w:eastAsia="新宋体" w:cs="新宋体"/>
          <w:b/>
          <w:bCs/>
          <w:color w:val="auto"/>
          <w:sz w:val="22"/>
          <w:highlight w:val="none"/>
          <w:u w:val="single"/>
          <w:lang w:eastAsia="zh-CN"/>
        </w:rPr>
        <w:t>投标供应商</w:t>
      </w:r>
      <w:r>
        <w:rPr>
          <w:rFonts w:hint="eastAsia" w:ascii="新宋体" w:hAnsi="新宋体" w:eastAsia="新宋体" w:cs="新宋体"/>
          <w:b/>
          <w:bCs/>
          <w:color w:val="auto"/>
          <w:sz w:val="22"/>
          <w:highlight w:val="none"/>
          <w:u w:val="single"/>
        </w:rPr>
        <w:t>＜3家（包含因评审因素导致实质性响应的有效</w:t>
      </w:r>
      <w:r>
        <w:rPr>
          <w:rFonts w:hint="eastAsia" w:ascii="新宋体" w:hAnsi="新宋体" w:eastAsia="新宋体" w:cs="新宋体"/>
          <w:b/>
          <w:bCs/>
          <w:color w:val="auto"/>
          <w:sz w:val="22"/>
          <w:highlight w:val="none"/>
          <w:u w:val="single"/>
          <w:lang w:eastAsia="zh-CN"/>
        </w:rPr>
        <w:t>投标供应商</w:t>
      </w:r>
      <w:r>
        <w:rPr>
          <w:rFonts w:hint="eastAsia" w:ascii="新宋体" w:hAnsi="新宋体" w:eastAsia="新宋体" w:cs="新宋体"/>
          <w:b/>
          <w:bCs/>
          <w:color w:val="auto"/>
          <w:sz w:val="22"/>
          <w:highlight w:val="none"/>
          <w:u w:val="single"/>
        </w:rPr>
        <w:t>不足3家）时，本项目废标，并重新组织招标。</w:t>
      </w:r>
    </w:p>
    <w:p w14:paraId="13FF2D7D">
      <w:pPr>
        <w:spacing w:line="460" w:lineRule="exact"/>
        <w:rPr>
          <w:rFonts w:hint="default" w:ascii="新宋体" w:hAnsi="新宋体" w:eastAsia="新宋体" w:cs="新宋体"/>
          <w:color w:val="auto"/>
          <w:sz w:val="22"/>
          <w:highlight w:val="none"/>
          <w:lang w:val="en-US" w:eastAsia="zh-CN"/>
        </w:rPr>
      </w:pPr>
      <w:r>
        <w:rPr>
          <w:rFonts w:hint="eastAsia" w:ascii="新宋体" w:hAnsi="新宋体" w:eastAsia="新宋体" w:cs="新宋体"/>
          <w:color w:val="auto"/>
          <w:sz w:val="22"/>
          <w:highlight w:val="none"/>
          <w:lang w:val="en-US" w:eastAsia="zh-CN"/>
        </w:rPr>
        <w:t>28.6</w:t>
      </w:r>
      <w:r>
        <w:rPr>
          <w:rFonts w:hint="eastAsia" w:ascii="新宋体" w:hAnsi="新宋体" w:eastAsia="新宋体" w:cs="新宋体"/>
          <w:b/>
          <w:bCs/>
          <w:color w:val="auto"/>
          <w:sz w:val="22"/>
          <w:szCs w:val="22"/>
          <w:highlight w:val="none"/>
          <w:u w:val="single"/>
        </w:rPr>
        <w:t>采购响应（指投标或谈判、报价）截止时间止及评审期间，出现有效供应商不足三家的情形，如采购文件事先已在指定媒体公开征求了供应商意见且无重大异议，或经专家论证且出具了“供应商资格条件和项目技术指标等没有歧视性和倾向性”意见的，同时采购信息已在本办法规定的媒体上公告，采购文件的发售和截止时间符合法定或本办法规定，由实质性响应的供应商认可后，可以按原采购方式继续进行采购活动，但采购项目第一次评审活动除外。</w:t>
      </w:r>
    </w:p>
    <w:p w14:paraId="3DCD2AD9">
      <w:pPr>
        <w:spacing w:line="46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en-US" w:eastAsia="zh-CN"/>
        </w:rPr>
        <w:t>28</w:t>
      </w:r>
      <w:r>
        <w:rPr>
          <w:rFonts w:hint="eastAsia" w:ascii="新宋体" w:hAnsi="新宋体" w:eastAsia="新宋体" w:cs="新宋体"/>
          <w:color w:val="auto"/>
          <w:sz w:val="22"/>
          <w:highlight w:val="none"/>
        </w:rPr>
        <w:t>.</w:t>
      </w:r>
      <w:r>
        <w:rPr>
          <w:rFonts w:hint="eastAsia" w:ascii="新宋体" w:hAnsi="新宋体" w:eastAsia="新宋体" w:cs="新宋体"/>
          <w:color w:val="auto"/>
          <w:sz w:val="22"/>
          <w:highlight w:val="none"/>
          <w:lang w:val="en-US" w:eastAsia="zh-CN"/>
        </w:rPr>
        <w:t>7</w:t>
      </w:r>
      <w:r>
        <w:rPr>
          <w:rFonts w:hint="eastAsia" w:ascii="新宋体" w:hAnsi="新宋体" w:eastAsia="新宋体" w:cs="新宋体"/>
          <w:color w:val="auto"/>
          <w:sz w:val="22"/>
          <w:highlight w:val="none"/>
        </w:rPr>
        <w:t>产品型号以制造商出具的产品定型的证明材料为准。</w:t>
      </w:r>
    </w:p>
    <w:p w14:paraId="326ADE0A">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highlight w:val="none"/>
          <w:lang w:val="en-US" w:eastAsia="zh-CN"/>
        </w:rPr>
        <w:t>28</w:t>
      </w:r>
      <w:r>
        <w:rPr>
          <w:rFonts w:hint="eastAsia" w:ascii="新宋体" w:hAnsi="新宋体" w:eastAsia="新宋体" w:cs="新宋体"/>
          <w:color w:val="auto"/>
          <w:sz w:val="22"/>
          <w:highlight w:val="none"/>
        </w:rPr>
        <w:t>.</w:t>
      </w:r>
      <w:r>
        <w:rPr>
          <w:rFonts w:hint="eastAsia" w:ascii="新宋体" w:hAnsi="新宋体" w:eastAsia="新宋体" w:cs="新宋体"/>
          <w:color w:val="auto"/>
          <w:sz w:val="22"/>
          <w:highlight w:val="none"/>
          <w:lang w:val="en-US" w:eastAsia="zh-CN"/>
        </w:rPr>
        <w:t>8</w:t>
      </w:r>
      <w:r>
        <w:rPr>
          <w:rFonts w:hint="eastAsia" w:ascii="新宋体" w:hAnsi="新宋体" w:eastAsia="新宋体" w:cs="新宋体"/>
          <w:color w:val="auto"/>
          <w:sz w:val="22"/>
          <w:highlight w:val="none"/>
        </w:rPr>
        <w:t>评标过程中遇到特殊情况，由评标委员会遵循公开、公正原则，采取投票方式按照少数服从多数原则决定。</w:t>
      </w:r>
    </w:p>
    <w:p w14:paraId="13D9ABBE">
      <w:pPr>
        <w:spacing w:line="460" w:lineRule="exact"/>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lang w:val="en-US" w:eastAsia="zh-CN"/>
        </w:rPr>
        <w:t>29</w:t>
      </w:r>
      <w:r>
        <w:rPr>
          <w:rFonts w:hint="eastAsia" w:ascii="新宋体" w:hAnsi="新宋体" w:eastAsia="新宋体" w:cs="新宋体"/>
          <w:b/>
          <w:color w:val="auto"/>
          <w:kern w:val="0"/>
          <w:sz w:val="22"/>
          <w:szCs w:val="22"/>
          <w:highlight w:val="none"/>
        </w:rPr>
        <w:t>.确定中标候选人</w:t>
      </w:r>
    </w:p>
    <w:p w14:paraId="328C5328">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29</w:t>
      </w:r>
      <w:r>
        <w:rPr>
          <w:rFonts w:hint="eastAsia" w:ascii="新宋体" w:hAnsi="新宋体" w:eastAsia="新宋体" w:cs="新宋体"/>
          <w:color w:val="auto"/>
          <w:kern w:val="0"/>
          <w:sz w:val="22"/>
          <w:szCs w:val="22"/>
          <w:highlight w:val="none"/>
        </w:rPr>
        <w:t>.1本次招标由评标委员会推荐中标候选人，采购人根据评标委员会的推荐结果进行最终确认。</w:t>
      </w:r>
    </w:p>
    <w:p w14:paraId="63B2E04E">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29</w:t>
      </w:r>
      <w:r>
        <w:rPr>
          <w:rFonts w:hint="eastAsia" w:ascii="新宋体" w:hAnsi="新宋体" w:eastAsia="新宋体" w:cs="新宋体"/>
          <w:color w:val="auto"/>
          <w:kern w:val="0"/>
          <w:sz w:val="22"/>
          <w:szCs w:val="22"/>
          <w:highlight w:val="none"/>
        </w:rPr>
        <w:t>.2</w:t>
      </w:r>
      <w:r>
        <w:rPr>
          <w:rFonts w:hint="eastAsia" w:ascii="新宋体" w:hAnsi="新宋体" w:eastAsia="新宋体" w:cs="新宋体"/>
          <w:color w:val="auto"/>
          <w:sz w:val="22"/>
          <w:szCs w:val="22"/>
          <w:highlight w:val="none"/>
        </w:rPr>
        <w:t>评标委员会依据法律、法规及采购文件有关规定在有效标中按</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的综合得分（即商务技术文件得分和投标报价得分的总和）高低进行排序，综合得分前二名的</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依次推荐为第一中标候选人与第二中标候选人（得分相同，投标报价低的排序</w:t>
      </w:r>
      <w:r>
        <w:rPr>
          <w:rFonts w:hint="eastAsia" w:ascii="新宋体" w:hAnsi="新宋体" w:eastAsia="新宋体" w:cs="新宋体"/>
          <w:color w:val="auto"/>
          <w:sz w:val="22"/>
          <w:szCs w:val="22"/>
          <w:highlight w:val="none"/>
          <w:lang w:val="en-US" w:eastAsia="zh-CN"/>
        </w:rPr>
        <w:t>前位</w:t>
      </w:r>
      <w:r>
        <w:rPr>
          <w:rFonts w:hint="eastAsia" w:ascii="新宋体" w:hAnsi="新宋体" w:eastAsia="新宋体" w:cs="新宋体"/>
          <w:color w:val="auto"/>
          <w:sz w:val="22"/>
          <w:szCs w:val="22"/>
          <w:highlight w:val="none"/>
        </w:rPr>
        <w:t>；得分且投标报价相同的，由评标委员会抽签决定）</w:t>
      </w:r>
      <w:r>
        <w:rPr>
          <w:rFonts w:hint="eastAsia" w:ascii="新宋体" w:hAnsi="新宋体" w:eastAsia="新宋体" w:cs="新宋体"/>
          <w:color w:val="auto"/>
          <w:kern w:val="0"/>
          <w:sz w:val="22"/>
          <w:szCs w:val="22"/>
          <w:highlight w:val="none"/>
        </w:rPr>
        <w:t>。</w:t>
      </w:r>
    </w:p>
    <w:p w14:paraId="34D74D61">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29</w:t>
      </w:r>
      <w:r>
        <w:rPr>
          <w:rFonts w:hint="eastAsia" w:ascii="新宋体" w:hAnsi="新宋体" w:eastAsia="新宋体" w:cs="新宋体"/>
          <w:color w:val="auto"/>
          <w:kern w:val="0"/>
          <w:sz w:val="22"/>
          <w:szCs w:val="22"/>
          <w:highlight w:val="none"/>
        </w:rPr>
        <w:t>.3若出现以下情形之一，采购人可视具体情况确定是否由第二中标候选人为中标人或重新组织</w:t>
      </w:r>
      <w:r>
        <w:rPr>
          <w:rFonts w:hint="eastAsia" w:ascii="新宋体" w:hAnsi="新宋体" w:eastAsia="新宋体" w:cs="新宋体"/>
          <w:color w:val="auto"/>
          <w:kern w:val="0"/>
          <w:sz w:val="22"/>
          <w:szCs w:val="22"/>
          <w:highlight w:val="none"/>
          <w:lang w:val="en-US" w:eastAsia="zh-CN"/>
        </w:rPr>
        <w:t>采购</w:t>
      </w:r>
      <w:r>
        <w:rPr>
          <w:rFonts w:hint="eastAsia" w:ascii="新宋体" w:hAnsi="新宋体" w:eastAsia="新宋体" w:cs="新宋体"/>
          <w:color w:val="auto"/>
          <w:kern w:val="0"/>
          <w:sz w:val="22"/>
          <w:szCs w:val="22"/>
          <w:highlight w:val="none"/>
        </w:rPr>
        <w:t>：</w:t>
      </w:r>
    </w:p>
    <w:p w14:paraId="48873E5A">
      <w:pPr>
        <w:tabs>
          <w:tab w:val="left" w:pos="540"/>
        </w:tabs>
        <w:autoSpaceDE w:val="0"/>
        <w:autoSpaceDN w:val="0"/>
        <w:adjustRightInd w:val="0"/>
        <w:spacing w:line="440" w:lineRule="atLeast"/>
        <w:ind w:left="567"/>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1）中标人放弃中标资格；</w:t>
      </w:r>
    </w:p>
    <w:p w14:paraId="587C2B30">
      <w:pPr>
        <w:tabs>
          <w:tab w:val="left" w:pos="540"/>
        </w:tabs>
        <w:autoSpaceDE w:val="0"/>
        <w:autoSpaceDN w:val="0"/>
        <w:adjustRightInd w:val="0"/>
        <w:spacing w:line="440" w:lineRule="atLeast"/>
        <w:ind w:left="567"/>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2）中标人因不可抗力提出不能履行合同；</w:t>
      </w:r>
    </w:p>
    <w:p w14:paraId="35F0AD87">
      <w:pPr>
        <w:tabs>
          <w:tab w:val="left" w:pos="540"/>
        </w:tabs>
        <w:autoSpaceDE w:val="0"/>
        <w:autoSpaceDN w:val="0"/>
        <w:adjustRightInd w:val="0"/>
        <w:spacing w:line="440" w:lineRule="atLeast"/>
        <w:ind w:left="567"/>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3）中标人未能在规定时间内与采购单位签订合同；</w:t>
      </w:r>
    </w:p>
    <w:p w14:paraId="2E4EE8CA">
      <w:pPr>
        <w:tabs>
          <w:tab w:val="left" w:pos="540"/>
        </w:tabs>
        <w:autoSpaceDE w:val="0"/>
        <w:autoSpaceDN w:val="0"/>
        <w:adjustRightInd w:val="0"/>
        <w:spacing w:line="440" w:lineRule="atLeast"/>
        <w:ind w:left="567"/>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val="en-US" w:eastAsia="zh-CN"/>
        </w:rPr>
        <w:t>4</w:t>
      </w:r>
      <w:r>
        <w:rPr>
          <w:rFonts w:hint="eastAsia" w:ascii="新宋体" w:hAnsi="新宋体" w:eastAsia="新宋体" w:cs="新宋体"/>
          <w:color w:val="auto"/>
          <w:kern w:val="0"/>
          <w:sz w:val="22"/>
          <w:szCs w:val="22"/>
          <w:highlight w:val="none"/>
          <w:lang w:val="zh-CN"/>
        </w:rPr>
        <w:t>）经质疑，采购人审查后，中标人</w:t>
      </w:r>
      <w:r>
        <w:rPr>
          <w:rFonts w:hint="eastAsia" w:ascii="新宋体" w:hAnsi="新宋体" w:eastAsia="新宋体" w:cs="新宋体"/>
          <w:color w:val="auto"/>
          <w:kern w:val="0"/>
          <w:sz w:val="22"/>
          <w:szCs w:val="22"/>
          <w:highlight w:val="none"/>
          <w:lang w:val="en-US" w:eastAsia="zh-CN"/>
        </w:rPr>
        <w:t>或者第一中标候选人</w:t>
      </w:r>
      <w:r>
        <w:rPr>
          <w:rFonts w:hint="eastAsia" w:ascii="新宋体" w:hAnsi="新宋体" w:eastAsia="新宋体" w:cs="新宋体"/>
          <w:color w:val="auto"/>
          <w:kern w:val="0"/>
          <w:sz w:val="22"/>
          <w:szCs w:val="22"/>
          <w:highlight w:val="none"/>
          <w:lang w:val="zh-CN"/>
        </w:rPr>
        <w:t>确实在本次采购活动中存在违法违规行为或其他原因使质疑成立的。</w:t>
      </w:r>
    </w:p>
    <w:p w14:paraId="0289A6E3">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29</w:t>
      </w:r>
      <w:r>
        <w:rPr>
          <w:rFonts w:hint="eastAsia" w:ascii="新宋体" w:hAnsi="新宋体" w:eastAsia="新宋体" w:cs="新宋体"/>
          <w:color w:val="auto"/>
          <w:kern w:val="0"/>
          <w:sz w:val="22"/>
          <w:szCs w:val="22"/>
          <w:highlight w:val="none"/>
        </w:rPr>
        <w:t>.4采购人、采购代理机构及评标委员会对未中标的供应商不作解释。本项目不对供应商公布详细的评审情况，不公布具体评分细则中小项得分。</w:t>
      </w:r>
    </w:p>
    <w:p w14:paraId="7FA78C80">
      <w:pPr>
        <w:tabs>
          <w:tab w:val="left" w:pos="1365"/>
        </w:tabs>
        <w:spacing w:line="460" w:lineRule="exact"/>
        <w:ind w:left="550" w:hanging="550" w:hangingChars="250"/>
        <w:rPr>
          <w:rFonts w:hint="eastAsia"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lang w:val="en-US" w:eastAsia="zh-CN"/>
        </w:rPr>
        <w:t>30</w:t>
      </w:r>
      <w:r>
        <w:rPr>
          <w:rFonts w:hint="eastAsia" w:ascii="新宋体" w:hAnsi="新宋体" w:eastAsia="新宋体" w:cs="新宋体"/>
          <w:color w:val="auto"/>
          <w:kern w:val="0"/>
          <w:sz w:val="22"/>
          <w:szCs w:val="22"/>
          <w:highlight w:val="none"/>
        </w:rPr>
        <w:t>. 评分细则详见“评标原则及方法”</w:t>
      </w:r>
      <w:r>
        <w:rPr>
          <w:rFonts w:hint="eastAsia" w:ascii="新宋体" w:hAnsi="新宋体" w:eastAsia="新宋体" w:cs="新宋体"/>
          <w:bCs/>
          <w:color w:val="auto"/>
          <w:sz w:val="22"/>
          <w:szCs w:val="22"/>
          <w:highlight w:val="none"/>
        </w:rPr>
        <w:t>。</w:t>
      </w:r>
    </w:p>
    <w:p w14:paraId="28F4A311">
      <w:pPr>
        <w:spacing w:line="460" w:lineRule="exact"/>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3</w:t>
      </w:r>
      <w:r>
        <w:rPr>
          <w:rFonts w:hint="eastAsia" w:ascii="新宋体" w:hAnsi="新宋体" w:eastAsia="新宋体" w:cs="新宋体"/>
          <w:b/>
          <w:color w:val="auto"/>
          <w:kern w:val="0"/>
          <w:sz w:val="22"/>
          <w:szCs w:val="22"/>
          <w:highlight w:val="none"/>
          <w:lang w:val="en-US" w:eastAsia="zh-CN"/>
        </w:rPr>
        <w:t>1</w:t>
      </w:r>
      <w:r>
        <w:rPr>
          <w:rFonts w:hint="eastAsia" w:ascii="新宋体" w:hAnsi="新宋体" w:eastAsia="新宋体" w:cs="新宋体"/>
          <w:b/>
          <w:color w:val="auto"/>
          <w:kern w:val="0"/>
          <w:sz w:val="22"/>
          <w:szCs w:val="22"/>
          <w:highlight w:val="none"/>
        </w:rPr>
        <w:t>. 可中止电子交易活动的情形</w:t>
      </w:r>
    </w:p>
    <w:p w14:paraId="67834807">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w:t>
      </w:r>
      <w:r>
        <w:rPr>
          <w:rFonts w:hint="eastAsia" w:ascii="新宋体" w:hAnsi="新宋体" w:eastAsia="新宋体" w:cs="新宋体"/>
          <w:color w:val="auto"/>
          <w:kern w:val="0"/>
          <w:sz w:val="22"/>
          <w:szCs w:val="22"/>
          <w:highlight w:val="none"/>
          <w:lang w:val="en-US" w:eastAsia="zh-CN"/>
        </w:rPr>
        <w:t>1</w:t>
      </w:r>
      <w:r>
        <w:rPr>
          <w:rFonts w:hint="eastAsia" w:ascii="新宋体" w:hAnsi="新宋体" w:eastAsia="新宋体" w:cs="新宋体"/>
          <w:color w:val="auto"/>
          <w:kern w:val="0"/>
          <w:sz w:val="22"/>
          <w:szCs w:val="22"/>
          <w:highlight w:val="none"/>
        </w:rPr>
        <w:t>.1采购过程中出现以下情形，导致电子交易平台无法正常运行，或者无法保证电子交易的公平、公正和安全时，采购组织机构可中止电子交易活动：</w:t>
      </w:r>
    </w:p>
    <w:p w14:paraId="4C7B91F1">
      <w:pPr>
        <w:numPr>
          <w:ilvl w:val="2"/>
          <w:numId w:val="12"/>
        </w:numPr>
        <w:tabs>
          <w:tab w:val="left" w:pos="993"/>
        </w:tabs>
        <w:spacing w:line="460" w:lineRule="exact"/>
        <w:ind w:left="993" w:hanging="426"/>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电子交易平台发生故障而无法登录访问的；</w:t>
      </w:r>
    </w:p>
    <w:p w14:paraId="00FE98EF">
      <w:pPr>
        <w:numPr>
          <w:ilvl w:val="2"/>
          <w:numId w:val="12"/>
        </w:numPr>
        <w:tabs>
          <w:tab w:val="left" w:pos="993"/>
        </w:tabs>
        <w:spacing w:line="460" w:lineRule="exact"/>
        <w:ind w:left="993" w:hanging="426"/>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电子交易平台应用或数据库出现错误，不能进行正常操作的；</w:t>
      </w:r>
    </w:p>
    <w:p w14:paraId="2556FAB2">
      <w:pPr>
        <w:numPr>
          <w:ilvl w:val="2"/>
          <w:numId w:val="12"/>
        </w:numPr>
        <w:tabs>
          <w:tab w:val="left" w:pos="993"/>
        </w:tabs>
        <w:spacing w:line="460" w:lineRule="exact"/>
        <w:ind w:left="993" w:hanging="426"/>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电子交易平台发现严重安全漏洞，有潜在泄密危险的；</w:t>
      </w:r>
    </w:p>
    <w:p w14:paraId="715BFA6D">
      <w:pPr>
        <w:numPr>
          <w:ilvl w:val="2"/>
          <w:numId w:val="12"/>
        </w:numPr>
        <w:tabs>
          <w:tab w:val="left" w:pos="993"/>
        </w:tabs>
        <w:spacing w:line="460" w:lineRule="exact"/>
        <w:ind w:left="993" w:hanging="426"/>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病毒发作导致不能进行正常操作的；</w:t>
      </w:r>
    </w:p>
    <w:p w14:paraId="34AF9337">
      <w:pPr>
        <w:numPr>
          <w:ilvl w:val="2"/>
          <w:numId w:val="12"/>
        </w:numPr>
        <w:tabs>
          <w:tab w:val="left" w:pos="993"/>
        </w:tabs>
        <w:spacing w:line="460" w:lineRule="exact"/>
        <w:ind w:left="993" w:hanging="426"/>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其他无法保证电子交易的公平、公正和安全的情况。</w:t>
      </w:r>
    </w:p>
    <w:p w14:paraId="0E59B39D">
      <w:pPr>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w:t>
      </w:r>
      <w:r>
        <w:rPr>
          <w:rFonts w:hint="eastAsia" w:ascii="新宋体" w:hAnsi="新宋体" w:eastAsia="新宋体" w:cs="新宋体"/>
          <w:color w:val="auto"/>
          <w:kern w:val="0"/>
          <w:sz w:val="22"/>
          <w:szCs w:val="22"/>
          <w:highlight w:val="none"/>
          <w:lang w:val="en-US" w:eastAsia="zh-CN"/>
        </w:rPr>
        <w:t>1</w:t>
      </w:r>
      <w:r>
        <w:rPr>
          <w:rFonts w:hint="eastAsia" w:ascii="新宋体" w:hAnsi="新宋体" w:eastAsia="新宋体" w:cs="新宋体"/>
          <w:color w:val="auto"/>
          <w:kern w:val="0"/>
          <w:sz w:val="22"/>
          <w:szCs w:val="22"/>
          <w:highlight w:val="none"/>
        </w:rPr>
        <w:t>.2出现前款规定情形，不影响采购公平、公正性的，采购组织机构可以待上述情形消除后继续组织电子交易活动；影响或可能影响采购公平、公正性的，应当重新采购。</w:t>
      </w:r>
    </w:p>
    <w:p w14:paraId="1BC49DCF">
      <w:pPr>
        <w:overflowPunct w:val="0"/>
        <w:spacing w:before="100" w:beforeAutospacing="1" w:after="100" w:afterAutospacing="1" w:line="440" w:lineRule="exact"/>
        <w:ind w:left="-6"/>
        <w:jc w:val="center"/>
        <w:outlineLvl w:val="0"/>
        <w:rPr>
          <w:rFonts w:hint="eastAsia" w:ascii="新宋体" w:hAnsi="新宋体" w:eastAsia="新宋体" w:cs="新宋体"/>
          <w:b/>
          <w:bCs/>
          <w:color w:val="auto"/>
          <w:sz w:val="26"/>
          <w:szCs w:val="26"/>
          <w:highlight w:val="none"/>
        </w:rPr>
      </w:pPr>
      <w:r>
        <w:rPr>
          <w:rFonts w:hint="eastAsia" w:ascii="新宋体" w:hAnsi="新宋体" w:eastAsia="新宋体" w:cs="新宋体"/>
          <w:b/>
          <w:bCs/>
          <w:color w:val="auto"/>
          <w:sz w:val="26"/>
          <w:szCs w:val="26"/>
          <w:highlight w:val="none"/>
          <w:lang w:val="en-US" w:eastAsia="zh-CN"/>
        </w:rPr>
        <w:t>七</w:t>
      </w:r>
      <w:r>
        <w:rPr>
          <w:rFonts w:hint="eastAsia" w:ascii="新宋体" w:hAnsi="新宋体" w:eastAsia="新宋体" w:cs="新宋体"/>
          <w:b/>
          <w:bCs/>
          <w:color w:val="auto"/>
          <w:sz w:val="26"/>
          <w:szCs w:val="26"/>
          <w:highlight w:val="none"/>
        </w:rPr>
        <w:t>、 授予合同</w:t>
      </w:r>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p>
    <w:p w14:paraId="53625969">
      <w:pPr>
        <w:numPr>
          <w:ilvl w:val="0"/>
          <w:numId w:val="0"/>
        </w:numPr>
        <w:spacing w:line="440" w:lineRule="exact"/>
        <w:ind w:leftChars="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val="en-US" w:eastAsia="zh-CN"/>
        </w:rPr>
        <w:t>32.</w:t>
      </w:r>
      <w:r>
        <w:rPr>
          <w:rFonts w:hint="eastAsia" w:ascii="新宋体" w:hAnsi="新宋体" w:eastAsia="新宋体" w:cs="新宋体"/>
          <w:bCs/>
          <w:color w:val="auto"/>
          <w:sz w:val="22"/>
          <w:szCs w:val="22"/>
          <w:highlight w:val="none"/>
        </w:rPr>
        <w:t>确定</w:t>
      </w:r>
      <w:r>
        <w:rPr>
          <w:rFonts w:hint="eastAsia" w:ascii="新宋体" w:hAnsi="新宋体" w:eastAsia="新宋体" w:cs="新宋体"/>
          <w:bCs/>
          <w:color w:val="auto"/>
          <w:sz w:val="22"/>
          <w:szCs w:val="22"/>
          <w:highlight w:val="none"/>
          <w:lang w:eastAsia="zh-CN"/>
        </w:rPr>
        <w:t>中标人</w:t>
      </w:r>
    </w:p>
    <w:p w14:paraId="63980C57">
      <w:pPr>
        <w:tabs>
          <w:tab w:val="left" w:pos="640"/>
        </w:tabs>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32</w:t>
      </w:r>
      <w:r>
        <w:rPr>
          <w:rFonts w:hint="eastAsia" w:ascii="新宋体" w:hAnsi="新宋体" w:eastAsia="新宋体" w:cs="新宋体"/>
          <w:color w:val="auto"/>
          <w:kern w:val="0"/>
          <w:sz w:val="22"/>
          <w:szCs w:val="22"/>
          <w:highlight w:val="none"/>
        </w:rPr>
        <w:t>.1 采购人自收到评标报告之日起5个工作日内，在评标报告确定的</w:t>
      </w:r>
      <w:r>
        <w:rPr>
          <w:rFonts w:hint="eastAsia" w:ascii="新宋体" w:hAnsi="新宋体" w:eastAsia="新宋体" w:cs="新宋体"/>
          <w:color w:val="auto"/>
          <w:kern w:val="0"/>
          <w:sz w:val="22"/>
          <w:szCs w:val="22"/>
          <w:highlight w:val="none"/>
          <w:lang w:val="en-US" w:eastAsia="zh-CN"/>
        </w:rPr>
        <w:t>中标候选人</w:t>
      </w:r>
      <w:r>
        <w:rPr>
          <w:rFonts w:hint="eastAsia" w:ascii="新宋体" w:hAnsi="新宋体" w:eastAsia="新宋体" w:cs="新宋体"/>
          <w:color w:val="auto"/>
          <w:kern w:val="0"/>
          <w:sz w:val="22"/>
          <w:szCs w:val="22"/>
          <w:highlight w:val="none"/>
        </w:rPr>
        <w:t>名单中按顺序确定</w:t>
      </w:r>
      <w:r>
        <w:rPr>
          <w:rFonts w:hint="eastAsia" w:ascii="新宋体" w:hAnsi="新宋体" w:eastAsia="新宋体" w:cs="新宋体"/>
          <w:color w:val="auto"/>
          <w:kern w:val="0"/>
          <w:sz w:val="22"/>
          <w:szCs w:val="22"/>
          <w:highlight w:val="none"/>
          <w:lang w:eastAsia="zh-CN"/>
        </w:rPr>
        <w:t>中标人</w:t>
      </w:r>
      <w:r>
        <w:rPr>
          <w:rFonts w:hint="eastAsia" w:ascii="新宋体" w:hAnsi="新宋体" w:eastAsia="新宋体" w:cs="新宋体"/>
          <w:color w:val="auto"/>
          <w:kern w:val="0"/>
          <w:sz w:val="22"/>
          <w:szCs w:val="22"/>
          <w:highlight w:val="none"/>
        </w:rPr>
        <w:t>。</w:t>
      </w:r>
    </w:p>
    <w:p w14:paraId="7472A683">
      <w:pPr>
        <w:tabs>
          <w:tab w:val="left" w:pos="640"/>
        </w:tabs>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32</w:t>
      </w:r>
      <w:r>
        <w:rPr>
          <w:rFonts w:hint="eastAsia" w:ascii="新宋体" w:hAnsi="新宋体" w:eastAsia="新宋体" w:cs="新宋体"/>
          <w:color w:val="auto"/>
          <w:kern w:val="0"/>
          <w:sz w:val="22"/>
          <w:szCs w:val="22"/>
          <w:highlight w:val="none"/>
        </w:rPr>
        <w:t>.2</w:t>
      </w:r>
      <w:r>
        <w:rPr>
          <w:rFonts w:hint="eastAsia" w:ascii="新宋体" w:hAnsi="新宋体" w:eastAsia="新宋体" w:cs="新宋体"/>
          <w:color w:val="auto"/>
          <w:kern w:val="0"/>
          <w:sz w:val="22"/>
          <w:szCs w:val="22"/>
          <w:highlight w:val="none"/>
          <w:lang w:eastAsia="zh-CN"/>
        </w:rPr>
        <w:t>中标人</w:t>
      </w:r>
      <w:r>
        <w:rPr>
          <w:rFonts w:hint="eastAsia" w:ascii="新宋体" w:hAnsi="新宋体" w:eastAsia="新宋体" w:cs="新宋体"/>
          <w:color w:val="auto"/>
          <w:kern w:val="0"/>
          <w:sz w:val="22"/>
          <w:szCs w:val="22"/>
          <w:highlight w:val="none"/>
        </w:rPr>
        <w:t>确定之日起2个工作日内，采购人或者采购代理机构在乐采云平台、温州国企采购平台以及采购人集团网站上发布中标公告，公告期一般不少于3日。</w:t>
      </w:r>
    </w:p>
    <w:p w14:paraId="5B7D6CDE">
      <w:pPr>
        <w:tabs>
          <w:tab w:val="left" w:pos="640"/>
        </w:tabs>
        <w:spacing w:line="46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32</w:t>
      </w:r>
      <w:r>
        <w:rPr>
          <w:rFonts w:hint="eastAsia" w:ascii="新宋体" w:hAnsi="新宋体" w:eastAsia="新宋体" w:cs="新宋体"/>
          <w:color w:val="auto"/>
          <w:kern w:val="0"/>
          <w:sz w:val="22"/>
          <w:szCs w:val="22"/>
          <w:highlight w:val="none"/>
        </w:rPr>
        <w:t>.3 供应商有质疑（异议）的应在公告期内提出，公告期内无供应商提出质疑（异议）的，采购人或采购代理机构应当向中标人发出中标通知书。</w:t>
      </w:r>
    </w:p>
    <w:p w14:paraId="3FBA6CAD">
      <w:pPr>
        <w:numPr>
          <w:ilvl w:val="0"/>
          <w:numId w:val="0"/>
        </w:numPr>
        <w:spacing w:line="440" w:lineRule="exact"/>
        <w:ind w:leftChars="0"/>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33.</w:t>
      </w:r>
      <w:r>
        <w:rPr>
          <w:rFonts w:hint="eastAsia" w:ascii="新宋体" w:hAnsi="新宋体" w:eastAsia="新宋体" w:cs="新宋体"/>
          <w:bCs/>
          <w:color w:val="auto"/>
          <w:sz w:val="22"/>
          <w:szCs w:val="22"/>
          <w:highlight w:val="none"/>
        </w:rPr>
        <w:t>签订合同</w:t>
      </w:r>
    </w:p>
    <w:p w14:paraId="2A7CF699">
      <w:pPr>
        <w:tabs>
          <w:tab w:val="left" w:pos="64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33</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eastAsia="zh-CN"/>
        </w:rPr>
        <w:t>中标人</w:t>
      </w:r>
      <w:r>
        <w:rPr>
          <w:rFonts w:hint="eastAsia" w:ascii="新宋体" w:hAnsi="新宋体" w:eastAsia="新宋体" w:cs="新宋体"/>
          <w:color w:val="auto"/>
          <w:sz w:val="22"/>
          <w:szCs w:val="22"/>
          <w:highlight w:val="none"/>
        </w:rPr>
        <w:t>应当在中标通知书发出之日起30日内与采购人签订合同。</w:t>
      </w:r>
      <w:r>
        <w:rPr>
          <w:rFonts w:hint="eastAsia" w:ascii="新宋体" w:hAnsi="新宋体" w:eastAsia="新宋体" w:cs="新宋体"/>
          <w:color w:val="auto"/>
          <w:sz w:val="22"/>
          <w:szCs w:val="22"/>
          <w:highlight w:val="none"/>
          <w:lang w:eastAsia="zh-CN"/>
        </w:rPr>
        <w:t>中标人</w:t>
      </w:r>
      <w:r>
        <w:rPr>
          <w:rFonts w:hint="eastAsia" w:ascii="新宋体" w:hAnsi="新宋体" w:eastAsia="新宋体" w:cs="新宋体"/>
          <w:color w:val="auto"/>
          <w:sz w:val="22"/>
          <w:szCs w:val="22"/>
          <w:highlight w:val="none"/>
        </w:rPr>
        <w:t>未经采购人许可，在规定时间内未到采购人处与采购人签订合同，则视为拒签合同。</w:t>
      </w:r>
    </w:p>
    <w:p w14:paraId="266534AE">
      <w:pPr>
        <w:tabs>
          <w:tab w:val="left" w:pos="64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33</w:t>
      </w:r>
      <w:r>
        <w:rPr>
          <w:rFonts w:hint="eastAsia" w:ascii="新宋体" w:hAnsi="新宋体" w:eastAsia="新宋体" w:cs="新宋体"/>
          <w:color w:val="auto"/>
          <w:sz w:val="22"/>
          <w:szCs w:val="22"/>
          <w:highlight w:val="none"/>
        </w:rPr>
        <w:t>.2 采购文件、</w:t>
      </w:r>
      <w:r>
        <w:rPr>
          <w:rFonts w:hint="eastAsia" w:ascii="新宋体" w:hAnsi="新宋体" w:eastAsia="新宋体" w:cs="新宋体"/>
          <w:color w:val="auto"/>
          <w:sz w:val="22"/>
          <w:szCs w:val="22"/>
          <w:highlight w:val="none"/>
          <w:lang w:eastAsia="zh-CN"/>
        </w:rPr>
        <w:t>中标人</w:t>
      </w:r>
      <w:r>
        <w:rPr>
          <w:rFonts w:hint="eastAsia" w:ascii="新宋体" w:hAnsi="新宋体" w:eastAsia="新宋体" w:cs="新宋体"/>
          <w:color w:val="auto"/>
          <w:sz w:val="22"/>
          <w:szCs w:val="22"/>
          <w:highlight w:val="none"/>
        </w:rPr>
        <w:t>的投标文件及投标修改文件、评标过程中有关澄清文件及经双方签字的询标纪要（承诺）和中标通知书均作为合同附件。</w:t>
      </w:r>
    </w:p>
    <w:p w14:paraId="4017E1BD">
      <w:pPr>
        <w:tabs>
          <w:tab w:val="left" w:pos="64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33</w:t>
      </w:r>
      <w:r>
        <w:rPr>
          <w:rFonts w:hint="eastAsia" w:ascii="新宋体" w:hAnsi="新宋体" w:eastAsia="新宋体" w:cs="新宋体"/>
          <w:color w:val="auto"/>
          <w:sz w:val="22"/>
          <w:szCs w:val="22"/>
          <w:highlight w:val="none"/>
        </w:rPr>
        <w:t>.3 拒签合同的责任</w:t>
      </w:r>
    </w:p>
    <w:p w14:paraId="53C2AE9B">
      <w:pPr>
        <w:spacing w:line="440" w:lineRule="exact"/>
        <w:rPr>
          <w:rFonts w:hint="eastAsia" w:ascii="新宋体" w:hAnsi="新宋体" w:eastAsia="新宋体" w:cs="新宋体"/>
          <w:b/>
          <w:bCs/>
          <w:color w:val="auto"/>
          <w:sz w:val="22"/>
          <w:szCs w:val="22"/>
          <w:highlight w:val="none"/>
          <w:u w:val="single"/>
        </w:rPr>
      </w:pPr>
      <w:r>
        <w:rPr>
          <w:rFonts w:hint="eastAsia" w:ascii="新宋体" w:hAnsi="新宋体" w:eastAsia="新宋体" w:cs="新宋体"/>
          <w:color w:val="auto"/>
          <w:sz w:val="22"/>
          <w:szCs w:val="22"/>
          <w:highlight w:val="none"/>
          <w:lang w:val="en-US" w:eastAsia="zh-CN"/>
        </w:rPr>
        <w:t>33</w:t>
      </w:r>
      <w:r>
        <w:rPr>
          <w:rFonts w:hint="eastAsia" w:ascii="新宋体" w:hAnsi="新宋体" w:eastAsia="新宋体" w:cs="新宋体"/>
          <w:color w:val="auto"/>
          <w:sz w:val="22"/>
          <w:szCs w:val="22"/>
          <w:highlight w:val="none"/>
        </w:rPr>
        <w:t xml:space="preserve">.4 </w:t>
      </w:r>
      <w:r>
        <w:rPr>
          <w:rFonts w:hint="eastAsia" w:ascii="新宋体" w:hAnsi="新宋体" w:eastAsia="新宋体" w:cs="新宋体"/>
          <w:color w:val="auto"/>
          <w:sz w:val="22"/>
          <w:szCs w:val="22"/>
          <w:highlight w:val="none"/>
          <w:lang w:eastAsia="zh-CN"/>
        </w:rPr>
        <w:t>中标人</w:t>
      </w:r>
      <w:r>
        <w:rPr>
          <w:rFonts w:hint="eastAsia" w:ascii="新宋体" w:hAnsi="新宋体" w:eastAsia="新宋体" w:cs="新宋体"/>
          <w:color w:val="auto"/>
          <w:sz w:val="22"/>
          <w:szCs w:val="22"/>
          <w:highlight w:val="none"/>
        </w:rPr>
        <w:t>在规定时间内（30日历天）借故否认已经承诺的条件、拒签合同，以投标违约处理，应按采购预算金额的2%赔偿对采购组织机构造成的损失；采购人重新组织采购的，所需费用由原</w:t>
      </w:r>
      <w:r>
        <w:rPr>
          <w:rFonts w:hint="eastAsia" w:ascii="新宋体" w:hAnsi="新宋体" w:eastAsia="新宋体" w:cs="新宋体"/>
          <w:color w:val="auto"/>
          <w:sz w:val="22"/>
          <w:szCs w:val="22"/>
          <w:highlight w:val="none"/>
          <w:lang w:val="en-US" w:eastAsia="zh-CN"/>
        </w:rPr>
        <w:t>中标人</w:t>
      </w:r>
      <w:r>
        <w:rPr>
          <w:rFonts w:hint="eastAsia" w:ascii="新宋体" w:hAnsi="新宋体" w:eastAsia="新宋体" w:cs="新宋体"/>
          <w:color w:val="auto"/>
          <w:sz w:val="22"/>
          <w:szCs w:val="22"/>
          <w:highlight w:val="none"/>
        </w:rPr>
        <w:t>承担。</w:t>
      </w:r>
    </w:p>
    <w:p w14:paraId="0E0B19F3">
      <w:pPr>
        <w:numPr>
          <w:ilvl w:val="0"/>
          <w:numId w:val="0"/>
        </w:numPr>
        <w:spacing w:line="440" w:lineRule="exact"/>
        <w:ind w:leftChars="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34.</w:t>
      </w:r>
      <w:r>
        <w:rPr>
          <w:rFonts w:hint="eastAsia" w:ascii="新宋体" w:hAnsi="新宋体" w:eastAsia="新宋体" w:cs="新宋体"/>
          <w:b/>
          <w:bCs/>
          <w:color w:val="auto"/>
          <w:sz w:val="22"/>
          <w:szCs w:val="22"/>
          <w:highlight w:val="none"/>
        </w:rPr>
        <w:t>采购代理服务费</w:t>
      </w:r>
    </w:p>
    <w:p w14:paraId="23827E3A">
      <w:pPr>
        <w:tabs>
          <w:tab w:val="left" w:pos="640"/>
        </w:tabs>
        <w:spacing w:line="440" w:lineRule="exact"/>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rPr>
        <w:t>.1本项目采购代理服务费固定金额人民币壹万陆仟陆佰贰拾伍元整收取，该服务费须计入投标报价，</w:t>
      </w:r>
      <w:r>
        <w:rPr>
          <w:rFonts w:hint="eastAsia" w:ascii="新宋体" w:hAnsi="新宋体" w:eastAsia="新宋体" w:cs="新宋体"/>
          <w:color w:val="auto"/>
          <w:sz w:val="22"/>
          <w:szCs w:val="22"/>
          <w:highlight w:val="none"/>
          <w:lang w:val="en-US" w:eastAsia="zh-CN"/>
        </w:rPr>
        <w:t>无需单独列明，</w:t>
      </w:r>
      <w:r>
        <w:rPr>
          <w:rFonts w:hint="eastAsia" w:ascii="新宋体" w:hAnsi="新宋体" w:eastAsia="新宋体" w:cs="新宋体"/>
          <w:color w:val="auto"/>
          <w:sz w:val="22"/>
          <w:szCs w:val="22"/>
          <w:highlight w:val="none"/>
        </w:rPr>
        <w:t>由</w:t>
      </w:r>
      <w:r>
        <w:rPr>
          <w:rFonts w:hint="eastAsia" w:ascii="新宋体" w:hAnsi="新宋体" w:eastAsia="新宋体" w:cs="新宋体"/>
          <w:color w:val="auto"/>
          <w:sz w:val="22"/>
          <w:szCs w:val="22"/>
          <w:highlight w:val="none"/>
          <w:lang w:eastAsia="zh-CN"/>
        </w:rPr>
        <w:t>中标人</w:t>
      </w:r>
      <w:r>
        <w:rPr>
          <w:rFonts w:hint="eastAsia" w:ascii="新宋体" w:hAnsi="新宋体" w:eastAsia="新宋体" w:cs="新宋体"/>
          <w:color w:val="auto"/>
          <w:sz w:val="22"/>
          <w:szCs w:val="22"/>
          <w:highlight w:val="none"/>
        </w:rPr>
        <w:t>在领取中标（成交）通知书之前支付给采购代理机构。</w:t>
      </w:r>
    </w:p>
    <w:p w14:paraId="4A15BFC4">
      <w:pPr>
        <w:tabs>
          <w:tab w:val="left" w:pos="640"/>
        </w:tabs>
        <w:spacing w:line="440" w:lineRule="exact"/>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2</w:t>
      </w:r>
      <w:r>
        <w:rPr>
          <w:rFonts w:hint="eastAsia" w:ascii="新宋体" w:hAnsi="新宋体" w:eastAsia="新宋体" w:cs="新宋体"/>
          <w:color w:val="auto"/>
          <w:spacing w:val="6"/>
          <w:sz w:val="22"/>
          <w:szCs w:val="22"/>
          <w:highlight w:val="none"/>
          <w:lang w:val="en-US" w:eastAsia="zh-CN"/>
        </w:rPr>
        <w:t>7</w:t>
      </w:r>
      <w:r>
        <w:rPr>
          <w:rFonts w:hint="eastAsia" w:ascii="新宋体" w:hAnsi="新宋体" w:eastAsia="新宋体" w:cs="新宋体"/>
          <w:color w:val="auto"/>
          <w:spacing w:val="6"/>
          <w:sz w:val="22"/>
          <w:szCs w:val="22"/>
          <w:highlight w:val="none"/>
        </w:rPr>
        <w:t>.2 采购代理服务费可以是现金、支票或汇票。</w:t>
      </w:r>
    </w:p>
    <w:p w14:paraId="57C9915A">
      <w:pPr>
        <w:tabs>
          <w:tab w:val="left" w:pos="640"/>
        </w:tabs>
        <w:spacing w:line="44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rPr>
        <w:t>.3户名：</w:t>
      </w:r>
      <w:r>
        <w:rPr>
          <w:rFonts w:hint="eastAsia" w:ascii="新宋体" w:hAnsi="新宋体" w:eastAsia="新宋体" w:cs="新宋体"/>
          <w:color w:val="auto"/>
          <w:sz w:val="22"/>
          <w:szCs w:val="22"/>
          <w:highlight w:val="none"/>
          <w:lang w:eastAsia="zh-CN"/>
        </w:rPr>
        <w:t>温州品立项目管理有限公司</w:t>
      </w:r>
    </w:p>
    <w:p w14:paraId="7CE65C68">
      <w:pPr>
        <w:tabs>
          <w:tab w:val="left" w:pos="640"/>
        </w:tabs>
        <w:spacing w:line="44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 xml:space="preserve">账号： </w:t>
      </w:r>
      <w:r>
        <w:rPr>
          <w:rFonts w:hint="eastAsia" w:ascii="新宋体" w:hAnsi="新宋体" w:eastAsia="新宋体" w:cs="新宋体"/>
          <w:color w:val="auto"/>
          <w:sz w:val="22"/>
          <w:szCs w:val="22"/>
          <w:highlight w:val="none"/>
          <w:lang w:eastAsia="zh-CN"/>
        </w:rPr>
        <w:t>715000120190002006</w:t>
      </w:r>
    </w:p>
    <w:p w14:paraId="441F1DBD">
      <w:pPr>
        <w:tabs>
          <w:tab w:val="left" w:pos="540"/>
        </w:tabs>
        <w:overflowPunct w:val="0"/>
        <w:spacing w:line="40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开户行：</w:t>
      </w:r>
      <w:r>
        <w:rPr>
          <w:rFonts w:hint="eastAsia" w:ascii="新宋体" w:hAnsi="新宋体" w:eastAsia="新宋体" w:cs="新宋体"/>
          <w:color w:val="auto"/>
          <w:sz w:val="22"/>
          <w:szCs w:val="22"/>
          <w:highlight w:val="none"/>
          <w:lang w:eastAsia="zh-CN"/>
        </w:rPr>
        <w:t>温州银行股份有限公司松台支行</w:t>
      </w:r>
    </w:p>
    <w:p w14:paraId="3539186E">
      <w:pPr>
        <w:tabs>
          <w:tab w:val="left" w:pos="540"/>
        </w:tabs>
        <w:overflowPunct w:val="0"/>
        <w:spacing w:line="40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35.</w:t>
      </w:r>
      <w:r>
        <w:rPr>
          <w:rFonts w:hint="eastAsia" w:ascii="新宋体" w:hAnsi="新宋体" w:eastAsia="新宋体" w:cs="新宋体"/>
          <w:b/>
          <w:bCs/>
          <w:color w:val="auto"/>
          <w:sz w:val="22"/>
          <w:szCs w:val="22"/>
          <w:highlight w:val="none"/>
        </w:rPr>
        <w:t>乐采云国企采购平台项目采购收费标准(温州市市属国企区）</w:t>
      </w:r>
    </w:p>
    <w:p w14:paraId="3A4C8227">
      <w:pPr>
        <w:tabs>
          <w:tab w:val="left" w:pos="540"/>
        </w:tabs>
        <w:overflowPunct w:val="0"/>
        <w:spacing w:line="4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本次</w:t>
      </w:r>
      <w:r>
        <w:rPr>
          <w:rFonts w:hint="eastAsia" w:ascii="新宋体" w:hAnsi="新宋体" w:eastAsia="新宋体" w:cs="新宋体"/>
          <w:color w:val="auto"/>
          <w:sz w:val="22"/>
          <w:szCs w:val="22"/>
          <w:highlight w:val="none"/>
          <w:lang w:val="en-US" w:eastAsia="zh-CN"/>
        </w:rPr>
        <w:t>采购</w:t>
      </w:r>
      <w:r>
        <w:rPr>
          <w:rFonts w:hint="eastAsia" w:ascii="新宋体" w:hAnsi="新宋体" w:eastAsia="新宋体" w:cs="新宋体"/>
          <w:color w:val="auto"/>
          <w:sz w:val="22"/>
          <w:szCs w:val="22"/>
          <w:highlight w:val="none"/>
        </w:rPr>
        <w:t>通过乐采云平台进行，</w:t>
      </w:r>
      <w:r>
        <w:rPr>
          <w:rFonts w:hint="eastAsia" w:ascii="新宋体" w:hAnsi="新宋体" w:eastAsia="新宋体" w:cs="新宋体"/>
          <w:color w:val="auto"/>
          <w:sz w:val="22"/>
          <w:szCs w:val="22"/>
          <w:highlight w:val="none"/>
          <w:lang w:eastAsia="zh-CN"/>
        </w:rPr>
        <w:t>中标人</w:t>
      </w:r>
      <w:r>
        <w:rPr>
          <w:rFonts w:hint="eastAsia" w:ascii="新宋体" w:hAnsi="新宋体" w:eastAsia="新宋体" w:cs="新宋体"/>
          <w:color w:val="auto"/>
          <w:sz w:val="22"/>
          <w:szCs w:val="22"/>
          <w:highlight w:val="none"/>
        </w:rPr>
        <w:t>需缴纳乐采云技术服务费，相关收费标准详见</w:t>
      </w:r>
      <w:r>
        <w:rPr>
          <w:rFonts w:hint="eastAsia" w:ascii="新宋体" w:hAnsi="新宋体" w:eastAsia="新宋体" w:cs="新宋体"/>
          <w:color w:val="auto"/>
          <w:sz w:val="22"/>
          <w:szCs w:val="22"/>
          <w:highlight w:val="none"/>
          <w:lang w:bidi="ar-SA"/>
        </w:rPr>
        <w:t>链接：</w:t>
      </w:r>
      <w:r>
        <w:rPr>
          <w:rFonts w:hint="eastAsia" w:ascii="新宋体" w:hAnsi="新宋体" w:eastAsia="新宋体" w:cs="新宋体"/>
          <w:color w:val="auto"/>
          <w:sz w:val="22"/>
          <w:szCs w:val="22"/>
          <w:highlight w:val="none"/>
          <w:lang w:bidi="ar-SA"/>
        </w:rPr>
        <w:fldChar w:fldCharType="begin"/>
      </w:r>
      <w:r>
        <w:rPr>
          <w:rFonts w:hint="eastAsia" w:ascii="新宋体" w:hAnsi="新宋体" w:eastAsia="新宋体" w:cs="新宋体"/>
          <w:color w:val="auto"/>
          <w:sz w:val="22"/>
          <w:szCs w:val="22"/>
          <w:highlight w:val="none"/>
          <w:lang w:bidi="ar-SA"/>
        </w:rPr>
        <w:instrText xml:space="preserve">HYPERLINK "https://www.lecaiyun.com/helpcenter/document#/document/detail?siteCode=lecaiyun&amp;manualId=2061&amp;topicId=8625"</w:instrText>
      </w:r>
      <w:r>
        <w:rPr>
          <w:rFonts w:hint="eastAsia" w:ascii="新宋体" w:hAnsi="新宋体" w:eastAsia="新宋体" w:cs="新宋体"/>
          <w:color w:val="auto"/>
          <w:sz w:val="22"/>
          <w:szCs w:val="22"/>
          <w:highlight w:val="none"/>
          <w:lang w:bidi="ar-SA"/>
        </w:rPr>
        <w:fldChar w:fldCharType="separate"/>
      </w:r>
      <w:r>
        <w:rPr>
          <w:rFonts w:hint="eastAsia" w:ascii="新宋体" w:hAnsi="新宋体" w:eastAsia="新宋体" w:cs="新宋体"/>
          <w:color w:val="auto"/>
          <w:sz w:val="22"/>
          <w:szCs w:val="22"/>
          <w:highlight w:val="none"/>
          <w:lang w:bidi="ar-SA"/>
        </w:rPr>
        <w:t>https://www.lecaiyun.com/helpcenter/document#/document/detail?siteCode=lecaiyun&amp;manualId=2061&amp;topicId=8625</w:t>
      </w:r>
      <w:r>
        <w:rPr>
          <w:rFonts w:hint="eastAsia" w:ascii="新宋体" w:hAnsi="新宋体" w:eastAsia="新宋体" w:cs="新宋体"/>
          <w:color w:val="auto"/>
          <w:sz w:val="22"/>
          <w:szCs w:val="22"/>
          <w:highlight w:val="none"/>
          <w:lang w:bidi="ar-SA"/>
        </w:rPr>
        <w:fldChar w:fldCharType="end"/>
      </w:r>
      <w:r>
        <w:rPr>
          <w:rFonts w:hint="eastAsia" w:ascii="新宋体" w:hAnsi="新宋体" w:eastAsia="新宋体" w:cs="新宋体"/>
          <w:color w:val="auto"/>
          <w:sz w:val="22"/>
          <w:szCs w:val="22"/>
          <w:highlight w:val="none"/>
          <w:lang w:bidi="ar-SA"/>
        </w:rPr>
        <w:t>（具体以系统实际收费为准）</w:t>
      </w:r>
      <w:r>
        <w:rPr>
          <w:rFonts w:hint="eastAsia" w:ascii="新宋体" w:hAnsi="新宋体" w:eastAsia="新宋体" w:cs="新宋体"/>
          <w:color w:val="auto"/>
          <w:sz w:val="22"/>
          <w:szCs w:val="22"/>
          <w:highlight w:val="none"/>
        </w:rPr>
        <w:t>。</w:t>
      </w:r>
    </w:p>
    <w:p w14:paraId="255D071F">
      <w:pPr>
        <w:pStyle w:val="29"/>
        <w:ind w:firstLine="210"/>
        <w:rPr>
          <w:rFonts w:hint="eastAsia" w:ascii="新宋体" w:hAnsi="新宋体" w:eastAsia="新宋体" w:cs="新宋体"/>
          <w:color w:val="auto"/>
          <w:highlight w:val="none"/>
        </w:rPr>
      </w:pPr>
      <w:r>
        <w:rPr>
          <w:rFonts w:hint="eastAsia" w:ascii="新宋体" w:hAnsi="新宋体" w:eastAsia="新宋体" w:cs="新宋体"/>
          <w:color w:val="auto"/>
          <w:highlight w:val="none"/>
        </w:rPr>
        <w:br w:type="page"/>
      </w:r>
    </w:p>
    <w:p w14:paraId="00DD9286">
      <w:pPr>
        <w:numPr>
          <w:ilvl w:val="0"/>
          <w:numId w:val="13"/>
        </w:numPr>
        <w:spacing w:before="100" w:beforeAutospacing="1" w:after="100" w:afterAutospacing="1" w:line="440" w:lineRule="exact"/>
        <w:jc w:val="center"/>
        <w:outlineLvl w:val="0"/>
        <w:rPr>
          <w:rFonts w:hint="eastAsia" w:ascii="新宋体" w:hAnsi="新宋体" w:eastAsia="新宋体" w:cs="新宋体"/>
          <w:b/>
          <w:bCs/>
          <w:color w:val="auto"/>
          <w:sz w:val="36"/>
          <w:szCs w:val="36"/>
          <w:highlight w:val="none"/>
        </w:rPr>
      </w:pPr>
      <w:bookmarkStart w:id="148" w:name="_Toc230516657"/>
      <w:bookmarkStart w:id="149" w:name="_Toc391410218"/>
      <w:bookmarkStart w:id="150" w:name="_Toc216667826"/>
      <w:bookmarkStart w:id="151" w:name="_Toc7188"/>
      <w:bookmarkStart w:id="152" w:name="_Toc449519967"/>
      <w:bookmarkStart w:id="153" w:name="_Toc129"/>
      <w:bookmarkStart w:id="154" w:name="_Toc75948404"/>
      <w:bookmarkStart w:id="155" w:name="_Toc5417"/>
      <w:bookmarkStart w:id="156" w:name="_Toc320037094"/>
      <w:bookmarkStart w:id="157" w:name="_Toc14500"/>
      <w:bookmarkStart w:id="158" w:name="_Toc223717610"/>
      <w:bookmarkStart w:id="159" w:name="_Toc217460691"/>
      <w:bookmarkStart w:id="160" w:name="_Toc219538619"/>
      <w:bookmarkStart w:id="161" w:name="_Toc29238"/>
      <w:bookmarkStart w:id="162" w:name="_Toc227489893"/>
      <w:bookmarkStart w:id="163" w:name="_Toc218041732"/>
      <w:bookmarkStart w:id="164" w:name="_Toc227057039"/>
      <w:bookmarkStart w:id="165" w:name="_Toc223933227"/>
      <w:bookmarkStart w:id="166" w:name="_Toc227056852"/>
      <w:bookmarkStart w:id="167" w:name="_Toc450922612"/>
      <w:bookmarkStart w:id="168" w:name="_Toc288"/>
      <w:bookmarkStart w:id="169" w:name="_Toc29196"/>
      <w:bookmarkStart w:id="170" w:name="_Toc215415536"/>
      <w:bookmarkStart w:id="171" w:name="_Toc251592741"/>
      <w:bookmarkStart w:id="172" w:name="_Toc221356955"/>
      <w:bookmarkStart w:id="173" w:name="_Toc221423623"/>
      <w:bookmarkStart w:id="174" w:name="_Toc239145358"/>
      <w:bookmarkStart w:id="175" w:name="_Toc245722285"/>
      <w:bookmarkStart w:id="176" w:name="_Toc478047991"/>
      <w:bookmarkStart w:id="177" w:name="_Toc241404206"/>
      <w:bookmarkStart w:id="178" w:name="_Toc221374630"/>
      <w:bookmarkStart w:id="179" w:name="_Toc222114883"/>
      <w:bookmarkStart w:id="180" w:name="_Toc246261269"/>
      <w:bookmarkStart w:id="181" w:name="_Toc223716002"/>
      <w:bookmarkStart w:id="182" w:name="_Toc221356891"/>
      <w:bookmarkStart w:id="183" w:name="_Toc245191318"/>
      <w:bookmarkStart w:id="184" w:name="_Toc252194856"/>
      <w:bookmarkStart w:id="185" w:name="_Toc251325218"/>
      <w:r>
        <w:rPr>
          <w:rFonts w:hint="eastAsia" w:ascii="新宋体" w:hAnsi="新宋体" w:eastAsia="新宋体" w:cs="新宋体"/>
          <w:b/>
          <w:bCs/>
          <w:color w:val="auto"/>
          <w:sz w:val="36"/>
          <w:szCs w:val="36"/>
          <w:highlight w:val="none"/>
        </w:rPr>
        <w:t xml:space="preserve"> </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r>
        <w:rPr>
          <w:rFonts w:hint="eastAsia" w:ascii="新宋体" w:hAnsi="新宋体" w:eastAsia="新宋体" w:cs="新宋体"/>
          <w:b/>
          <w:bCs/>
          <w:color w:val="auto"/>
          <w:sz w:val="36"/>
          <w:szCs w:val="36"/>
          <w:highlight w:val="none"/>
          <w:lang w:eastAsia="zh-CN"/>
        </w:rPr>
        <w:t>合同条款及格式</w:t>
      </w:r>
    </w:p>
    <w:p w14:paraId="07204EC6">
      <w:pPr>
        <w:spacing w:line="460" w:lineRule="exact"/>
        <w:ind w:firstLine="539" w:firstLineChars="245"/>
        <w:rPr>
          <w:rFonts w:ascii="新宋体" w:hAnsi="新宋体" w:eastAsia="新宋体" w:cs="新宋体"/>
          <w:b/>
          <w:color w:val="auto"/>
          <w:sz w:val="22"/>
          <w:szCs w:val="22"/>
          <w:highlight w:val="none"/>
        </w:rPr>
      </w:pPr>
      <w:bookmarkStart w:id="186" w:name="_Toc14055"/>
      <w:bookmarkStart w:id="187" w:name="_Toc75948405"/>
      <w:bookmarkStart w:id="188" w:name="_Toc20492"/>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b/>
          <w:color w:val="auto"/>
          <w:sz w:val="22"/>
          <w:szCs w:val="22"/>
          <w:highlight w:val="none"/>
        </w:rPr>
        <w:t>注：如甲、乙双方同意，合同格式也可以按照其他形式, 具体条款以甲方为主协商确定。但合同条款的基本内容应与以下要求的内容相一致。</w:t>
      </w:r>
    </w:p>
    <w:p w14:paraId="21BDD1C2">
      <w:pPr>
        <w:widowControl/>
        <w:tabs>
          <w:tab w:val="left" w:pos="360"/>
        </w:tabs>
        <w:snapToGrid w:val="0"/>
        <w:spacing w:line="420" w:lineRule="atLeast"/>
        <w:jc w:val="left"/>
        <w:rPr>
          <w:rFonts w:ascii="宋体" w:hAnsi="Arial Unicode MS" w:cs="宋体"/>
          <w:bCs/>
          <w:color w:val="auto"/>
          <w:kern w:val="0"/>
          <w:sz w:val="22"/>
          <w:szCs w:val="22"/>
          <w:highlight w:val="none"/>
        </w:rPr>
      </w:pPr>
      <w:r>
        <w:rPr>
          <w:rFonts w:hint="eastAsia" w:ascii="宋体" w:hAnsi="Arial Unicode MS" w:cs="宋体"/>
          <w:bCs/>
          <w:color w:val="auto"/>
          <w:kern w:val="0"/>
          <w:sz w:val="22"/>
          <w:szCs w:val="22"/>
          <w:highlight w:val="none"/>
        </w:rPr>
        <w:t>合同编号：</w:t>
      </w:r>
    </w:p>
    <w:p w14:paraId="24337579">
      <w:pPr>
        <w:widowControl/>
        <w:tabs>
          <w:tab w:val="left" w:pos="360"/>
        </w:tabs>
        <w:snapToGrid w:val="0"/>
        <w:spacing w:line="420" w:lineRule="atLeast"/>
        <w:jc w:val="center"/>
        <w:rPr>
          <w:rFonts w:ascii="宋体" w:hAnsi="Arial Unicode MS" w:cs="宋体"/>
          <w:bCs/>
          <w:color w:val="auto"/>
          <w:kern w:val="0"/>
          <w:sz w:val="48"/>
          <w:szCs w:val="48"/>
          <w:highlight w:val="none"/>
        </w:rPr>
      </w:pPr>
    </w:p>
    <w:p w14:paraId="3501D677">
      <w:pPr>
        <w:tabs>
          <w:tab w:val="left" w:pos="360"/>
        </w:tabs>
        <w:spacing w:after="120" w:line="460" w:lineRule="exact"/>
        <w:ind w:firstLine="480" w:firstLineChars="100"/>
        <w:rPr>
          <w:rFonts w:ascii="宋体" w:hAnsi="Arial Unicode MS" w:cs="宋体"/>
          <w:bCs/>
          <w:color w:val="auto"/>
          <w:kern w:val="0"/>
          <w:sz w:val="48"/>
          <w:szCs w:val="48"/>
          <w:highlight w:val="none"/>
        </w:rPr>
      </w:pPr>
    </w:p>
    <w:p w14:paraId="6CE117CA">
      <w:pPr>
        <w:widowControl/>
        <w:snapToGrid w:val="0"/>
        <w:spacing w:line="420" w:lineRule="atLeast"/>
        <w:jc w:val="center"/>
        <w:rPr>
          <w:rFonts w:hint="eastAsia" w:ascii="新宋体" w:hAnsi="新宋体" w:eastAsia="新宋体" w:cs="新宋体"/>
          <w:color w:val="auto"/>
          <w:kern w:val="0"/>
          <w:sz w:val="44"/>
          <w:szCs w:val="44"/>
          <w:highlight w:val="none"/>
        </w:rPr>
      </w:pPr>
      <w:r>
        <w:rPr>
          <w:rFonts w:hint="eastAsia" w:ascii="新宋体" w:hAnsi="新宋体" w:eastAsia="新宋体" w:cs="新宋体"/>
          <w:color w:val="auto"/>
          <w:kern w:val="0"/>
          <w:sz w:val="44"/>
          <w:szCs w:val="44"/>
          <w:highlight w:val="none"/>
        </w:rPr>
        <w:t>温州市数据集团有限公司</w:t>
      </w:r>
    </w:p>
    <w:p w14:paraId="4B956699">
      <w:pPr>
        <w:widowControl/>
        <w:snapToGrid w:val="0"/>
        <w:spacing w:line="420" w:lineRule="atLeast"/>
        <w:jc w:val="center"/>
        <w:rPr>
          <w:rFonts w:hint="eastAsia" w:ascii="新宋体" w:hAnsi="新宋体" w:eastAsia="新宋体" w:cs="新宋体"/>
          <w:color w:val="auto"/>
          <w:kern w:val="0"/>
          <w:sz w:val="44"/>
          <w:szCs w:val="44"/>
          <w:highlight w:val="none"/>
        </w:rPr>
      </w:pPr>
      <w:r>
        <w:rPr>
          <w:rFonts w:hint="eastAsia" w:ascii="新宋体" w:hAnsi="新宋体" w:eastAsia="新宋体" w:cs="新宋体"/>
          <w:color w:val="auto"/>
          <w:kern w:val="0"/>
          <w:sz w:val="44"/>
          <w:szCs w:val="44"/>
          <w:highlight w:val="none"/>
        </w:rPr>
        <w:t>采购合同</w:t>
      </w:r>
    </w:p>
    <w:p w14:paraId="0667E182">
      <w:pPr>
        <w:widowControl/>
        <w:snapToGrid w:val="0"/>
        <w:spacing w:line="420" w:lineRule="atLeast"/>
        <w:jc w:val="left"/>
        <w:rPr>
          <w:rFonts w:hint="eastAsia" w:ascii="新宋体" w:hAnsi="新宋体" w:eastAsia="新宋体" w:cs="新宋体"/>
          <w:color w:val="auto"/>
          <w:kern w:val="0"/>
          <w:sz w:val="30"/>
          <w:szCs w:val="30"/>
          <w:highlight w:val="none"/>
        </w:rPr>
      </w:pPr>
    </w:p>
    <w:p w14:paraId="1C107AA4">
      <w:pPr>
        <w:widowControl/>
        <w:snapToGrid w:val="0"/>
        <w:spacing w:line="360" w:lineRule="auto"/>
        <w:jc w:val="left"/>
        <w:rPr>
          <w:rFonts w:hint="eastAsia" w:ascii="新宋体" w:hAnsi="新宋体" w:eastAsia="新宋体" w:cs="新宋体"/>
          <w:color w:val="auto"/>
          <w:kern w:val="0"/>
          <w:sz w:val="30"/>
          <w:szCs w:val="30"/>
          <w:highlight w:val="none"/>
        </w:rPr>
      </w:pPr>
    </w:p>
    <w:p w14:paraId="26ADCB26">
      <w:pPr>
        <w:widowControl/>
        <w:snapToGrid w:val="0"/>
        <w:spacing w:line="360" w:lineRule="auto"/>
        <w:ind w:firstLine="600" w:firstLineChars="200"/>
        <w:jc w:val="left"/>
        <w:rPr>
          <w:rFonts w:hint="eastAsia" w:ascii="新宋体" w:hAnsi="新宋体" w:eastAsia="新宋体" w:cs="新宋体"/>
          <w:color w:val="auto"/>
          <w:kern w:val="0"/>
          <w:sz w:val="30"/>
          <w:szCs w:val="30"/>
          <w:highlight w:val="none"/>
          <w:u w:val="single"/>
        </w:rPr>
      </w:pPr>
      <w:r>
        <w:rPr>
          <w:rFonts w:hint="eastAsia" w:ascii="新宋体" w:hAnsi="新宋体" w:eastAsia="新宋体" w:cs="新宋体"/>
          <w:color w:val="auto"/>
          <w:kern w:val="0"/>
          <w:sz w:val="30"/>
          <w:szCs w:val="30"/>
          <w:highlight w:val="none"/>
        </w:rPr>
        <w:t>项目名称：</w:t>
      </w:r>
      <w:r>
        <w:rPr>
          <w:rFonts w:hint="eastAsia" w:ascii="新宋体" w:hAnsi="新宋体" w:eastAsia="新宋体" w:cs="新宋体"/>
          <w:bCs/>
          <w:color w:val="auto"/>
          <w:kern w:val="0"/>
          <w:sz w:val="30"/>
          <w:szCs w:val="30"/>
          <w:highlight w:val="none"/>
          <w:u w:val="single"/>
          <w:lang w:eastAsia="zh-CN"/>
        </w:rPr>
        <w:t>医疗专区智慧医疗数据综合流通平台-区域医疗综合管理系统及多元数据治理</w:t>
      </w:r>
      <w:r>
        <w:rPr>
          <w:rFonts w:hint="eastAsia" w:ascii="新宋体" w:hAnsi="新宋体" w:eastAsia="新宋体" w:cs="新宋体"/>
          <w:color w:val="auto"/>
          <w:kern w:val="0"/>
          <w:sz w:val="30"/>
          <w:szCs w:val="30"/>
          <w:highlight w:val="none"/>
          <w:u w:val="single"/>
        </w:rPr>
        <w:t xml:space="preserve">  </w:t>
      </w:r>
    </w:p>
    <w:p w14:paraId="2B5357E2">
      <w:pPr>
        <w:widowControl/>
        <w:snapToGrid w:val="0"/>
        <w:spacing w:line="360" w:lineRule="auto"/>
        <w:ind w:firstLine="600" w:firstLineChars="200"/>
        <w:jc w:val="left"/>
        <w:rPr>
          <w:rFonts w:hint="eastAsia" w:ascii="新宋体" w:hAnsi="新宋体" w:eastAsia="新宋体" w:cs="新宋体"/>
          <w:color w:val="auto"/>
          <w:kern w:val="0"/>
          <w:sz w:val="30"/>
          <w:szCs w:val="30"/>
          <w:highlight w:val="none"/>
          <w:u w:val="single"/>
        </w:rPr>
      </w:pPr>
    </w:p>
    <w:p w14:paraId="7210BCAE">
      <w:pPr>
        <w:widowControl/>
        <w:snapToGrid w:val="0"/>
        <w:spacing w:line="720" w:lineRule="auto"/>
        <w:ind w:firstLine="600" w:firstLineChars="200"/>
        <w:jc w:val="left"/>
        <w:rPr>
          <w:rFonts w:hint="eastAsia" w:ascii="新宋体" w:hAnsi="新宋体" w:eastAsia="新宋体" w:cs="新宋体"/>
          <w:color w:val="auto"/>
          <w:kern w:val="0"/>
          <w:sz w:val="30"/>
          <w:szCs w:val="30"/>
          <w:highlight w:val="none"/>
        </w:rPr>
      </w:pPr>
      <w:r>
        <w:rPr>
          <w:rFonts w:hint="eastAsia" w:ascii="新宋体" w:hAnsi="新宋体" w:eastAsia="新宋体" w:cs="新宋体"/>
          <w:color w:val="auto"/>
          <w:kern w:val="0"/>
          <w:sz w:val="30"/>
          <w:szCs w:val="30"/>
          <w:highlight w:val="none"/>
        </w:rPr>
        <w:t>甲方（盖章）：</w:t>
      </w:r>
      <w:r>
        <w:rPr>
          <w:rFonts w:hint="eastAsia" w:ascii="新宋体" w:hAnsi="新宋体" w:eastAsia="新宋体" w:cs="新宋体"/>
          <w:color w:val="auto"/>
          <w:kern w:val="0"/>
          <w:sz w:val="30"/>
          <w:szCs w:val="30"/>
          <w:highlight w:val="none"/>
          <w:u w:val="single"/>
        </w:rPr>
        <w:t xml:space="preserve">                              </w:t>
      </w:r>
    </w:p>
    <w:p w14:paraId="4C026CDB">
      <w:pPr>
        <w:widowControl/>
        <w:snapToGrid w:val="0"/>
        <w:spacing w:line="720" w:lineRule="auto"/>
        <w:ind w:firstLine="600" w:firstLineChars="200"/>
        <w:jc w:val="left"/>
        <w:rPr>
          <w:rFonts w:hint="eastAsia" w:ascii="新宋体" w:hAnsi="新宋体" w:eastAsia="新宋体" w:cs="新宋体"/>
          <w:color w:val="auto"/>
          <w:kern w:val="0"/>
          <w:sz w:val="30"/>
          <w:szCs w:val="30"/>
          <w:highlight w:val="none"/>
          <w:u w:val="single"/>
        </w:rPr>
      </w:pPr>
      <w:r>
        <w:rPr>
          <w:rFonts w:hint="eastAsia" w:ascii="新宋体" w:hAnsi="新宋体" w:eastAsia="新宋体" w:cs="新宋体"/>
          <w:color w:val="auto"/>
          <w:kern w:val="0"/>
          <w:sz w:val="30"/>
          <w:szCs w:val="30"/>
          <w:highlight w:val="none"/>
        </w:rPr>
        <w:t>乙方（盖章）：</w:t>
      </w:r>
      <w:r>
        <w:rPr>
          <w:rFonts w:hint="eastAsia" w:ascii="新宋体" w:hAnsi="新宋体" w:eastAsia="新宋体" w:cs="新宋体"/>
          <w:color w:val="auto"/>
          <w:kern w:val="0"/>
          <w:sz w:val="30"/>
          <w:szCs w:val="30"/>
          <w:highlight w:val="none"/>
          <w:u w:val="single"/>
        </w:rPr>
        <w:t xml:space="preserve">                              </w:t>
      </w:r>
    </w:p>
    <w:p w14:paraId="3138D07C">
      <w:pPr>
        <w:widowControl/>
        <w:snapToGrid w:val="0"/>
        <w:spacing w:line="720" w:lineRule="auto"/>
        <w:ind w:firstLine="600" w:firstLineChars="200"/>
        <w:jc w:val="left"/>
        <w:rPr>
          <w:rFonts w:hint="eastAsia" w:ascii="新宋体" w:hAnsi="新宋体" w:eastAsia="新宋体" w:cs="新宋体"/>
          <w:color w:val="auto"/>
          <w:kern w:val="0"/>
          <w:sz w:val="30"/>
          <w:szCs w:val="30"/>
          <w:highlight w:val="none"/>
          <w:u w:val="single"/>
        </w:rPr>
      </w:pPr>
      <w:r>
        <w:rPr>
          <w:rFonts w:hint="eastAsia" w:ascii="新宋体" w:hAnsi="新宋体" w:eastAsia="新宋体" w:cs="新宋体"/>
          <w:color w:val="auto"/>
          <w:kern w:val="0"/>
          <w:sz w:val="30"/>
          <w:szCs w:val="30"/>
          <w:highlight w:val="none"/>
        </w:rPr>
        <w:t>签署时间：</w:t>
      </w:r>
      <w:r>
        <w:rPr>
          <w:rFonts w:hint="eastAsia" w:ascii="新宋体" w:hAnsi="新宋体" w:eastAsia="新宋体" w:cs="新宋体"/>
          <w:color w:val="auto"/>
          <w:kern w:val="0"/>
          <w:sz w:val="30"/>
          <w:szCs w:val="30"/>
          <w:highlight w:val="none"/>
          <w:u w:val="single"/>
        </w:rPr>
        <w:t xml:space="preserve">                                  </w:t>
      </w:r>
    </w:p>
    <w:p w14:paraId="65C54831">
      <w:pPr>
        <w:widowControl/>
        <w:snapToGrid w:val="0"/>
        <w:spacing w:line="720" w:lineRule="auto"/>
        <w:ind w:firstLine="600" w:firstLineChars="200"/>
        <w:jc w:val="left"/>
        <w:rPr>
          <w:rFonts w:hint="eastAsia" w:ascii="新宋体" w:hAnsi="新宋体" w:eastAsia="新宋体" w:cs="新宋体"/>
          <w:color w:val="auto"/>
          <w:kern w:val="0"/>
          <w:sz w:val="30"/>
          <w:szCs w:val="30"/>
          <w:highlight w:val="none"/>
          <w:u w:val="single"/>
        </w:rPr>
      </w:pPr>
      <w:r>
        <w:rPr>
          <w:rFonts w:hint="eastAsia" w:ascii="新宋体" w:hAnsi="新宋体" w:eastAsia="新宋体" w:cs="新宋体"/>
          <w:color w:val="auto"/>
          <w:kern w:val="0"/>
          <w:sz w:val="30"/>
          <w:szCs w:val="30"/>
          <w:highlight w:val="none"/>
        </w:rPr>
        <w:t>签署地点：</w:t>
      </w:r>
      <w:r>
        <w:rPr>
          <w:rFonts w:hint="eastAsia" w:ascii="新宋体" w:hAnsi="新宋体" w:eastAsia="新宋体" w:cs="新宋体"/>
          <w:color w:val="auto"/>
          <w:kern w:val="0"/>
          <w:sz w:val="30"/>
          <w:szCs w:val="30"/>
          <w:highlight w:val="none"/>
          <w:u w:val="single"/>
        </w:rPr>
        <w:t xml:space="preserve">            </w:t>
      </w:r>
    </w:p>
    <w:p w14:paraId="44FE4896">
      <w:pPr>
        <w:widowControl/>
        <w:snapToGrid w:val="0"/>
        <w:spacing w:line="720" w:lineRule="auto"/>
        <w:jc w:val="left"/>
        <w:rPr>
          <w:rFonts w:hint="eastAsia" w:ascii="新宋体" w:hAnsi="新宋体" w:eastAsia="新宋体" w:cs="新宋体"/>
          <w:color w:val="auto"/>
          <w:sz w:val="36"/>
          <w:szCs w:val="36"/>
          <w:highlight w:val="none"/>
        </w:rPr>
      </w:pPr>
    </w:p>
    <w:p w14:paraId="566427C0">
      <w:pPr>
        <w:rPr>
          <w:rFonts w:hint="eastAsia" w:ascii="新宋体" w:hAnsi="新宋体" w:eastAsia="新宋体" w:cs="新宋体"/>
          <w:bCs/>
          <w:color w:val="auto"/>
          <w:sz w:val="32"/>
          <w:szCs w:val="32"/>
          <w:highlight w:val="none"/>
        </w:rPr>
      </w:pPr>
      <w:r>
        <w:rPr>
          <w:rFonts w:hint="eastAsia" w:ascii="新宋体" w:hAnsi="新宋体" w:eastAsia="新宋体" w:cs="新宋体"/>
          <w:bCs/>
          <w:color w:val="auto"/>
          <w:sz w:val="32"/>
          <w:szCs w:val="32"/>
          <w:highlight w:val="none"/>
        </w:rPr>
        <w:br w:type="page"/>
      </w:r>
    </w:p>
    <w:p w14:paraId="5EEFA24B">
      <w:pPr>
        <w:spacing w:line="360" w:lineRule="auto"/>
        <w:jc w:val="center"/>
        <w:rPr>
          <w:rFonts w:hint="eastAsia" w:ascii="新宋体" w:hAnsi="新宋体" w:eastAsia="新宋体"/>
          <w:b/>
          <w:bCs/>
          <w:color w:val="auto"/>
          <w:sz w:val="32"/>
          <w:szCs w:val="32"/>
          <w:highlight w:val="none"/>
        </w:rPr>
      </w:pPr>
      <w:r>
        <w:rPr>
          <w:rFonts w:hint="eastAsia" w:ascii="新宋体" w:hAnsi="新宋体" w:eastAsia="新宋体" w:cs="新宋体"/>
          <w:bCs/>
          <w:color w:val="auto"/>
          <w:sz w:val="32"/>
          <w:szCs w:val="32"/>
          <w:highlight w:val="none"/>
        </w:rPr>
        <w:t>合同主要条款</w:t>
      </w:r>
    </w:p>
    <w:p w14:paraId="09B9CD3D">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甲、乙双方根据《中华人民共和国民法典》等法律法规规定，按照</w:t>
      </w:r>
      <w:r>
        <w:rPr>
          <w:rFonts w:hint="eastAsia" w:ascii="新宋体" w:hAnsi="新宋体" w:eastAsia="新宋体" w:cs="新宋体"/>
          <w:color w:val="auto"/>
          <w:sz w:val="22"/>
          <w:szCs w:val="22"/>
          <w:highlight w:val="none"/>
          <w:lang w:eastAsia="zh-CN"/>
        </w:rPr>
        <w:t>采购文件</w:t>
      </w:r>
      <w:r>
        <w:rPr>
          <w:rFonts w:hint="eastAsia" w:ascii="新宋体" w:hAnsi="新宋体" w:eastAsia="新宋体" w:cs="新宋体"/>
          <w:color w:val="auto"/>
          <w:sz w:val="22"/>
          <w:szCs w:val="22"/>
          <w:highlight w:val="none"/>
        </w:rPr>
        <w:t>规定条款及投标响应情况，本着平等、自愿的原则，就</w:t>
      </w:r>
      <w:r>
        <w:rPr>
          <w:rFonts w:hint="eastAsia" w:ascii="新宋体" w:hAnsi="新宋体" w:eastAsia="新宋体" w:cs="新宋体"/>
          <w:color w:val="auto"/>
          <w:sz w:val="22"/>
          <w:szCs w:val="22"/>
          <w:highlight w:val="none"/>
          <w:lang w:eastAsia="zh-CN"/>
        </w:rPr>
        <w:t>医疗专区智慧医疗数据综合流通平台-区域医疗综合管理系统及多元数据治理</w:t>
      </w:r>
      <w:r>
        <w:rPr>
          <w:rFonts w:hint="eastAsia" w:ascii="新宋体" w:hAnsi="新宋体" w:eastAsia="新宋体" w:cs="新宋体"/>
          <w:color w:val="auto"/>
          <w:sz w:val="22"/>
          <w:szCs w:val="22"/>
          <w:highlight w:val="none"/>
        </w:rPr>
        <w:t xml:space="preserve">相关事宜，经双方友好协商一致，签订本合同。 </w:t>
      </w:r>
    </w:p>
    <w:p w14:paraId="364D8078">
      <w:pPr>
        <w:keepNext w:val="0"/>
        <w:keepLines w:val="0"/>
        <w:pageBreakBefore w:val="0"/>
        <w:tabs>
          <w:tab w:val="left" w:pos="540"/>
        </w:tabs>
        <w:kinsoku/>
        <w:wordWrap/>
        <w:overflowPunct/>
        <w:topLinePunct w:val="0"/>
        <w:autoSpaceDE/>
        <w:autoSpaceDN/>
        <w:bidi w:val="0"/>
        <w:spacing w:line="360" w:lineRule="auto"/>
        <w:ind w:firstLine="420" w:firstLineChars="19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 xml:space="preserve">一、项目内容及金额： </w:t>
      </w:r>
    </w:p>
    <w:p w14:paraId="561F9F01">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lang w:eastAsia="zh-CN"/>
        </w:rPr>
        <w:t>医疗专区智慧医疗数据综合流通平台-区域医疗综合管理系统及多元数据治理</w:t>
      </w:r>
      <w:r>
        <w:rPr>
          <w:rFonts w:hint="eastAsia" w:ascii="新宋体" w:hAnsi="新宋体" w:eastAsia="新宋体" w:cs="新宋体"/>
          <w:color w:val="auto"/>
          <w:sz w:val="22"/>
          <w:szCs w:val="22"/>
          <w:highlight w:val="none"/>
        </w:rPr>
        <w:t>内容及服务费如下，项目详细技术内容详见附件：</w:t>
      </w:r>
      <w:r>
        <w:rPr>
          <w:rFonts w:hint="eastAsia" w:ascii="新宋体" w:hAnsi="新宋体" w:eastAsia="新宋体" w:cs="新宋体"/>
          <w:color w:val="auto"/>
          <w:kern w:val="0"/>
          <w:sz w:val="22"/>
          <w:szCs w:val="22"/>
          <w:highlight w:val="none"/>
        </w:rPr>
        <w:t xml:space="preserve"> </w:t>
      </w:r>
    </w:p>
    <w:tbl>
      <w:tblPr>
        <w:tblStyle w:val="3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3"/>
        <w:gridCol w:w="4072"/>
        <w:gridCol w:w="875"/>
        <w:gridCol w:w="1182"/>
        <w:gridCol w:w="1478"/>
      </w:tblGrid>
      <w:tr w14:paraId="10495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975" w:type="pct"/>
            <w:noWrap w:val="0"/>
            <w:vAlign w:val="center"/>
          </w:tcPr>
          <w:p w14:paraId="12ABD2E0">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服务种类</w:t>
            </w:r>
          </w:p>
        </w:tc>
        <w:tc>
          <w:tcPr>
            <w:tcW w:w="2154" w:type="pct"/>
            <w:noWrap w:val="0"/>
            <w:vAlign w:val="center"/>
          </w:tcPr>
          <w:p w14:paraId="2CCAC879">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模块名称</w:t>
            </w:r>
          </w:p>
        </w:tc>
        <w:tc>
          <w:tcPr>
            <w:tcW w:w="463" w:type="pct"/>
            <w:noWrap w:val="0"/>
            <w:vAlign w:val="center"/>
          </w:tcPr>
          <w:p w14:paraId="0510D5B5">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b/>
                <w:bCs/>
                <w:color w:val="auto"/>
                <w:kern w:val="0"/>
                <w:sz w:val="22"/>
                <w:szCs w:val="22"/>
                <w:highlight w:val="none"/>
                <w:lang w:eastAsia="zh-CN"/>
              </w:rPr>
            </w:pPr>
            <w:r>
              <w:rPr>
                <w:rFonts w:hint="eastAsia" w:ascii="新宋体" w:hAnsi="新宋体" w:eastAsia="新宋体" w:cs="新宋体"/>
                <w:b/>
                <w:bCs/>
                <w:color w:val="auto"/>
                <w:kern w:val="0"/>
                <w:sz w:val="22"/>
                <w:szCs w:val="22"/>
                <w:highlight w:val="none"/>
                <w:lang w:val="en-US" w:eastAsia="zh-CN"/>
              </w:rPr>
              <w:t>数量</w:t>
            </w:r>
          </w:p>
        </w:tc>
        <w:tc>
          <w:tcPr>
            <w:tcW w:w="624" w:type="pct"/>
            <w:noWrap w:val="0"/>
            <w:vAlign w:val="center"/>
          </w:tcPr>
          <w:p w14:paraId="3AB0CEB9">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单价（元）</w:t>
            </w:r>
          </w:p>
        </w:tc>
        <w:tc>
          <w:tcPr>
            <w:tcW w:w="782" w:type="pct"/>
            <w:noWrap w:val="0"/>
            <w:vAlign w:val="center"/>
          </w:tcPr>
          <w:p w14:paraId="0731C303">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小计（元）</w:t>
            </w:r>
          </w:p>
        </w:tc>
      </w:tr>
      <w:tr w14:paraId="47F85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975" w:type="pct"/>
            <w:vMerge w:val="restart"/>
            <w:noWrap w:val="0"/>
            <w:vAlign w:val="center"/>
          </w:tcPr>
          <w:p w14:paraId="7005667C">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医疗专区智慧医疗数据综合流通平台-区域医疗综合管理系统</w:t>
            </w:r>
          </w:p>
        </w:tc>
        <w:tc>
          <w:tcPr>
            <w:tcW w:w="2154" w:type="pct"/>
            <w:noWrap w:val="0"/>
            <w:vAlign w:val="center"/>
          </w:tcPr>
          <w:p w14:paraId="102061AE">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bidi="ar"/>
              </w:rPr>
              <w:t>云病案</w:t>
            </w:r>
            <w:r>
              <w:rPr>
                <w:rFonts w:hint="eastAsia" w:ascii="新宋体" w:hAnsi="新宋体" w:eastAsia="新宋体" w:cs="新宋体"/>
                <w:color w:val="auto"/>
                <w:kern w:val="0"/>
                <w:sz w:val="22"/>
                <w:szCs w:val="22"/>
                <w:highlight w:val="none"/>
                <w:lang w:val="en-US" w:eastAsia="zh-CN" w:bidi="ar"/>
              </w:rPr>
              <w:t>系统</w:t>
            </w:r>
          </w:p>
        </w:tc>
        <w:tc>
          <w:tcPr>
            <w:tcW w:w="463" w:type="pct"/>
            <w:noWrap w:val="0"/>
            <w:vAlign w:val="center"/>
          </w:tcPr>
          <w:p w14:paraId="3B1C468C">
            <w:pPr>
              <w:keepNext w:val="0"/>
              <w:keepLines w:val="0"/>
              <w:pageBreakBefore w:val="0"/>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2"/>
                <w:sz w:val="22"/>
                <w:szCs w:val="22"/>
                <w:highlight w:val="none"/>
                <w:lang w:val="en-US" w:eastAsia="zh-CN" w:bidi="ar-SA"/>
              </w:rPr>
            </w:pPr>
          </w:p>
        </w:tc>
        <w:tc>
          <w:tcPr>
            <w:tcW w:w="624" w:type="pct"/>
            <w:noWrap w:val="0"/>
            <w:vAlign w:val="center"/>
          </w:tcPr>
          <w:p w14:paraId="2217A13F">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c>
          <w:tcPr>
            <w:tcW w:w="782" w:type="pct"/>
            <w:noWrap w:val="0"/>
            <w:vAlign w:val="center"/>
          </w:tcPr>
          <w:p w14:paraId="48745443">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r>
      <w:tr w14:paraId="0E7D6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975" w:type="pct"/>
            <w:vMerge w:val="continue"/>
            <w:noWrap w:val="0"/>
            <w:vAlign w:val="center"/>
          </w:tcPr>
          <w:p w14:paraId="09AC36FB">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c>
          <w:tcPr>
            <w:tcW w:w="2154" w:type="pct"/>
            <w:noWrap w:val="0"/>
            <w:vAlign w:val="center"/>
          </w:tcPr>
          <w:p w14:paraId="438D4D3A">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lang w:val="en-US" w:eastAsia="zh-CN" w:bidi="ar"/>
              </w:rPr>
            </w:pPr>
            <w:r>
              <w:rPr>
                <w:rFonts w:hint="eastAsia" w:ascii="新宋体" w:hAnsi="新宋体" w:eastAsia="新宋体" w:cs="新宋体"/>
                <w:color w:val="auto"/>
                <w:kern w:val="0"/>
                <w:sz w:val="22"/>
                <w:szCs w:val="22"/>
                <w:highlight w:val="none"/>
                <w:lang w:bidi="ar"/>
              </w:rPr>
              <w:t>医疗大数据智廉监管</w:t>
            </w:r>
            <w:r>
              <w:rPr>
                <w:rFonts w:hint="eastAsia" w:ascii="新宋体" w:hAnsi="新宋体" w:eastAsia="新宋体" w:cs="新宋体"/>
                <w:color w:val="auto"/>
                <w:kern w:val="0"/>
                <w:sz w:val="22"/>
                <w:szCs w:val="22"/>
                <w:highlight w:val="none"/>
                <w:lang w:val="en-US" w:eastAsia="zh-CN" w:bidi="ar"/>
              </w:rPr>
              <w:t>平台</w:t>
            </w:r>
          </w:p>
        </w:tc>
        <w:tc>
          <w:tcPr>
            <w:tcW w:w="463" w:type="pct"/>
            <w:noWrap w:val="0"/>
            <w:vAlign w:val="center"/>
          </w:tcPr>
          <w:p w14:paraId="7D8A220B">
            <w:pPr>
              <w:keepNext w:val="0"/>
              <w:keepLines w:val="0"/>
              <w:pageBreakBefore w:val="0"/>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2"/>
                <w:sz w:val="22"/>
                <w:szCs w:val="22"/>
                <w:highlight w:val="none"/>
                <w:lang w:val="en-US" w:eastAsia="zh-CN" w:bidi="ar-SA"/>
              </w:rPr>
            </w:pPr>
          </w:p>
        </w:tc>
        <w:tc>
          <w:tcPr>
            <w:tcW w:w="624" w:type="pct"/>
            <w:noWrap w:val="0"/>
            <w:vAlign w:val="center"/>
          </w:tcPr>
          <w:p w14:paraId="5246585D">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c>
          <w:tcPr>
            <w:tcW w:w="782" w:type="pct"/>
            <w:noWrap w:val="0"/>
            <w:vAlign w:val="center"/>
          </w:tcPr>
          <w:p w14:paraId="65B4B5DC">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r>
      <w:tr w14:paraId="7181A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75" w:type="pct"/>
            <w:vMerge w:val="continue"/>
            <w:noWrap w:val="0"/>
            <w:vAlign w:val="center"/>
          </w:tcPr>
          <w:p w14:paraId="28C4807B">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c>
          <w:tcPr>
            <w:tcW w:w="2154" w:type="pct"/>
            <w:noWrap w:val="0"/>
            <w:vAlign w:val="center"/>
          </w:tcPr>
          <w:p w14:paraId="0E52F492">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lang w:val="en-US" w:eastAsia="zh-CN" w:bidi="ar"/>
              </w:rPr>
            </w:pPr>
            <w:r>
              <w:rPr>
                <w:rFonts w:hint="eastAsia" w:ascii="新宋体" w:hAnsi="新宋体" w:eastAsia="新宋体" w:cs="新宋体"/>
                <w:color w:val="auto"/>
                <w:kern w:val="0"/>
                <w:sz w:val="22"/>
                <w:szCs w:val="22"/>
                <w:highlight w:val="none"/>
                <w:lang w:val="en-US" w:eastAsia="zh-CN" w:bidi="ar"/>
              </w:rPr>
              <w:t>市级医院运营管理决策支持平台</w:t>
            </w:r>
          </w:p>
        </w:tc>
        <w:tc>
          <w:tcPr>
            <w:tcW w:w="463" w:type="pct"/>
            <w:noWrap w:val="0"/>
            <w:vAlign w:val="center"/>
          </w:tcPr>
          <w:p w14:paraId="008EA5AC">
            <w:pPr>
              <w:keepNext w:val="0"/>
              <w:keepLines w:val="0"/>
              <w:pageBreakBefore w:val="0"/>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2"/>
                <w:sz w:val="22"/>
                <w:szCs w:val="22"/>
                <w:highlight w:val="none"/>
                <w:lang w:val="en-US" w:eastAsia="zh-CN" w:bidi="ar-SA"/>
              </w:rPr>
            </w:pPr>
          </w:p>
        </w:tc>
        <w:tc>
          <w:tcPr>
            <w:tcW w:w="624" w:type="pct"/>
            <w:noWrap w:val="0"/>
            <w:vAlign w:val="center"/>
          </w:tcPr>
          <w:p w14:paraId="0E2EAA69">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c>
          <w:tcPr>
            <w:tcW w:w="782" w:type="pct"/>
            <w:noWrap w:val="0"/>
            <w:vAlign w:val="center"/>
          </w:tcPr>
          <w:p w14:paraId="64CB7C3A">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r>
      <w:tr w14:paraId="7D1E3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975" w:type="pct"/>
            <w:vMerge w:val="restart"/>
            <w:noWrap w:val="0"/>
            <w:vAlign w:val="center"/>
          </w:tcPr>
          <w:p w14:paraId="17C8219F">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lang w:eastAsia="zh-CN"/>
              </w:rPr>
              <w:t>医疗专区智慧医疗数据综合流通平台-多元数据治理</w:t>
            </w:r>
          </w:p>
        </w:tc>
        <w:tc>
          <w:tcPr>
            <w:tcW w:w="2154" w:type="pct"/>
            <w:noWrap w:val="0"/>
            <w:vAlign w:val="center"/>
          </w:tcPr>
          <w:p w14:paraId="7D6E4C51">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lang w:val="en-US" w:eastAsia="zh-CN" w:bidi="ar"/>
              </w:rPr>
            </w:pPr>
            <w:r>
              <w:rPr>
                <w:rFonts w:hint="eastAsia" w:ascii="新宋体" w:hAnsi="新宋体" w:eastAsia="新宋体" w:cs="新宋体"/>
                <w:color w:val="auto"/>
                <w:kern w:val="0"/>
                <w:sz w:val="22"/>
                <w:szCs w:val="22"/>
                <w:highlight w:val="none"/>
                <w:lang w:bidi="ar"/>
              </w:rPr>
              <w:t>未成年人侵害监管</w:t>
            </w:r>
            <w:r>
              <w:rPr>
                <w:rFonts w:hint="eastAsia" w:ascii="新宋体" w:hAnsi="新宋体" w:eastAsia="新宋体" w:cs="新宋体"/>
                <w:color w:val="auto"/>
                <w:kern w:val="0"/>
                <w:sz w:val="22"/>
                <w:szCs w:val="22"/>
                <w:highlight w:val="none"/>
                <w:lang w:val="en-US" w:eastAsia="zh-CN" w:bidi="ar"/>
              </w:rPr>
              <w:t>平台</w:t>
            </w:r>
          </w:p>
        </w:tc>
        <w:tc>
          <w:tcPr>
            <w:tcW w:w="463" w:type="pct"/>
            <w:noWrap w:val="0"/>
            <w:vAlign w:val="center"/>
          </w:tcPr>
          <w:p w14:paraId="0605A971">
            <w:pPr>
              <w:keepNext w:val="0"/>
              <w:keepLines w:val="0"/>
              <w:pageBreakBefore w:val="0"/>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u w:val="none"/>
                <w:lang w:val="en-US" w:eastAsia="zh-CN" w:bidi="ar"/>
              </w:rPr>
            </w:pPr>
          </w:p>
        </w:tc>
        <w:tc>
          <w:tcPr>
            <w:tcW w:w="624" w:type="pct"/>
            <w:noWrap w:val="0"/>
            <w:vAlign w:val="center"/>
          </w:tcPr>
          <w:p w14:paraId="0A633E0B">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c>
          <w:tcPr>
            <w:tcW w:w="782" w:type="pct"/>
            <w:noWrap w:val="0"/>
            <w:vAlign w:val="center"/>
          </w:tcPr>
          <w:p w14:paraId="3E6D17BA">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r>
      <w:tr w14:paraId="655C5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975" w:type="pct"/>
            <w:vMerge w:val="continue"/>
            <w:noWrap w:val="0"/>
            <w:vAlign w:val="center"/>
          </w:tcPr>
          <w:p w14:paraId="279F82A2">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c>
          <w:tcPr>
            <w:tcW w:w="2154" w:type="pct"/>
            <w:noWrap w:val="0"/>
            <w:vAlign w:val="center"/>
          </w:tcPr>
          <w:p w14:paraId="3CB3333B">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lang w:val="en-US" w:eastAsia="zh-CN" w:bidi="ar"/>
              </w:rPr>
            </w:pPr>
            <w:r>
              <w:rPr>
                <w:rFonts w:hint="eastAsia" w:ascii="新宋体" w:hAnsi="新宋体" w:eastAsia="新宋体" w:cs="新宋体"/>
                <w:color w:val="auto"/>
                <w:kern w:val="0"/>
                <w:sz w:val="22"/>
                <w:szCs w:val="22"/>
                <w:highlight w:val="none"/>
                <w:lang w:val="en-US" w:eastAsia="zh-CN" w:bidi="ar"/>
              </w:rPr>
              <w:t>医疗人口数据治理</w:t>
            </w:r>
          </w:p>
        </w:tc>
        <w:tc>
          <w:tcPr>
            <w:tcW w:w="463" w:type="pct"/>
            <w:noWrap w:val="0"/>
            <w:vAlign w:val="center"/>
          </w:tcPr>
          <w:p w14:paraId="25DCA46D">
            <w:pPr>
              <w:keepNext w:val="0"/>
              <w:keepLines w:val="0"/>
              <w:pageBreakBefore w:val="0"/>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2"/>
                <w:sz w:val="22"/>
                <w:szCs w:val="22"/>
                <w:highlight w:val="none"/>
                <w:lang w:val="en-US" w:eastAsia="zh-CN" w:bidi="ar-SA"/>
              </w:rPr>
            </w:pPr>
          </w:p>
        </w:tc>
        <w:tc>
          <w:tcPr>
            <w:tcW w:w="624" w:type="pct"/>
            <w:noWrap w:val="0"/>
            <w:vAlign w:val="center"/>
          </w:tcPr>
          <w:p w14:paraId="01B6486A">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c>
          <w:tcPr>
            <w:tcW w:w="782" w:type="pct"/>
            <w:noWrap w:val="0"/>
            <w:vAlign w:val="center"/>
          </w:tcPr>
          <w:p w14:paraId="5EA872EC">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r>
      <w:tr w14:paraId="1AD25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975" w:type="pct"/>
            <w:vMerge w:val="continue"/>
            <w:noWrap w:val="0"/>
            <w:vAlign w:val="center"/>
          </w:tcPr>
          <w:p w14:paraId="06C33D0A">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c>
          <w:tcPr>
            <w:tcW w:w="2154" w:type="pct"/>
            <w:noWrap w:val="0"/>
            <w:vAlign w:val="center"/>
          </w:tcPr>
          <w:p w14:paraId="3CCC3DDF">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lang w:val="en-US" w:eastAsia="zh-CN" w:bidi="ar"/>
              </w:rPr>
            </w:pPr>
            <w:r>
              <w:rPr>
                <w:rFonts w:hint="eastAsia" w:ascii="新宋体" w:hAnsi="新宋体" w:eastAsia="新宋体" w:cs="新宋体"/>
                <w:color w:val="auto"/>
                <w:kern w:val="0"/>
                <w:sz w:val="22"/>
                <w:szCs w:val="22"/>
                <w:highlight w:val="none"/>
                <w:lang w:bidi="ar"/>
              </w:rPr>
              <w:t>地址数据治理</w:t>
            </w:r>
          </w:p>
        </w:tc>
        <w:tc>
          <w:tcPr>
            <w:tcW w:w="463" w:type="pct"/>
            <w:noWrap w:val="0"/>
            <w:vAlign w:val="center"/>
          </w:tcPr>
          <w:p w14:paraId="33943F7C">
            <w:pPr>
              <w:keepNext w:val="0"/>
              <w:keepLines w:val="0"/>
              <w:pageBreakBefore w:val="0"/>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2"/>
                <w:sz w:val="22"/>
                <w:szCs w:val="22"/>
                <w:highlight w:val="none"/>
                <w:lang w:val="en-US" w:eastAsia="zh-CN" w:bidi="ar-SA"/>
              </w:rPr>
            </w:pPr>
          </w:p>
        </w:tc>
        <w:tc>
          <w:tcPr>
            <w:tcW w:w="624" w:type="pct"/>
            <w:noWrap w:val="0"/>
            <w:vAlign w:val="center"/>
          </w:tcPr>
          <w:p w14:paraId="164DDFEB">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c>
          <w:tcPr>
            <w:tcW w:w="782" w:type="pct"/>
            <w:noWrap w:val="0"/>
            <w:vAlign w:val="center"/>
          </w:tcPr>
          <w:p w14:paraId="2804C5B1">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r>
      <w:tr w14:paraId="63416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975" w:type="pct"/>
            <w:vMerge w:val="continue"/>
            <w:noWrap w:val="0"/>
            <w:vAlign w:val="center"/>
          </w:tcPr>
          <w:p w14:paraId="4B17FD01">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c>
          <w:tcPr>
            <w:tcW w:w="2154" w:type="pct"/>
            <w:noWrap w:val="0"/>
            <w:vAlign w:val="center"/>
          </w:tcPr>
          <w:p w14:paraId="66820634">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b w:val="0"/>
                <w:bCs w:val="0"/>
                <w:color w:val="auto"/>
                <w:kern w:val="0"/>
                <w:sz w:val="22"/>
                <w:szCs w:val="22"/>
                <w:highlight w:val="none"/>
                <w:u w:val="none"/>
                <w:lang w:val="en-US" w:eastAsia="zh-CN" w:bidi="ar"/>
              </w:rPr>
              <w:t>系统集成对接到城市数据空间</w:t>
            </w:r>
          </w:p>
        </w:tc>
        <w:tc>
          <w:tcPr>
            <w:tcW w:w="463" w:type="pct"/>
            <w:noWrap w:val="0"/>
            <w:vAlign w:val="center"/>
          </w:tcPr>
          <w:p w14:paraId="645A8B45">
            <w:pPr>
              <w:keepNext w:val="0"/>
              <w:keepLines w:val="0"/>
              <w:pageBreakBefore w:val="0"/>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2"/>
                <w:sz w:val="22"/>
                <w:szCs w:val="22"/>
                <w:highlight w:val="none"/>
                <w:lang w:val="en-US" w:eastAsia="zh-CN" w:bidi="ar-SA"/>
              </w:rPr>
            </w:pPr>
          </w:p>
        </w:tc>
        <w:tc>
          <w:tcPr>
            <w:tcW w:w="624" w:type="pct"/>
            <w:noWrap w:val="0"/>
            <w:vAlign w:val="center"/>
          </w:tcPr>
          <w:p w14:paraId="2A783022">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c>
          <w:tcPr>
            <w:tcW w:w="782" w:type="pct"/>
            <w:noWrap w:val="0"/>
            <w:vAlign w:val="center"/>
          </w:tcPr>
          <w:p w14:paraId="12EC160B">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r>
      <w:tr w14:paraId="01A58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4217" w:type="pct"/>
            <w:gridSpan w:val="4"/>
            <w:noWrap w:val="0"/>
            <w:vAlign w:val="center"/>
          </w:tcPr>
          <w:p w14:paraId="3135CC4F">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b/>
                <w:bCs/>
                <w:color w:val="auto"/>
                <w:sz w:val="22"/>
                <w:szCs w:val="22"/>
                <w:highlight w:val="none"/>
                <w:lang w:val="en-US" w:eastAsia="zh-CN"/>
              </w:rPr>
              <w:t>合计：</w:t>
            </w:r>
          </w:p>
        </w:tc>
        <w:tc>
          <w:tcPr>
            <w:tcW w:w="782" w:type="pct"/>
            <w:noWrap w:val="0"/>
            <w:vAlign w:val="center"/>
          </w:tcPr>
          <w:p w14:paraId="4A59FDB0">
            <w:pPr>
              <w:keepNext w:val="0"/>
              <w:keepLines w:val="0"/>
              <w:pageBreakBefore w:val="0"/>
              <w:widowControl/>
              <w:kinsoku/>
              <w:wordWrap/>
              <w:overflowPunct/>
              <w:topLinePunct w:val="0"/>
              <w:autoSpaceDE/>
              <w:autoSpaceDN/>
              <w:bidi w:val="0"/>
              <w:spacing w:line="360" w:lineRule="auto"/>
              <w:jc w:val="center"/>
              <w:textAlignment w:val="auto"/>
              <w:rPr>
                <w:rFonts w:hint="eastAsia" w:ascii="新宋体" w:hAnsi="新宋体" w:eastAsia="新宋体" w:cs="新宋体"/>
                <w:color w:val="auto"/>
                <w:kern w:val="0"/>
                <w:sz w:val="22"/>
                <w:szCs w:val="22"/>
                <w:highlight w:val="none"/>
              </w:rPr>
            </w:pPr>
          </w:p>
        </w:tc>
      </w:tr>
    </w:tbl>
    <w:p w14:paraId="30FB353B">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sz w:val="22"/>
          <w:szCs w:val="22"/>
          <w:highlight w:val="none"/>
          <w:lang w:val="en-US" w:eastAsia="zh-CN"/>
        </w:rPr>
      </w:pPr>
    </w:p>
    <w:p w14:paraId="23B9A685">
      <w:pPr>
        <w:keepNext w:val="0"/>
        <w:keepLines w:val="0"/>
        <w:pageBreakBefore w:val="0"/>
        <w:tabs>
          <w:tab w:val="left" w:pos="540"/>
        </w:tabs>
        <w:kinsoku/>
        <w:wordWrap/>
        <w:overflowPunct/>
        <w:topLinePunct w:val="0"/>
        <w:autoSpaceDE/>
        <w:autoSpaceDN/>
        <w:bidi w:val="0"/>
        <w:spacing w:line="360" w:lineRule="auto"/>
        <w:ind w:firstLine="418" w:firstLineChars="190"/>
        <w:jc w:val="left"/>
        <w:textAlignment w:val="auto"/>
        <w:rPr>
          <w:rFonts w:hint="eastAsia" w:ascii="新宋体" w:hAnsi="新宋体" w:eastAsia="新宋体" w:cs="新宋体"/>
          <w:color w:val="auto"/>
          <w:sz w:val="22"/>
          <w:szCs w:val="22"/>
          <w:highlight w:val="none"/>
          <w:u w:val="single"/>
          <w:lang w:val="en-US" w:eastAsia="zh-CN"/>
        </w:rPr>
      </w:pPr>
      <w:r>
        <w:rPr>
          <w:rFonts w:hint="eastAsia" w:ascii="新宋体" w:hAnsi="新宋体" w:eastAsia="新宋体" w:cs="新宋体"/>
          <w:color w:val="auto"/>
          <w:sz w:val="22"/>
          <w:szCs w:val="22"/>
          <w:highlight w:val="none"/>
          <w:lang w:val="en-US" w:eastAsia="zh-CN"/>
        </w:rPr>
        <w:t>合同总金额：人民币大写：</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lang w:val="en-US" w:eastAsia="zh-CN"/>
        </w:rPr>
        <w:t xml:space="preserve"> 小写：</w:t>
      </w:r>
      <w:r>
        <w:rPr>
          <w:rFonts w:hint="eastAsia" w:ascii="新宋体" w:hAnsi="新宋体" w:eastAsia="新宋体" w:cs="新宋体"/>
          <w:color w:val="auto"/>
          <w:sz w:val="22"/>
          <w:szCs w:val="22"/>
          <w:highlight w:val="none"/>
          <w:u w:val="single"/>
          <w:lang w:val="en-US" w:eastAsia="zh-CN"/>
        </w:rPr>
        <w:t xml:space="preserve">                  </w:t>
      </w:r>
    </w:p>
    <w:p w14:paraId="45F395AA">
      <w:pPr>
        <w:keepNext w:val="0"/>
        <w:keepLines w:val="0"/>
        <w:pageBreakBefore w:val="0"/>
        <w:tabs>
          <w:tab w:val="left" w:pos="540"/>
        </w:tabs>
        <w:kinsoku/>
        <w:wordWrap/>
        <w:overflowPunct/>
        <w:topLinePunct w:val="0"/>
        <w:autoSpaceDE/>
        <w:autoSpaceDN/>
        <w:bidi w:val="0"/>
        <w:spacing w:line="360" w:lineRule="auto"/>
        <w:ind w:firstLine="418" w:firstLineChars="190"/>
        <w:jc w:val="left"/>
        <w:textAlignment w:val="auto"/>
        <w:rPr>
          <w:rFonts w:hint="eastAsia" w:ascii="新宋体" w:hAnsi="新宋体" w:eastAsia="新宋体" w:cs="新宋体"/>
          <w:color w:val="auto"/>
          <w:sz w:val="22"/>
          <w:szCs w:val="22"/>
          <w:highlight w:val="none"/>
          <w:u w:val="single"/>
          <w:lang w:val="en-US" w:eastAsia="zh-CN"/>
        </w:rPr>
      </w:pPr>
      <w:r>
        <w:rPr>
          <w:rFonts w:hint="eastAsia" w:ascii="新宋体" w:hAnsi="新宋体" w:eastAsia="新宋体" w:cs="新宋体"/>
          <w:color w:val="auto"/>
          <w:sz w:val="22"/>
          <w:szCs w:val="22"/>
          <w:highlight w:val="none"/>
          <w:lang w:val="en-US" w:eastAsia="zh-CN"/>
        </w:rPr>
        <w:t>其中</w:t>
      </w:r>
      <w:r>
        <w:rPr>
          <w:rFonts w:hint="eastAsia" w:ascii="新宋体" w:hAnsi="新宋体" w:eastAsia="新宋体" w:cs="新宋体"/>
          <w:color w:val="auto"/>
          <w:sz w:val="22"/>
          <w:szCs w:val="22"/>
          <w:highlight w:val="none"/>
          <w:lang w:eastAsia="zh-CN"/>
        </w:rPr>
        <w:t>医疗专区智慧医疗数据综合流通平台-区域医疗综合管理系统</w:t>
      </w:r>
      <w:r>
        <w:rPr>
          <w:rFonts w:hint="eastAsia" w:ascii="新宋体" w:hAnsi="新宋体" w:eastAsia="新宋体" w:cs="新宋体"/>
          <w:color w:val="auto"/>
          <w:sz w:val="22"/>
          <w:szCs w:val="22"/>
          <w:highlight w:val="none"/>
          <w:lang w:val="en-US" w:eastAsia="zh-CN"/>
        </w:rPr>
        <w:t>金额：人民币大写：</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lang w:val="en-US" w:eastAsia="zh-CN"/>
        </w:rPr>
        <w:t xml:space="preserve"> 小写：</w:t>
      </w:r>
      <w:r>
        <w:rPr>
          <w:rFonts w:hint="eastAsia" w:ascii="新宋体" w:hAnsi="新宋体" w:eastAsia="新宋体" w:cs="新宋体"/>
          <w:color w:val="auto"/>
          <w:sz w:val="22"/>
          <w:szCs w:val="22"/>
          <w:highlight w:val="none"/>
          <w:u w:val="single"/>
          <w:lang w:val="en-US" w:eastAsia="zh-CN"/>
        </w:rPr>
        <w:t xml:space="preserve">                  </w:t>
      </w:r>
    </w:p>
    <w:p w14:paraId="5E52B70A">
      <w:pPr>
        <w:keepNext w:val="0"/>
        <w:keepLines w:val="0"/>
        <w:pageBreakBefore w:val="0"/>
        <w:tabs>
          <w:tab w:val="left" w:pos="540"/>
        </w:tabs>
        <w:kinsoku/>
        <w:wordWrap/>
        <w:overflowPunct/>
        <w:topLinePunct w:val="0"/>
        <w:autoSpaceDE/>
        <w:autoSpaceDN/>
        <w:bidi w:val="0"/>
        <w:spacing w:line="360" w:lineRule="auto"/>
        <w:ind w:firstLine="418" w:firstLineChars="19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医疗专区智慧医疗数据综合流通平台-多元数据治理</w:t>
      </w:r>
      <w:r>
        <w:rPr>
          <w:rFonts w:hint="eastAsia" w:ascii="新宋体" w:hAnsi="新宋体" w:eastAsia="新宋体" w:cs="新宋体"/>
          <w:color w:val="auto"/>
          <w:sz w:val="22"/>
          <w:szCs w:val="22"/>
          <w:highlight w:val="none"/>
          <w:lang w:val="en-US" w:eastAsia="zh-CN"/>
        </w:rPr>
        <w:t>金额：人民币大写：</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lang w:val="en-US" w:eastAsia="zh-CN"/>
        </w:rPr>
        <w:t xml:space="preserve"> 小写：</w:t>
      </w:r>
      <w:r>
        <w:rPr>
          <w:rFonts w:hint="eastAsia" w:ascii="新宋体" w:hAnsi="新宋体" w:eastAsia="新宋体" w:cs="新宋体"/>
          <w:color w:val="auto"/>
          <w:sz w:val="22"/>
          <w:szCs w:val="22"/>
          <w:highlight w:val="none"/>
          <w:u w:val="single"/>
          <w:lang w:val="en-US" w:eastAsia="zh-CN"/>
        </w:rPr>
        <w:t xml:space="preserve">                  </w:t>
      </w:r>
    </w:p>
    <w:p w14:paraId="33E4B24E">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注：合同总价是指乙方为完成本项目所有服务/货物内容等所需的所有费用，</w:t>
      </w:r>
      <w:bookmarkStart w:id="189" w:name="_Hlk201753676"/>
      <w:r>
        <w:rPr>
          <w:rFonts w:hint="eastAsia" w:ascii="新宋体" w:hAnsi="新宋体" w:eastAsia="新宋体" w:cs="新宋体"/>
          <w:color w:val="auto"/>
          <w:sz w:val="22"/>
          <w:szCs w:val="22"/>
          <w:highlight w:val="none"/>
        </w:rPr>
        <w:t>包括但不限于一切人员工资、奖金、各种加班费、各种社会保险、管理费用、食宿与交通、软件开发及配套硬件费用、系统运维费用、项目所需接口费用、技术服务费、培训费、验收费用、税费、利润、</w:t>
      </w:r>
      <w:r>
        <w:rPr>
          <w:rFonts w:hint="eastAsia" w:ascii="新宋体" w:hAnsi="新宋体" w:eastAsia="新宋体" w:cs="新宋体"/>
          <w:color w:val="auto"/>
          <w:kern w:val="0"/>
          <w:sz w:val="22"/>
          <w:szCs w:val="22"/>
          <w:highlight w:val="none"/>
          <w:u w:val="none"/>
        </w:rPr>
        <w:t>温州市阳光采购服务平台技术服务费、</w:t>
      </w:r>
      <w:r>
        <w:rPr>
          <w:rFonts w:hint="eastAsia" w:ascii="新宋体" w:hAnsi="新宋体" w:eastAsia="新宋体" w:cs="新宋体"/>
          <w:color w:val="auto"/>
          <w:sz w:val="22"/>
          <w:szCs w:val="22"/>
          <w:highlight w:val="none"/>
        </w:rPr>
        <w:t xml:space="preserve">采购代理服务费及完成合同所需的一切本身和不可或缺的所有工作开支、政策性文件规定及合同包含的所有风险、责任等各项全部费用并承担一切风险责任。 </w:t>
      </w:r>
      <w:bookmarkEnd w:id="189"/>
    </w:p>
    <w:p w14:paraId="1CCCAC8A">
      <w:pPr>
        <w:keepNext w:val="0"/>
        <w:keepLines w:val="0"/>
        <w:pageBreakBefore w:val="0"/>
        <w:widowControl/>
        <w:kinsoku/>
        <w:wordWrap/>
        <w:overflowPunct/>
        <w:topLinePunct w:val="0"/>
        <w:autoSpaceDE/>
        <w:autoSpaceDN/>
        <w:bidi w:val="0"/>
        <w:spacing w:line="360" w:lineRule="auto"/>
        <w:ind w:firstLine="442" w:firstLineChars="200"/>
        <w:jc w:val="lef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 xml:space="preserve">二、项目要求及安装交付 </w:t>
      </w:r>
    </w:p>
    <w:p w14:paraId="5F57CE78">
      <w:pPr>
        <w:pStyle w:val="100"/>
        <w:keepNext w:val="0"/>
        <w:keepLines w:val="0"/>
        <w:pageBreakBefore w:val="0"/>
        <w:kinsoku/>
        <w:wordWrap/>
        <w:overflowPunct/>
        <w:topLinePunct w:val="0"/>
        <w:autoSpaceDE/>
        <w:autoSpaceDN/>
        <w:bidi w:val="0"/>
        <w:adjustRightInd w:val="0"/>
        <w:spacing w:before="100" w:after="100" w:line="360" w:lineRule="auto"/>
        <w:ind w:firstLine="440"/>
        <w:textAlignment w:val="auto"/>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rPr>
        <w:t>在</w:t>
      </w:r>
      <w:r>
        <w:rPr>
          <w:rFonts w:hint="eastAsia" w:ascii="新宋体" w:hAnsi="新宋体" w:eastAsia="新宋体" w:cs="新宋体"/>
          <w:color w:val="auto"/>
          <w:sz w:val="22"/>
          <w:szCs w:val="22"/>
          <w:highlight w:val="none"/>
          <w:lang w:val="en-US" w:eastAsia="zh-CN"/>
        </w:rPr>
        <w:t xml:space="preserve">    年     月     日前</w:t>
      </w:r>
      <w:r>
        <w:rPr>
          <w:rFonts w:hint="eastAsia" w:ascii="新宋体" w:hAnsi="新宋体" w:eastAsia="新宋体" w:cs="新宋体"/>
          <w:color w:val="auto"/>
          <w:sz w:val="22"/>
          <w:szCs w:val="22"/>
          <w:highlight w:val="none"/>
        </w:rPr>
        <w:t>完成</w:t>
      </w:r>
      <w:r>
        <w:rPr>
          <w:rFonts w:hint="eastAsia" w:ascii="新宋体" w:hAnsi="新宋体" w:eastAsia="新宋体" w:cs="新宋体"/>
          <w:color w:val="auto"/>
          <w:sz w:val="22"/>
          <w:szCs w:val="22"/>
          <w:highlight w:val="none"/>
          <w:lang w:val="zh-CN"/>
        </w:rPr>
        <w:t>本合同所包含的软件（模块）安装和调试及参数设置（协助甲方人员进行初始基础数据的设置、录入和转入工作，不包含系统软件或数据库等第三方软件的安装）。</w:t>
      </w:r>
    </w:p>
    <w:p w14:paraId="24E068B7">
      <w:pPr>
        <w:keepNext w:val="0"/>
        <w:keepLines w:val="0"/>
        <w:pageBreakBefore w:val="0"/>
        <w:widowControl w:val="0"/>
        <w:kinsoku/>
        <w:wordWrap/>
        <w:overflowPunct/>
        <w:topLinePunct w:val="0"/>
        <w:autoSpaceDE/>
        <w:autoSpaceDN/>
        <w:bidi w:val="0"/>
        <w:spacing w:line="400" w:lineRule="exact"/>
        <w:ind w:firstLine="440" w:firstLineChars="200"/>
        <w:jc w:val="both"/>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rPr>
        <w:t xml:space="preserve"> </w:t>
      </w:r>
      <w:r>
        <w:rPr>
          <w:rFonts w:hint="eastAsia" w:ascii="新宋体" w:hAnsi="新宋体" w:eastAsia="新宋体" w:cs="新宋体"/>
          <w:b/>
          <w:bCs/>
          <w:color w:val="auto"/>
          <w:sz w:val="22"/>
          <w:szCs w:val="22"/>
          <w:highlight w:val="none"/>
          <w:lang w:val="en-US" w:eastAsia="zh-CN"/>
        </w:rPr>
        <w:t>三</w:t>
      </w: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sz w:val="22"/>
          <w:szCs w:val="22"/>
          <w:highlight w:val="none"/>
          <w:lang w:val="en-US" w:eastAsia="zh-CN"/>
        </w:rPr>
        <w:t>项目验收及</w:t>
      </w:r>
      <w:r>
        <w:rPr>
          <w:rFonts w:hint="eastAsia" w:ascii="新宋体" w:hAnsi="新宋体" w:eastAsia="新宋体" w:cs="新宋体"/>
          <w:b/>
          <w:bCs/>
          <w:color w:val="auto"/>
          <w:sz w:val="22"/>
          <w:szCs w:val="22"/>
          <w:highlight w:val="none"/>
        </w:rPr>
        <w:t>付款方式</w:t>
      </w:r>
    </w:p>
    <w:p w14:paraId="2D3D42E2">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kern w:val="0"/>
          <w:sz w:val="22"/>
          <w:szCs w:val="22"/>
          <w:highlight w:val="none"/>
          <w:lang w:val="en-US" w:eastAsia="zh-CN" w:bidi="ar"/>
        </w:rPr>
      </w:pPr>
      <w:r>
        <w:rPr>
          <w:rFonts w:hint="eastAsia" w:ascii="新宋体" w:hAnsi="新宋体" w:eastAsia="新宋体" w:cs="新宋体"/>
          <w:color w:val="auto"/>
          <w:sz w:val="22"/>
          <w:szCs w:val="22"/>
          <w:highlight w:val="none"/>
          <w:lang w:val="en-US" w:eastAsia="zh-CN"/>
        </w:rPr>
        <w:t>（一）在本合同签订后，</w:t>
      </w:r>
      <w:r>
        <w:rPr>
          <w:rFonts w:hint="eastAsia" w:ascii="新宋体" w:hAnsi="新宋体" w:eastAsia="新宋体" w:cs="新宋体"/>
          <w:color w:val="auto"/>
          <w:sz w:val="22"/>
          <w:szCs w:val="22"/>
          <w:highlight w:val="none"/>
          <w:lang w:eastAsia="zh-CN"/>
        </w:rPr>
        <w:t>医疗专区智慧医疗数据综合流通平台-区域医疗综合管理系统</w:t>
      </w:r>
      <w:r>
        <w:rPr>
          <w:rFonts w:hint="eastAsia" w:ascii="新宋体" w:hAnsi="新宋体" w:eastAsia="新宋体" w:cs="新宋体"/>
          <w:color w:val="auto"/>
          <w:sz w:val="22"/>
          <w:szCs w:val="22"/>
          <w:highlight w:val="none"/>
          <w:lang w:val="en-US" w:eastAsia="zh-CN"/>
        </w:rPr>
        <w:t>包括</w:t>
      </w:r>
      <w:r>
        <w:rPr>
          <w:rFonts w:hint="eastAsia" w:ascii="新宋体" w:hAnsi="新宋体" w:eastAsia="新宋体" w:cs="新宋体"/>
          <w:color w:val="auto"/>
          <w:kern w:val="0"/>
          <w:sz w:val="22"/>
          <w:szCs w:val="22"/>
          <w:highlight w:val="none"/>
          <w:lang w:bidi="ar"/>
        </w:rPr>
        <w:t>云病案</w:t>
      </w:r>
      <w:r>
        <w:rPr>
          <w:rFonts w:hint="eastAsia" w:ascii="新宋体" w:hAnsi="新宋体" w:eastAsia="新宋体" w:cs="新宋体"/>
          <w:color w:val="auto"/>
          <w:kern w:val="0"/>
          <w:sz w:val="22"/>
          <w:szCs w:val="22"/>
          <w:highlight w:val="none"/>
          <w:lang w:val="en-US" w:eastAsia="zh-CN" w:bidi="ar"/>
        </w:rPr>
        <w:t>系统、</w:t>
      </w:r>
      <w:r>
        <w:rPr>
          <w:rFonts w:hint="eastAsia" w:ascii="新宋体" w:hAnsi="新宋体" w:eastAsia="新宋体" w:cs="新宋体"/>
          <w:color w:val="auto"/>
          <w:kern w:val="0"/>
          <w:sz w:val="22"/>
          <w:szCs w:val="22"/>
          <w:highlight w:val="none"/>
          <w:lang w:bidi="ar"/>
        </w:rPr>
        <w:t>医疗大数据智廉监管</w:t>
      </w:r>
      <w:r>
        <w:rPr>
          <w:rFonts w:hint="eastAsia" w:ascii="新宋体" w:hAnsi="新宋体" w:eastAsia="新宋体" w:cs="新宋体"/>
          <w:color w:val="auto"/>
          <w:kern w:val="0"/>
          <w:sz w:val="22"/>
          <w:szCs w:val="22"/>
          <w:highlight w:val="none"/>
          <w:lang w:val="en-US" w:eastAsia="zh-CN" w:bidi="ar"/>
        </w:rPr>
        <w:t>平台、市级医院运营管理决策支持平台验收及付费方式如下：</w:t>
      </w:r>
    </w:p>
    <w:p w14:paraId="44CAD4F7">
      <w:pPr>
        <w:keepNext w:val="0"/>
        <w:keepLines w:val="0"/>
        <w:pageBreakBefore w:val="0"/>
        <w:widowControl w:val="0"/>
        <w:kinsoku/>
        <w:wordWrap/>
        <w:overflowPunct/>
        <w:topLinePunct w:val="0"/>
        <w:bidi w:val="0"/>
        <w:spacing w:line="400" w:lineRule="exact"/>
        <w:ind w:firstLine="442" w:firstLineChars="200"/>
        <w:jc w:val="both"/>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（1）</w:t>
      </w:r>
      <w:r>
        <w:rPr>
          <w:rFonts w:hint="eastAsia" w:ascii="新宋体" w:hAnsi="新宋体" w:eastAsia="新宋体" w:cs="新宋体"/>
          <w:b/>
          <w:bCs/>
          <w:color w:val="auto"/>
          <w:sz w:val="22"/>
          <w:szCs w:val="22"/>
          <w:highlight w:val="none"/>
        </w:rPr>
        <w:t xml:space="preserve">项目验收 </w:t>
      </w:r>
    </w:p>
    <w:p w14:paraId="170F0023">
      <w:pPr>
        <w:keepNext w:val="0"/>
        <w:keepLines w:val="0"/>
        <w:pageBreakBefore w:val="0"/>
        <w:widowControl w:val="0"/>
        <w:kinsoku/>
        <w:wordWrap/>
        <w:overflowPunct/>
        <w:topLinePunct w:val="0"/>
        <w:bidi w:val="0"/>
        <w:spacing w:line="400" w:lineRule="exact"/>
        <w:ind w:firstLine="442" w:firstLineChars="200"/>
        <w:jc w:val="both"/>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rPr>
        <w:t>乙方完成</w:t>
      </w:r>
      <w:r>
        <w:rPr>
          <w:rFonts w:hint="eastAsia" w:ascii="新宋体" w:hAnsi="新宋体" w:eastAsia="新宋体" w:cs="新宋体"/>
          <w:b/>
          <w:bCs/>
          <w:color w:val="auto"/>
          <w:sz w:val="22"/>
          <w:szCs w:val="22"/>
          <w:highlight w:val="none"/>
          <w:lang w:val="en-US" w:eastAsia="zh-CN"/>
        </w:rPr>
        <w:t>系统建设及</w:t>
      </w:r>
      <w:r>
        <w:rPr>
          <w:rFonts w:hint="eastAsia" w:ascii="新宋体" w:hAnsi="新宋体" w:eastAsia="新宋体" w:cs="新宋体"/>
          <w:b/>
          <w:bCs/>
          <w:color w:val="auto"/>
          <w:sz w:val="22"/>
          <w:szCs w:val="22"/>
          <w:highlight w:val="none"/>
        </w:rPr>
        <w:t>部署上线，</w:t>
      </w:r>
      <w:r>
        <w:rPr>
          <w:rFonts w:hint="eastAsia" w:ascii="新宋体" w:hAnsi="新宋体" w:eastAsia="新宋体" w:cs="新宋体"/>
          <w:b/>
          <w:bCs/>
          <w:color w:val="auto"/>
          <w:sz w:val="22"/>
          <w:szCs w:val="22"/>
          <w:highlight w:val="none"/>
          <w:lang w:val="en-US" w:eastAsia="zh-CN"/>
        </w:rPr>
        <w:t>完成相关必要的改造调整和对接云HIS系统，且</w:t>
      </w:r>
      <w:r>
        <w:rPr>
          <w:rFonts w:hint="eastAsia" w:ascii="新宋体" w:hAnsi="新宋体" w:eastAsia="新宋体" w:cs="新宋体"/>
          <w:b/>
          <w:bCs/>
          <w:color w:val="auto"/>
          <w:sz w:val="22"/>
          <w:szCs w:val="22"/>
          <w:highlight w:val="none"/>
        </w:rPr>
        <w:t>稳定运行</w:t>
      </w:r>
      <w:r>
        <w:rPr>
          <w:rFonts w:hint="eastAsia" w:ascii="新宋体" w:hAnsi="新宋体" w:eastAsia="新宋体" w:cs="新宋体"/>
          <w:b/>
          <w:bCs/>
          <w:color w:val="auto"/>
          <w:sz w:val="22"/>
          <w:szCs w:val="22"/>
          <w:highlight w:val="none"/>
          <w:lang w:val="en-US" w:eastAsia="zh-CN"/>
        </w:rPr>
        <w:t>至少1</w:t>
      </w:r>
      <w:r>
        <w:rPr>
          <w:rFonts w:hint="eastAsia" w:ascii="新宋体" w:hAnsi="新宋体" w:eastAsia="新宋体" w:cs="新宋体"/>
          <w:b/>
          <w:bCs/>
          <w:color w:val="auto"/>
          <w:sz w:val="22"/>
          <w:szCs w:val="22"/>
          <w:highlight w:val="none"/>
        </w:rPr>
        <w:t>个月后提交验收材料</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lang w:val="en-US" w:eastAsia="zh-CN"/>
        </w:rPr>
        <w:t>配合甲方所服务的医院云HIS整体项目验收工作。</w:t>
      </w:r>
    </w:p>
    <w:p w14:paraId="35858C99">
      <w:pPr>
        <w:keepNext w:val="0"/>
        <w:keepLines w:val="0"/>
        <w:pageBreakBefore w:val="0"/>
        <w:widowControl w:val="0"/>
        <w:kinsoku/>
        <w:wordWrap/>
        <w:overflowPunct/>
        <w:topLinePunct w:val="0"/>
        <w:bidi w:val="0"/>
        <w:spacing w:line="400" w:lineRule="exact"/>
        <w:ind w:firstLine="442" w:firstLineChars="200"/>
        <w:jc w:val="both"/>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验收标准：若甲方云HIS系统所服务的医院通过云HIS系统验收，则该部分视为验收通过</w:t>
      </w:r>
      <w:r>
        <w:rPr>
          <w:rFonts w:hint="eastAsia" w:ascii="新宋体" w:hAnsi="新宋体" w:eastAsia="新宋体" w:cs="新宋体"/>
          <w:b/>
          <w:bCs/>
          <w:color w:val="auto"/>
          <w:sz w:val="22"/>
          <w:szCs w:val="22"/>
          <w:highlight w:val="none"/>
        </w:rPr>
        <w:t>。</w:t>
      </w:r>
    </w:p>
    <w:p w14:paraId="043BE7C2">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kern w:val="0"/>
          <w:sz w:val="22"/>
          <w:szCs w:val="22"/>
          <w:highlight w:val="none"/>
          <w:lang w:val="en-US" w:eastAsia="zh-CN" w:bidi="ar"/>
        </w:rPr>
      </w:pPr>
      <w:r>
        <w:rPr>
          <w:rFonts w:hint="eastAsia" w:ascii="新宋体" w:hAnsi="新宋体" w:eastAsia="新宋体" w:cs="新宋体"/>
          <w:color w:val="auto"/>
          <w:kern w:val="0"/>
          <w:sz w:val="22"/>
          <w:szCs w:val="22"/>
          <w:highlight w:val="none"/>
          <w:lang w:val="en-US" w:eastAsia="zh-CN" w:bidi="ar"/>
        </w:rPr>
        <w:t>（2）付款方式</w:t>
      </w:r>
    </w:p>
    <w:p w14:paraId="056B0C9D">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第一笔款：乙方根据项目整体工作计划安排向甲方提交开工申请，甲方</w:t>
      </w:r>
      <w:r>
        <w:rPr>
          <w:rFonts w:hint="eastAsia" w:ascii="新宋体" w:hAnsi="新宋体" w:eastAsia="新宋体" w:cs="新宋体"/>
          <w:color w:val="auto"/>
          <w:sz w:val="22"/>
          <w:szCs w:val="22"/>
          <w:highlight w:val="none"/>
          <w:lang w:val="en-US" w:eastAsia="zh-CN"/>
        </w:rPr>
        <w:t>收到最终用户付款且</w:t>
      </w:r>
      <w:r>
        <w:rPr>
          <w:rFonts w:hint="eastAsia" w:ascii="新宋体" w:hAnsi="新宋体" w:eastAsia="新宋体" w:cs="新宋体"/>
          <w:color w:val="auto"/>
          <w:sz w:val="22"/>
          <w:szCs w:val="22"/>
          <w:highlight w:val="none"/>
        </w:rPr>
        <w:t>收到乙方提供的符合甲方财务要求的等额发票后15个工作日内，甲方向乙方支付合同总价的10%</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即人民币【】元</w:t>
      </w:r>
      <w:r>
        <w:rPr>
          <w:rFonts w:hint="eastAsia" w:ascii="新宋体" w:hAnsi="新宋体" w:eastAsia="新宋体" w:cs="新宋体"/>
          <w:color w:val="auto"/>
          <w:sz w:val="22"/>
          <w:szCs w:val="22"/>
          <w:highlight w:val="none"/>
        </w:rPr>
        <w:t>。</w:t>
      </w:r>
    </w:p>
    <w:p w14:paraId="6AB73262">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第二笔款：</w:t>
      </w:r>
      <w:r>
        <w:rPr>
          <w:rFonts w:hint="eastAsia" w:ascii="新宋体" w:hAnsi="新宋体" w:eastAsia="新宋体" w:cs="新宋体"/>
          <w:b w:val="0"/>
          <w:bCs w:val="0"/>
          <w:color w:val="auto"/>
          <w:sz w:val="22"/>
          <w:szCs w:val="22"/>
          <w:highlight w:val="none"/>
        </w:rPr>
        <w:t>以云HIS完成全院部署正式上线满1年，且通过终验的日期作为第一年的服务费</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lang w:val="en-US" w:eastAsia="zh-CN"/>
        </w:rPr>
        <w:t>或款项</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结算日。</w:t>
      </w:r>
      <w:r>
        <w:rPr>
          <w:rFonts w:hint="eastAsia" w:ascii="新宋体" w:hAnsi="新宋体" w:eastAsia="新宋体" w:cs="新宋体"/>
          <w:color w:val="auto"/>
          <w:sz w:val="22"/>
          <w:szCs w:val="22"/>
          <w:highlight w:val="none"/>
        </w:rPr>
        <w:t>在该日期后，</w:t>
      </w:r>
      <w:r>
        <w:rPr>
          <w:rFonts w:hint="eastAsia" w:ascii="新宋体" w:hAnsi="新宋体" w:eastAsia="新宋体" w:cs="新宋体"/>
          <w:color w:val="auto"/>
          <w:sz w:val="22"/>
          <w:szCs w:val="22"/>
          <w:highlight w:val="none"/>
          <w:lang w:eastAsia="zh-CN"/>
        </w:rPr>
        <w:t>在</w:t>
      </w:r>
      <w:r>
        <w:rPr>
          <w:rFonts w:hint="eastAsia" w:ascii="新宋体" w:hAnsi="新宋体" w:eastAsia="新宋体" w:cs="新宋体"/>
          <w:color w:val="auto"/>
          <w:sz w:val="22"/>
          <w:szCs w:val="22"/>
          <w:highlight w:val="none"/>
          <w:lang w:val="en-US" w:eastAsia="zh-CN"/>
        </w:rPr>
        <w:t>甲方收到所服务医院的第一年服务费付款后</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且</w:t>
      </w:r>
      <w:r>
        <w:rPr>
          <w:rFonts w:hint="eastAsia" w:ascii="新宋体" w:hAnsi="新宋体" w:eastAsia="新宋体" w:cs="新宋体"/>
          <w:color w:val="auto"/>
          <w:sz w:val="22"/>
          <w:szCs w:val="22"/>
          <w:highlight w:val="none"/>
        </w:rPr>
        <w:t>收到乙方提供的符合甲方财务要求的等额发票后</w:t>
      </w:r>
      <w:r>
        <w:rPr>
          <w:rFonts w:hint="eastAsia" w:ascii="新宋体" w:hAnsi="新宋体" w:eastAsia="新宋体" w:cs="新宋体"/>
          <w:color w:val="auto"/>
          <w:sz w:val="22"/>
          <w:szCs w:val="22"/>
          <w:highlight w:val="none"/>
          <w:lang w:val="en-US" w:eastAsia="zh-CN"/>
        </w:rPr>
        <w:t>20</w:t>
      </w:r>
      <w:r>
        <w:rPr>
          <w:rFonts w:hint="eastAsia" w:ascii="新宋体" w:hAnsi="新宋体" w:eastAsia="新宋体" w:cs="新宋体"/>
          <w:color w:val="auto"/>
          <w:sz w:val="22"/>
          <w:szCs w:val="22"/>
          <w:highlight w:val="none"/>
        </w:rPr>
        <w:t>个工作日内甲方在收到乙方提供的符合甲方财务要求的等额发票后15个工作日内，支付合同总价的20%</w:t>
      </w:r>
      <w:r>
        <w:rPr>
          <w:rFonts w:hint="eastAsia" w:ascii="新宋体" w:hAnsi="新宋体" w:eastAsia="新宋体" w:cs="新宋体"/>
          <w:color w:val="auto"/>
          <w:sz w:val="22"/>
          <w:szCs w:val="22"/>
          <w:highlight w:val="none"/>
          <w:lang w:eastAsia="zh-CN"/>
        </w:rPr>
        <w:t>，即人民币【】元</w:t>
      </w:r>
      <w:r>
        <w:rPr>
          <w:rFonts w:hint="eastAsia" w:ascii="新宋体" w:hAnsi="新宋体" w:eastAsia="新宋体" w:cs="新宋体"/>
          <w:color w:val="auto"/>
          <w:sz w:val="22"/>
          <w:szCs w:val="22"/>
          <w:highlight w:val="none"/>
        </w:rPr>
        <w:t>。</w:t>
      </w:r>
    </w:p>
    <w:p w14:paraId="642581AD">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第三笔款：在第二年年服务费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或款项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结算日，</w:t>
      </w:r>
      <w:r>
        <w:rPr>
          <w:rFonts w:hint="eastAsia" w:ascii="新宋体" w:hAnsi="新宋体" w:eastAsia="新宋体" w:cs="新宋体"/>
          <w:color w:val="auto"/>
          <w:sz w:val="22"/>
          <w:szCs w:val="22"/>
          <w:highlight w:val="none"/>
          <w:lang w:eastAsia="zh-CN"/>
        </w:rPr>
        <w:t>在</w:t>
      </w:r>
      <w:r>
        <w:rPr>
          <w:rFonts w:hint="eastAsia" w:ascii="新宋体" w:hAnsi="新宋体" w:eastAsia="新宋体" w:cs="新宋体"/>
          <w:color w:val="auto"/>
          <w:sz w:val="22"/>
          <w:szCs w:val="22"/>
          <w:highlight w:val="none"/>
          <w:lang w:val="en-US" w:eastAsia="zh-CN"/>
        </w:rPr>
        <w:t>甲方收到所服务医院的第二年服务费付款后</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且</w:t>
      </w:r>
      <w:r>
        <w:rPr>
          <w:rFonts w:hint="eastAsia" w:ascii="新宋体" w:hAnsi="新宋体" w:eastAsia="新宋体" w:cs="新宋体"/>
          <w:color w:val="auto"/>
          <w:sz w:val="22"/>
          <w:szCs w:val="22"/>
          <w:highlight w:val="none"/>
        </w:rPr>
        <w:t>收到乙方提供的符合甲方财务要求的等额发票后15个工作日内，支付合同总价的20%</w:t>
      </w:r>
      <w:r>
        <w:rPr>
          <w:rFonts w:hint="eastAsia" w:ascii="新宋体" w:hAnsi="新宋体" w:eastAsia="新宋体" w:cs="新宋体"/>
          <w:color w:val="auto"/>
          <w:sz w:val="22"/>
          <w:szCs w:val="22"/>
          <w:highlight w:val="none"/>
          <w:lang w:eastAsia="zh-CN"/>
        </w:rPr>
        <w:t>，即人民币【】元</w:t>
      </w:r>
      <w:r>
        <w:rPr>
          <w:rFonts w:hint="eastAsia" w:ascii="新宋体" w:hAnsi="新宋体" w:eastAsia="新宋体" w:cs="新宋体"/>
          <w:color w:val="auto"/>
          <w:sz w:val="22"/>
          <w:szCs w:val="22"/>
          <w:highlight w:val="none"/>
        </w:rPr>
        <w:t>。本笔支付中，</w:t>
      </w:r>
      <w:r>
        <w:rPr>
          <w:rFonts w:hint="eastAsia" w:ascii="新宋体" w:hAnsi="新宋体" w:eastAsia="新宋体" w:cs="新宋体"/>
          <w:color w:val="auto"/>
          <w:sz w:val="22"/>
          <w:szCs w:val="22"/>
          <w:highlight w:val="none"/>
          <w:lang w:val="en-US" w:eastAsia="zh-CN"/>
        </w:rPr>
        <w:t>如果</w:t>
      </w:r>
      <w:r>
        <w:rPr>
          <w:rFonts w:hint="eastAsia" w:ascii="新宋体" w:hAnsi="新宋体" w:eastAsia="新宋体" w:cs="新宋体"/>
          <w:color w:val="auto"/>
          <w:sz w:val="22"/>
          <w:szCs w:val="22"/>
          <w:highlight w:val="none"/>
        </w:rPr>
        <w:t>甲方</w:t>
      </w:r>
      <w:r>
        <w:rPr>
          <w:rFonts w:hint="eastAsia" w:ascii="新宋体" w:hAnsi="新宋体" w:eastAsia="新宋体" w:cs="新宋体"/>
          <w:color w:val="auto"/>
          <w:sz w:val="22"/>
          <w:szCs w:val="22"/>
          <w:highlight w:val="none"/>
          <w:lang w:val="en-US" w:eastAsia="zh-CN"/>
        </w:rPr>
        <w:t>所服务的医院</w:t>
      </w:r>
      <w:r>
        <w:rPr>
          <w:rFonts w:hint="eastAsia" w:ascii="新宋体" w:hAnsi="新宋体" w:eastAsia="新宋体" w:cs="新宋体"/>
          <w:color w:val="auto"/>
          <w:sz w:val="22"/>
          <w:szCs w:val="22"/>
          <w:highlight w:val="none"/>
        </w:rPr>
        <w:t>根据医院各业务科室对云HIS服务评价情况酌情决定在合同总价0-2%范围内进行永久扣减支付云HIS服务费</w:t>
      </w:r>
      <w:r>
        <w:rPr>
          <w:rFonts w:hint="eastAsia" w:ascii="新宋体" w:hAnsi="新宋体" w:eastAsia="新宋体" w:cs="新宋体"/>
          <w:color w:val="auto"/>
          <w:sz w:val="22"/>
          <w:szCs w:val="22"/>
          <w:highlight w:val="none"/>
          <w:lang w:val="en-US" w:eastAsia="zh-CN"/>
        </w:rPr>
        <w:t>，甲方向乙方支付服务费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或款项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时也将同步永久扣减相同金额</w:t>
      </w:r>
      <w:r>
        <w:rPr>
          <w:rFonts w:hint="eastAsia" w:ascii="新宋体" w:hAnsi="新宋体" w:eastAsia="新宋体" w:cs="新宋体"/>
          <w:color w:val="auto"/>
          <w:sz w:val="22"/>
          <w:szCs w:val="22"/>
          <w:highlight w:val="none"/>
          <w:lang w:eastAsia="zh-CN"/>
        </w:rPr>
        <w:t>的</w:t>
      </w:r>
      <w:r>
        <w:rPr>
          <w:rFonts w:hint="eastAsia" w:ascii="新宋体" w:hAnsi="新宋体" w:eastAsia="新宋体" w:cs="新宋体"/>
          <w:color w:val="auto"/>
          <w:sz w:val="22"/>
          <w:szCs w:val="22"/>
          <w:highlight w:val="none"/>
          <w:lang w:val="en-US" w:eastAsia="zh-CN"/>
        </w:rPr>
        <w:t>费用</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或款项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b/>
          <w:bCs/>
          <w:color w:val="auto"/>
          <w:sz w:val="22"/>
          <w:szCs w:val="22"/>
          <w:highlight w:val="none"/>
          <w:u w:val="none"/>
          <w:lang w:eastAsia="zh-CN"/>
        </w:rPr>
        <w:t>，</w:t>
      </w:r>
      <w:r>
        <w:rPr>
          <w:rFonts w:hint="eastAsia" w:ascii="新宋体" w:hAnsi="新宋体" w:eastAsia="新宋体" w:cs="新宋体"/>
          <w:b/>
          <w:bCs/>
          <w:color w:val="auto"/>
          <w:sz w:val="22"/>
          <w:szCs w:val="22"/>
          <w:highlight w:val="none"/>
          <w:u w:val="none"/>
          <w:lang w:val="en-US" w:eastAsia="zh-CN"/>
        </w:rPr>
        <w:t>乙方对此认可且不持异议</w:t>
      </w:r>
      <w:r>
        <w:rPr>
          <w:rFonts w:hint="eastAsia" w:ascii="新宋体" w:hAnsi="新宋体" w:eastAsia="新宋体" w:cs="新宋体"/>
          <w:b/>
          <w:bCs/>
          <w:color w:val="auto"/>
          <w:sz w:val="22"/>
          <w:szCs w:val="22"/>
          <w:highlight w:val="none"/>
          <w:u w:val="none"/>
          <w:lang w:eastAsia="zh-CN"/>
        </w:rPr>
        <w:t>。</w:t>
      </w:r>
    </w:p>
    <w:p w14:paraId="26DC3E4A">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第四笔款：在第三年年服务费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或款项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结算日，</w:t>
      </w:r>
      <w:r>
        <w:rPr>
          <w:rFonts w:hint="eastAsia" w:ascii="新宋体" w:hAnsi="新宋体" w:eastAsia="新宋体" w:cs="新宋体"/>
          <w:color w:val="auto"/>
          <w:sz w:val="22"/>
          <w:szCs w:val="22"/>
          <w:highlight w:val="none"/>
          <w:lang w:eastAsia="zh-CN"/>
        </w:rPr>
        <w:t>在</w:t>
      </w:r>
      <w:r>
        <w:rPr>
          <w:rFonts w:hint="eastAsia" w:ascii="新宋体" w:hAnsi="新宋体" w:eastAsia="新宋体" w:cs="新宋体"/>
          <w:color w:val="auto"/>
          <w:sz w:val="22"/>
          <w:szCs w:val="22"/>
          <w:highlight w:val="none"/>
          <w:lang w:val="en-US" w:eastAsia="zh-CN"/>
        </w:rPr>
        <w:t>甲方收到所服务医院的第三年服务费付款后</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且</w:t>
      </w:r>
      <w:r>
        <w:rPr>
          <w:rFonts w:hint="eastAsia" w:ascii="新宋体" w:hAnsi="新宋体" w:eastAsia="新宋体" w:cs="新宋体"/>
          <w:color w:val="auto"/>
          <w:sz w:val="22"/>
          <w:szCs w:val="22"/>
          <w:highlight w:val="none"/>
        </w:rPr>
        <w:t>收到乙方提供的符合甲方财务要求的等额发票后15个工作日内，支付合同总价的20%，即人民币【】元。本笔支付中，</w:t>
      </w:r>
      <w:r>
        <w:rPr>
          <w:rFonts w:hint="eastAsia" w:ascii="新宋体" w:hAnsi="新宋体" w:eastAsia="新宋体" w:cs="新宋体"/>
          <w:color w:val="auto"/>
          <w:sz w:val="22"/>
          <w:szCs w:val="22"/>
          <w:highlight w:val="none"/>
          <w:lang w:val="en-US" w:eastAsia="zh-CN"/>
        </w:rPr>
        <w:t>如果</w:t>
      </w:r>
      <w:r>
        <w:rPr>
          <w:rFonts w:hint="eastAsia" w:ascii="新宋体" w:hAnsi="新宋体" w:eastAsia="新宋体" w:cs="新宋体"/>
          <w:color w:val="auto"/>
          <w:sz w:val="22"/>
          <w:szCs w:val="22"/>
          <w:highlight w:val="none"/>
        </w:rPr>
        <w:t>甲方</w:t>
      </w:r>
      <w:r>
        <w:rPr>
          <w:rFonts w:hint="eastAsia" w:ascii="新宋体" w:hAnsi="新宋体" w:eastAsia="新宋体" w:cs="新宋体"/>
          <w:color w:val="auto"/>
          <w:sz w:val="22"/>
          <w:szCs w:val="22"/>
          <w:highlight w:val="none"/>
          <w:lang w:val="en-US" w:eastAsia="zh-CN"/>
        </w:rPr>
        <w:t>所服务的医院</w:t>
      </w:r>
      <w:r>
        <w:rPr>
          <w:rFonts w:hint="eastAsia" w:ascii="新宋体" w:hAnsi="新宋体" w:eastAsia="新宋体" w:cs="新宋体"/>
          <w:color w:val="auto"/>
          <w:sz w:val="22"/>
          <w:szCs w:val="22"/>
          <w:highlight w:val="none"/>
        </w:rPr>
        <w:t>根据医院各业务科室对云HIS服务评价情况酌情决定在合同总价0-2%范围内永久扣减云HIS服务费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甲方向乙方支付服务费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或款项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时也将同步永久扣减相同金额</w:t>
      </w:r>
      <w:r>
        <w:rPr>
          <w:rFonts w:hint="eastAsia" w:ascii="新宋体" w:hAnsi="新宋体" w:eastAsia="新宋体" w:cs="新宋体"/>
          <w:color w:val="auto"/>
          <w:sz w:val="22"/>
          <w:szCs w:val="22"/>
          <w:highlight w:val="none"/>
          <w:lang w:eastAsia="zh-CN"/>
        </w:rPr>
        <w:t>的</w:t>
      </w:r>
      <w:r>
        <w:rPr>
          <w:rFonts w:hint="eastAsia" w:ascii="新宋体" w:hAnsi="新宋体" w:eastAsia="新宋体" w:cs="新宋体"/>
          <w:color w:val="auto"/>
          <w:sz w:val="22"/>
          <w:szCs w:val="22"/>
          <w:highlight w:val="none"/>
          <w:lang w:val="en-US" w:eastAsia="zh-CN"/>
        </w:rPr>
        <w:t>费用</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或款项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如果</w:t>
      </w:r>
      <w:r>
        <w:rPr>
          <w:rFonts w:hint="eastAsia" w:ascii="新宋体" w:hAnsi="新宋体" w:eastAsia="新宋体" w:cs="新宋体"/>
          <w:color w:val="auto"/>
          <w:sz w:val="22"/>
          <w:szCs w:val="22"/>
          <w:highlight w:val="none"/>
        </w:rPr>
        <w:t>甲方</w:t>
      </w:r>
      <w:r>
        <w:rPr>
          <w:rFonts w:hint="eastAsia" w:ascii="新宋体" w:hAnsi="新宋体" w:eastAsia="新宋体" w:cs="新宋体"/>
          <w:color w:val="auto"/>
          <w:sz w:val="22"/>
          <w:szCs w:val="22"/>
          <w:highlight w:val="none"/>
          <w:lang w:val="en-US" w:eastAsia="zh-CN"/>
        </w:rPr>
        <w:t>所服务的医院</w:t>
      </w:r>
      <w:r>
        <w:rPr>
          <w:rFonts w:hint="eastAsia" w:ascii="新宋体" w:hAnsi="新宋体" w:eastAsia="新宋体" w:cs="新宋体"/>
          <w:color w:val="auto"/>
          <w:sz w:val="22"/>
          <w:szCs w:val="22"/>
          <w:highlight w:val="none"/>
        </w:rPr>
        <w:t>未通过电子病历（智慧医疗）五级评审，</w:t>
      </w:r>
      <w:r>
        <w:rPr>
          <w:rFonts w:hint="eastAsia" w:ascii="新宋体" w:hAnsi="新宋体" w:eastAsia="新宋体" w:cs="新宋体"/>
          <w:color w:val="auto"/>
          <w:sz w:val="22"/>
          <w:szCs w:val="22"/>
          <w:highlight w:val="none"/>
          <w:lang w:val="en-US" w:eastAsia="zh-CN"/>
        </w:rPr>
        <w:t>服务医院</w:t>
      </w:r>
      <w:r>
        <w:rPr>
          <w:rFonts w:hint="eastAsia" w:ascii="新宋体" w:hAnsi="新宋体" w:eastAsia="新宋体" w:cs="新宋体"/>
          <w:color w:val="auto"/>
          <w:sz w:val="22"/>
          <w:szCs w:val="22"/>
          <w:highlight w:val="none"/>
        </w:rPr>
        <w:t>扣减</w:t>
      </w:r>
      <w:r>
        <w:rPr>
          <w:rFonts w:hint="eastAsia" w:ascii="新宋体" w:hAnsi="新宋体" w:eastAsia="新宋体" w:cs="新宋体"/>
          <w:color w:val="auto"/>
          <w:sz w:val="22"/>
          <w:szCs w:val="22"/>
          <w:highlight w:val="none"/>
          <w:lang w:val="en-US" w:eastAsia="zh-CN"/>
        </w:rPr>
        <w:t>甲方服务费用时，甲方向乙方支付服务费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或款项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时也将扣减相同金额</w:t>
      </w:r>
      <w:r>
        <w:rPr>
          <w:rFonts w:hint="eastAsia" w:ascii="新宋体" w:hAnsi="新宋体" w:eastAsia="新宋体" w:cs="新宋体"/>
          <w:color w:val="auto"/>
          <w:sz w:val="22"/>
          <w:szCs w:val="22"/>
          <w:highlight w:val="none"/>
          <w:lang w:eastAsia="zh-CN"/>
        </w:rPr>
        <w:t>的</w:t>
      </w:r>
      <w:r>
        <w:rPr>
          <w:rFonts w:hint="eastAsia" w:ascii="新宋体" w:hAnsi="新宋体" w:eastAsia="新宋体" w:cs="新宋体"/>
          <w:color w:val="auto"/>
          <w:sz w:val="22"/>
          <w:szCs w:val="22"/>
          <w:highlight w:val="none"/>
          <w:lang w:val="en-US" w:eastAsia="zh-CN"/>
        </w:rPr>
        <w:t>费用</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或款项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b/>
          <w:bCs/>
          <w:color w:val="auto"/>
          <w:sz w:val="22"/>
          <w:szCs w:val="22"/>
          <w:highlight w:val="none"/>
          <w:u w:val="none"/>
          <w:lang w:eastAsia="zh-CN"/>
        </w:rPr>
        <w:t>，乙方对此认可且不持异议</w:t>
      </w:r>
      <w:r>
        <w:rPr>
          <w:rFonts w:hint="eastAsia" w:ascii="新宋体" w:hAnsi="新宋体" w:eastAsia="新宋体" w:cs="新宋体"/>
          <w:color w:val="auto"/>
          <w:sz w:val="22"/>
          <w:szCs w:val="22"/>
          <w:highlight w:val="none"/>
          <w:u w:val="none"/>
          <w:lang w:eastAsia="zh-CN"/>
        </w:rPr>
        <w:t>。</w:t>
      </w:r>
    </w:p>
    <w:p w14:paraId="1E98943E">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第五笔款：在第四年年服务费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或款项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结算日，</w:t>
      </w:r>
      <w:r>
        <w:rPr>
          <w:rFonts w:hint="eastAsia" w:ascii="新宋体" w:hAnsi="新宋体" w:eastAsia="新宋体" w:cs="新宋体"/>
          <w:color w:val="auto"/>
          <w:sz w:val="22"/>
          <w:szCs w:val="22"/>
          <w:highlight w:val="none"/>
          <w:lang w:eastAsia="zh-CN"/>
        </w:rPr>
        <w:t>在</w:t>
      </w:r>
      <w:r>
        <w:rPr>
          <w:rFonts w:hint="eastAsia" w:ascii="新宋体" w:hAnsi="新宋体" w:eastAsia="新宋体" w:cs="新宋体"/>
          <w:color w:val="auto"/>
          <w:sz w:val="22"/>
          <w:szCs w:val="22"/>
          <w:highlight w:val="none"/>
          <w:lang w:val="en-US" w:eastAsia="zh-CN"/>
        </w:rPr>
        <w:t>甲方收到所服务医院的第三年服务费付款后</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且</w:t>
      </w:r>
      <w:r>
        <w:rPr>
          <w:rFonts w:hint="eastAsia" w:ascii="新宋体" w:hAnsi="新宋体" w:eastAsia="新宋体" w:cs="新宋体"/>
          <w:color w:val="auto"/>
          <w:sz w:val="22"/>
          <w:szCs w:val="22"/>
          <w:highlight w:val="none"/>
        </w:rPr>
        <w:t>收到乙方提供的符合甲方财务要求的等额发票后15个工作日内，支付合同总价的20%，即人民币【】元。本笔支付中，</w:t>
      </w:r>
      <w:r>
        <w:rPr>
          <w:rFonts w:hint="eastAsia" w:ascii="新宋体" w:hAnsi="新宋体" w:eastAsia="新宋体" w:cs="新宋体"/>
          <w:color w:val="auto"/>
          <w:sz w:val="22"/>
          <w:szCs w:val="22"/>
          <w:highlight w:val="none"/>
          <w:lang w:val="en-US" w:eastAsia="zh-CN"/>
        </w:rPr>
        <w:t>如果</w:t>
      </w:r>
      <w:r>
        <w:rPr>
          <w:rFonts w:hint="eastAsia" w:ascii="新宋体" w:hAnsi="新宋体" w:eastAsia="新宋体" w:cs="新宋体"/>
          <w:color w:val="auto"/>
          <w:sz w:val="22"/>
          <w:szCs w:val="22"/>
          <w:highlight w:val="none"/>
        </w:rPr>
        <w:t>甲方</w:t>
      </w:r>
      <w:r>
        <w:rPr>
          <w:rFonts w:hint="eastAsia" w:ascii="新宋体" w:hAnsi="新宋体" w:eastAsia="新宋体" w:cs="新宋体"/>
          <w:color w:val="auto"/>
          <w:sz w:val="22"/>
          <w:szCs w:val="22"/>
          <w:highlight w:val="none"/>
          <w:lang w:val="en-US" w:eastAsia="zh-CN"/>
        </w:rPr>
        <w:t>所服务的医院</w:t>
      </w:r>
      <w:r>
        <w:rPr>
          <w:rFonts w:hint="eastAsia" w:ascii="新宋体" w:hAnsi="新宋体" w:eastAsia="新宋体" w:cs="新宋体"/>
          <w:color w:val="auto"/>
          <w:sz w:val="22"/>
          <w:szCs w:val="22"/>
          <w:highlight w:val="none"/>
        </w:rPr>
        <w:t>根据医院各业务科室对云HIS服务评价情况酌情决定在合同总价0-2%范围内永久扣减云HIS服务费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甲方向乙方支付服务费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或款项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时也将同步永久扣减相同金额</w:t>
      </w:r>
      <w:r>
        <w:rPr>
          <w:rFonts w:hint="eastAsia" w:ascii="新宋体" w:hAnsi="新宋体" w:eastAsia="新宋体" w:cs="新宋体"/>
          <w:color w:val="auto"/>
          <w:sz w:val="22"/>
          <w:szCs w:val="22"/>
          <w:highlight w:val="none"/>
          <w:lang w:eastAsia="zh-CN"/>
        </w:rPr>
        <w:t>的</w:t>
      </w:r>
      <w:r>
        <w:rPr>
          <w:rFonts w:hint="eastAsia" w:ascii="新宋体" w:hAnsi="新宋体" w:eastAsia="新宋体" w:cs="新宋体"/>
          <w:color w:val="auto"/>
          <w:sz w:val="22"/>
          <w:szCs w:val="22"/>
          <w:highlight w:val="none"/>
          <w:lang w:val="en-US" w:eastAsia="zh-CN"/>
        </w:rPr>
        <w:t>费用</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或款项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如果</w:t>
      </w:r>
      <w:r>
        <w:rPr>
          <w:rFonts w:hint="eastAsia" w:ascii="新宋体" w:hAnsi="新宋体" w:eastAsia="新宋体" w:cs="新宋体"/>
          <w:color w:val="auto"/>
          <w:sz w:val="22"/>
          <w:szCs w:val="22"/>
          <w:highlight w:val="none"/>
        </w:rPr>
        <w:t>甲方</w:t>
      </w:r>
      <w:r>
        <w:rPr>
          <w:rFonts w:hint="eastAsia" w:ascii="新宋体" w:hAnsi="新宋体" w:eastAsia="新宋体" w:cs="新宋体"/>
          <w:color w:val="auto"/>
          <w:sz w:val="22"/>
          <w:szCs w:val="22"/>
          <w:highlight w:val="none"/>
          <w:lang w:val="en-US" w:eastAsia="zh-CN"/>
        </w:rPr>
        <w:t>所服务的医院</w:t>
      </w:r>
      <w:r>
        <w:rPr>
          <w:rFonts w:hint="eastAsia" w:ascii="新宋体" w:hAnsi="新宋体" w:eastAsia="新宋体" w:cs="新宋体"/>
          <w:color w:val="auto"/>
          <w:sz w:val="22"/>
          <w:szCs w:val="22"/>
          <w:highlight w:val="none"/>
        </w:rPr>
        <w:t>未通过电子病历（智慧医疗）五级评审，服务医院扣减甲方服务费用时</w:t>
      </w:r>
      <w:r>
        <w:rPr>
          <w:rFonts w:hint="eastAsia" w:ascii="新宋体" w:hAnsi="新宋体" w:eastAsia="新宋体" w:cs="新宋体"/>
          <w:color w:val="auto"/>
          <w:sz w:val="22"/>
          <w:szCs w:val="22"/>
          <w:highlight w:val="none"/>
          <w:lang w:val="en-US" w:eastAsia="zh-CN"/>
        </w:rPr>
        <w:t>，甲方向乙方支付服务费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或款项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时也将扣减相同金额</w:t>
      </w:r>
      <w:r>
        <w:rPr>
          <w:rFonts w:hint="eastAsia" w:ascii="新宋体" w:hAnsi="新宋体" w:eastAsia="新宋体" w:cs="新宋体"/>
          <w:color w:val="auto"/>
          <w:sz w:val="22"/>
          <w:szCs w:val="22"/>
          <w:highlight w:val="none"/>
          <w:lang w:eastAsia="zh-CN"/>
        </w:rPr>
        <w:t>的</w:t>
      </w:r>
      <w:r>
        <w:rPr>
          <w:rFonts w:hint="eastAsia" w:ascii="新宋体" w:hAnsi="新宋体" w:eastAsia="新宋体" w:cs="新宋体"/>
          <w:color w:val="auto"/>
          <w:sz w:val="22"/>
          <w:szCs w:val="22"/>
          <w:highlight w:val="none"/>
          <w:lang w:val="en-US" w:eastAsia="zh-CN"/>
        </w:rPr>
        <w:t>费用</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或款项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u w:val="none"/>
          <w:lang w:eastAsia="zh-CN"/>
        </w:rPr>
        <w:t>，</w:t>
      </w:r>
      <w:r>
        <w:rPr>
          <w:rFonts w:hint="eastAsia" w:ascii="新宋体" w:hAnsi="新宋体" w:eastAsia="新宋体" w:cs="新宋体"/>
          <w:b/>
          <w:bCs/>
          <w:color w:val="auto"/>
          <w:sz w:val="22"/>
          <w:szCs w:val="22"/>
          <w:highlight w:val="none"/>
          <w:u w:val="none"/>
          <w:lang w:eastAsia="zh-CN"/>
        </w:rPr>
        <w:t>乙方对此认可且不持异议</w:t>
      </w:r>
      <w:r>
        <w:rPr>
          <w:rFonts w:hint="eastAsia" w:ascii="新宋体" w:hAnsi="新宋体" w:eastAsia="新宋体" w:cs="新宋体"/>
          <w:color w:val="auto"/>
          <w:sz w:val="22"/>
          <w:szCs w:val="22"/>
          <w:highlight w:val="none"/>
          <w:u w:val="none"/>
          <w:lang w:eastAsia="zh-CN"/>
        </w:rPr>
        <w:t>。</w:t>
      </w:r>
    </w:p>
    <w:p w14:paraId="2053354D">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b/>
          <w:bCs/>
          <w:color w:val="auto"/>
          <w:sz w:val="22"/>
          <w:szCs w:val="22"/>
          <w:highlight w:val="none"/>
          <w:u w:val="single"/>
        </w:rPr>
      </w:pPr>
      <w:r>
        <w:rPr>
          <w:rFonts w:hint="eastAsia" w:ascii="新宋体" w:hAnsi="新宋体" w:eastAsia="新宋体" w:cs="新宋体"/>
          <w:color w:val="auto"/>
          <w:sz w:val="22"/>
          <w:szCs w:val="22"/>
          <w:highlight w:val="none"/>
        </w:rPr>
        <w:t>第六笔款：在第五年年服务费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或款项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结算日，</w:t>
      </w:r>
      <w:r>
        <w:rPr>
          <w:rFonts w:hint="eastAsia" w:ascii="新宋体" w:hAnsi="新宋体" w:eastAsia="新宋体" w:cs="新宋体"/>
          <w:color w:val="auto"/>
          <w:sz w:val="22"/>
          <w:szCs w:val="22"/>
          <w:highlight w:val="none"/>
          <w:lang w:eastAsia="zh-CN"/>
        </w:rPr>
        <w:t>在</w:t>
      </w:r>
      <w:r>
        <w:rPr>
          <w:rFonts w:hint="eastAsia" w:ascii="新宋体" w:hAnsi="新宋体" w:eastAsia="新宋体" w:cs="新宋体"/>
          <w:color w:val="auto"/>
          <w:sz w:val="22"/>
          <w:szCs w:val="22"/>
          <w:highlight w:val="none"/>
          <w:lang w:val="en-US" w:eastAsia="zh-CN"/>
        </w:rPr>
        <w:t>甲方收到所服务医院的第三年服务费付款后</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且</w:t>
      </w:r>
      <w:r>
        <w:rPr>
          <w:rFonts w:hint="eastAsia" w:ascii="新宋体" w:hAnsi="新宋体" w:eastAsia="新宋体" w:cs="新宋体"/>
          <w:color w:val="auto"/>
          <w:sz w:val="22"/>
          <w:szCs w:val="22"/>
          <w:highlight w:val="none"/>
        </w:rPr>
        <w:t>收到乙方提供的符合甲方财务要求的等额发票后15个工作日内，支付合同总价的10%，即人民币【】元，完成合同支付。本笔支付中，</w:t>
      </w:r>
      <w:r>
        <w:rPr>
          <w:rFonts w:hint="eastAsia" w:ascii="新宋体" w:hAnsi="新宋体" w:eastAsia="新宋体" w:cs="新宋体"/>
          <w:color w:val="auto"/>
          <w:sz w:val="22"/>
          <w:szCs w:val="22"/>
          <w:highlight w:val="none"/>
          <w:lang w:val="en-US" w:eastAsia="zh-CN"/>
        </w:rPr>
        <w:t>如果</w:t>
      </w:r>
      <w:r>
        <w:rPr>
          <w:rFonts w:hint="eastAsia" w:ascii="新宋体" w:hAnsi="新宋体" w:eastAsia="新宋体" w:cs="新宋体"/>
          <w:color w:val="auto"/>
          <w:sz w:val="22"/>
          <w:szCs w:val="22"/>
          <w:highlight w:val="none"/>
        </w:rPr>
        <w:t>甲方</w:t>
      </w:r>
      <w:r>
        <w:rPr>
          <w:rFonts w:hint="eastAsia" w:ascii="新宋体" w:hAnsi="新宋体" w:eastAsia="新宋体" w:cs="新宋体"/>
          <w:color w:val="auto"/>
          <w:sz w:val="22"/>
          <w:szCs w:val="22"/>
          <w:highlight w:val="none"/>
          <w:lang w:val="en-US" w:eastAsia="zh-CN"/>
        </w:rPr>
        <w:t>所服务的医院</w:t>
      </w:r>
      <w:r>
        <w:rPr>
          <w:rFonts w:hint="eastAsia" w:ascii="新宋体" w:hAnsi="新宋体" w:eastAsia="新宋体" w:cs="新宋体"/>
          <w:color w:val="auto"/>
          <w:sz w:val="22"/>
          <w:szCs w:val="22"/>
          <w:highlight w:val="none"/>
        </w:rPr>
        <w:t>根据医院各业务科室对云HIS服务评价情况酌情决定在合同总价0-2%范围内永久扣减云HIS服务费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甲方向乙方支付服务费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或款项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时也将同步永久扣减相同金额</w:t>
      </w:r>
      <w:r>
        <w:rPr>
          <w:rFonts w:hint="eastAsia" w:ascii="新宋体" w:hAnsi="新宋体" w:eastAsia="新宋体" w:cs="新宋体"/>
          <w:color w:val="auto"/>
          <w:sz w:val="22"/>
          <w:szCs w:val="22"/>
          <w:highlight w:val="none"/>
          <w:lang w:eastAsia="zh-CN"/>
        </w:rPr>
        <w:t>的</w:t>
      </w:r>
      <w:r>
        <w:rPr>
          <w:rFonts w:hint="eastAsia" w:ascii="新宋体" w:hAnsi="新宋体" w:eastAsia="新宋体" w:cs="新宋体"/>
          <w:color w:val="auto"/>
          <w:sz w:val="22"/>
          <w:szCs w:val="22"/>
          <w:highlight w:val="none"/>
          <w:lang w:val="en-US" w:eastAsia="zh-CN"/>
        </w:rPr>
        <w:t>费用</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或款项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如果</w:t>
      </w:r>
      <w:r>
        <w:rPr>
          <w:rFonts w:hint="eastAsia" w:ascii="新宋体" w:hAnsi="新宋体" w:eastAsia="新宋体" w:cs="新宋体"/>
          <w:color w:val="auto"/>
          <w:sz w:val="22"/>
          <w:szCs w:val="22"/>
          <w:highlight w:val="none"/>
        </w:rPr>
        <w:t>甲方</w:t>
      </w:r>
      <w:r>
        <w:rPr>
          <w:rFonts w:hint="eastAsia" w:ascii="新宋体" w:hAnsi="新宋体" w:eastAsia="新宋体" w:cs="新宋体"/>
          <w:color w:val="auto"/>
          <w:sz w:val="22"/>
          <w:szCs w:val="22"/>
          <w:highlight w:val="none"/>
          <w:lang w:val="en-US" w:eastAsia="zh-CN"/>
        </w:rPr>
        <w:t>所服务的医院</w:t>
      </w:r>
      <w:r>
        <w:rPr>
          <w:rFonts w:hint="eastAsia" w:ascii="新宋体" w:hAnsi="新宋体" w:eastAsia="新宋体" w:cs="新宋体"/>
          <w:color w:val="auto"/>
          <w:sz w:val="22"/>
          <w:szCs w:val="22"/>
          <w:highlight w:val="none"/>
        </w:rPr>
        <w:t>未通过电子病历（智慧医疗）五级评审，服务医院扣减甲方服务费用时</w:t>
      </w:r>
      <w:r>
        <w:rPr>
          <w:rFonts w:hint="eastAsia" w:ascii="新宋体" w:hAnsi="新宋体" w:eastAsia="新宋体" w:cs="新宋体"/>
          <w:color w:val="auto"/>
          <w:sz w:val="22"/>
          <w:szCs w:val="22"/>
          <w:highlight w:val="none"/>
          <w:lang w:val="en-US" w:eastAsia="zh-CN"/>
        </w:rPr>
        <w:t>，甲方向乙方支付服务费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或款项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时也将扣减相同金额</w:t>
      </w:r>
      <w:r>
        <w:rPr>
          <w:rFonts w:hint="eastAsia" w:ascii="新宋体" w:hAnsi="新宋体" w:eastAsia="新宋体" w:cs="新宋体"/>
          <w:color w:val="auto"/>
          <w:sz w:val="22"/>
          <w:szCs w:val="22"/>
          <w:highlight w:val="none"/>
          <w:lang w:eastAsia="zh-CN"/>
        </w:rPr>
        <w:t>的</w:t>
      </w:r>
      <w:r>
        <w:rPr>
          <w:rFonts w:hint="eastAsia" w:ascii="新宋体" w:hAnsi="新宋体" w:eastAsia="新宋体" w:cs="新宋体"/>
          <w:color w:val="auto"/>
          <w:sz w:val="22"/>
          <w:szCs w:val="22"/>
          <w:highlight w:val="none"/>
          <w:lang w:val="en-US" w:eastAsia="zh-CN"/>
        </w:rPr>
        <w:t>费用</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或款项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b/>
          <w:bCs/>
          <w:color w:val="auto"/>
          <w:sz w:val="22"/>
          <w:szCs w:val="22"/>
          <w:highlight w:val="none"/>
          <w:u w:val="none"/>
          <w:lang w:eastAsia="zh-CN"/>
        </w:rPr>
        <w:t>乙方对此认可且不持异议。</w:t>
      </w:r>
    </w:p>
    <w:p w14:paraId="7D25A11C">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w:t>
      </w:r>
      <w:r>
        <w:rPr>
          <w:rFonts w:hint="eastAsia" w:ascii="新宋体" w:hAnsi="新宋体" w:eastAsia="新宋体" w:cs="新宋体"/>
          <w:color w:val="auto"/>
          <w:sz w:val="22"/>
          <w:szCs w:val="22"/>
          <w:highlight w:val="none"/>
          <w:lang w:val="en-US" w:eastAsia="zh-CN"/>
        </w:rPr>
        <w:t>所服务的医院</w:t>
      </w:r>
      <w:r>
        <w:rPr>
          <w:rFonts w:hint="eastAsia" w:ascii="新宋体" w:hAnsi="新宋体" w:eastAsia="新宋体" w:cs="新宋体"/>
          <w:color w:val="auto"/>
          <w:sz w:val="22"/>
          <w:szCs w:val="22"/>
          <w:highlight w:val="none"/>
        </w:rPr>
        <w:t>对云HIS服务评价</w:t>
      </w:r>
      <w:r>
        <w:rPr>
          <w:rFonts w:hint="eastAsia" w:ascii="新宋体" w:hAnsi="新宋体" w:eastAsia="新宋体" w:cs="新宋体"/>
          <w:color w:val="auto"/>
          <w:sz w:val="22"/>
          <w:szCs w:val="22"/>
          <w:highlight w:val="none"/>
          <w:lang w:val="en-US" w:eastAsia="zh-CN"/>
        </w:rPr>
        <w:t>方式由医院自行制定，乙方认可该等服务评价方式以及评价结果同为甲方对乙方的评价方式和评价结果，纳入本合同云HIS服务实施方案附件。</w:t>
      </w:r>
      <w:r>
        <w:rPr>
          <w:rFonts w:hint="eastAsia" w:ascii="新宋体" w:hAnsi="新宋体" w:eastAsia="新宋体" w:cs="新宋体"/>
          <w:color w:val="auto"/>
          <w:sz w:val="22"/>
          <w:szCs w:val="22"/>
          <w:highlight w:val="none"/>
        </w:rPr>
        <w:t>乙方因甲方</w:t>
      </w:r>
      <w:r>
        <w:rPr>
          <w:rFonts w:hint="eastAsia" w:ascii="新宋体" w:hAnsi="新宋体" w:eastAsia="新宋体" w:cs="新宋体"/>
          <w:color w:val="auto"/>
          <w:sz w:val="22"/>
          <w:szCs w:val="22"/>
          <w:highlight w:val="none"/>
          <w:lang w:val="en-US" w:eastAsia="zh-CN"/>
        </w:rPr>
        <w:t>所服务的医院</w:t>
      </w:r>
      <w:r>
        <w:rPr>
          <w:rFonts w:hint="eastAsia" w:ascii="新宋体" w:hAnsi="新宋体" w:eastAsia="新宋体" w:cs="新宋体"/>
          <w:color w:val="auto"/>
          <w:sz w:val="22"/>
          <w:szCs w:val="22"/>
          <w:highlight w:val="none"/>
        </w:rPr>
        <w:t>未通过电子病历（智慧医疗）五级评级所被扣减的</w:t>
      </w:r>
      <w:r>
        <w:rPr>
          <w:rFonts w:hint="eastAsia" w:ascii="新宋体" w:hAnsi="新宋体" w:eastAsia="新宋体" w:cs="新宋体"/>
          <w:color w:val="auto"/>
          <w:sz w:val="22"/>
          <w:szCs w:val="22"/>
          <w:highlight w:val="none"/>
          <w:lang w:val="en-US" w:eastAsia="zh-CN"/>
        </w:rPr>
        <w:t>费用</w:t>
      </w:r>
      <w:r>
        <w:rPr>
          <w:rFonts w:hint="eastAsia" w:ascii="新宋体" w:hAnsi="新宋体" w:eastAsia="新宋体" w:cs="新宋体"/>
          <w:color w:val="auto"/>
          <w:sz w:val="22"/>
          <w:szCs w:val="22"/>
          <w:highlight w:val="none"/>
        </w:rPr>
        <w:t>，如甲方</w:t>
      </w:r>
      <w:r>
        <w:rPr>
          <w:rFonts w:hint="eastAsia" w:ascii="新宋体" w:hAnsi="新宋体" w:eastAsia="新宋体" w:cs="新宋体"/>
          <w:color w:val="auto"/>
          <w:sz w:val="22"/>
          <w:szCs w:val="22"/>
          <w:highlight w:val="none"/>
          <w:lang w:val="en-US" w:eastAsia="zh-CN"/>
        </w:rPr>
        <w:t>所服务的医院</w:t>
      </w:r>
      <w:r>
        <w:rPr>
          <w:rFonts w:hint="eastAsia" w:ascii="新宋体" w:hAnsi="新宋体" w:eastAsia="新宋体" w:cs="新宋体"/>
          <w:color w:val="auto"/>
          <w:sz w:val="22"/>
          <w:szCs w:val="22"/>
          <w:highlight w:val="none"/>
        </w:rPr>
        <w:t>在服务期内完成电子病历（智慧医疗）五级评审通过后予以一次性返还</w:t>
      </w:r>
      <w:r>
        <w:rPr>
          <w:rFonts w:hint="eastAsia" w:ascii="新宋体" w:hAnsi="新宋体" w:eastAsia="新宋体" w:cs="新宋体"/>
          <w:color w:val="auto"/>
          <w:sz w:val="22"/>
          <w:szCs w:val="22"/>
          <w:highlight w:val="none"/>
          <w:lang w:val="en-US" w:eastAsia="zh-CN"/>
        </w:rPr>
        <w:t>所有扣除的</w:t>
      </w:r>
      <w:r>
        <w:rPr>
          <w:rFonts w:hint="eastAsia" w:ascii="新宋体" w:hAnsi="新宋体" w:eastAsia="新宋体" w:cs="新宋体"/>
          <w:color w:val="auto"/>
          <w:sz w:val="22"/>
          <w:szCs w:val="22"/>
          <w:highlight w:val="none"/>
        </w:rPr>
        <w:t>三分之二，剩余扣减的三分之一永久扣除，暂扣期间不支付利息。</w:t>
      </w:r>
    </w:p>
    <w:p w14:paraId="11DF98FC">
      <w:pPr>
        <w:keepNext w:val="0"/>
        <w:keepLines w:val="0"/>
        <w:pageBreakBefore w:val="0"/>
        <w:tabs>
          <w:tab w:val="left" w:pos="540"/>
        </w:tabs>
        <w:kinsoku/>
        <w:wordWrap/>
        <w:overflowPunct/>
        <w:topLinePunct w:val="0"/>
        <w:autoSpaceDE/>
        <w:autoSpaceDN/>
        <w:bidi w:val="0"/>
        <w:spacing w:line="360" w:lineRule="auto"/>
        <w:ind w:firstLine="420" w:firstLineChars="190"/>
        <w:textAlignment w:val="auto"/>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乙方理解并确认，本合同项下项目最终服务客户为甲方服务的医院。基于此，乙方不可撤销的同意如甲方所服务的医院对甲方进行系统功能或服务进行核减从而导致服务费用相应核减的，甲方也将对乙方系统功能或服务以及服务费用进行</w:t>
      </w:r>
      <w:r>
        <w:rPr>
          <w:rFonts w:hint="eastAsia" w:ascii="新宋体" w:hAnsi="新宋体" w:eastAsia="新宋体" w:cs="新宋体"/>
          <w:b/>
          <w:bCs/>
          <w:color w:val="auto"/>
          <w:sz w:val="22"/>
          <w:szCs w:val="22"/>
          <w:highlight w:val="none"/>
          <w:u w:val="single"/>
          <w:lang w:val="en-US" w:eastAsia="zh-CN"/>
        </w:rPr>
        <w:t>相同</w:t>
      </w:r>
      <w:r>
        <w:rPr>
          <w:rFonts w:hint="eastAsia" w:ascii="新宋体" w:hAnsi="新宋体" w:eastAsia="新宋体" w:cs="新宋体"/>
          <w:b/>
          <w:bCs/>
          <w:color w:val="auto"/>
          <w:sz w:val="22"/>
          <w:szCs w:val="22"/>
          <w:highlight w:val="none"/>
          <w:u w:val="single"/>
        </w:rPr>
        <w:t>金额的核减。</w:t>
      </w:r>
    </w:p>
    <w:p w14:paraId="2DE7E38B">
      <w:pPr>
        <w:keepNext w:val="0"/>
        <w:keepLines w:val="0"/>
        <w:pageBreakBefore w:val="0"/>
        <w:numPr>
          <w:ilvl w:val="0"/>
          <w:numId w:val="14"/>
        </w:numPr>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eastAsia="zh-CN"/>
        </w:rPr>
        <w:t>医疗专区智慧医疗数据综合流通平台-多元数据治理</w:t>
      </w:r>
      <w:r>
        <w:rPr>
          <w:rFonts w:hint="eastAsia" w:ascii="新宋体" w:hAnsi="新宋体" w:eastAsia="新宋体" w:cs="新宋体"/>
          <w:color w:val="auto"/>
          <w:sz w:val="22"/>
          <w:szCs w:val="22"/>
          <w:highlight w:val="none"/>
          <w:lang w:val="en-US" w:eastAsia="zh-CN"/>
        </w:rPr>
        <w:t>包括未成年人侵害监管平台、医疗人口数据治理、地址数据治理以及系统集成对接到城市数据空间部分验收及付款方式。</w:t>
      </w:r>
    </w:p>
    <w:p w14:paraId="06CAF526">
      <w:pPr>
        <w:keepNext w:val="0"/>
        <w:keepLines w:val="0"/>
        <w:pageBreakBefore w:val="0"/>
        <w:numPr>
          <w:ilvl w:val="0"/>
          <w:numId w:val="15"/>
        </w:numPr>
        <w:tabs>
          <w:tab w:val="left" w:pos="540"/>
        </w:tabs>
        <w:kinsoku/>
        <w:wordWrap/>
        <w:overflowPunct/>
        <w:topLinePunct w:val="0"/>
        <w:autoSpaceDE/>
        <w:autoSpaceDN/>
        <w:bidi w:val="0"/>
        <w:spacing w:line="360" w:lineRule="auto"/>
        <w:ind w:firstLine="440" w:firstLineChars="200"/>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项目验收</w:t>
      </w:r>
    </w:p>
    <w:p w14:paraId="3D224C06">
      <w:pPr>
        <w:keepNext w:val="0"/>
        <w:keepLines w:val="0"/>
        <w:pageBreakBefore w:val="0"/>
        <w:widowControl w:val="0"/>
        <w:kinsoku/>
        <w:wordWrap/>
        <w:overflowPunct/>
        <w:topLinePunct w:val="0"/>
        <w:bidi w:val="0"/>
        <w:spacing w:line="400" w:lineRule="exact"/>
        <w:ind w:firstLine="442" w:firstLineChars="200"/>
        <w:jc w:val="both"/>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乙方完成</w:t>
      </w:r>
      <w:r>
        <w:rPr>
          <w:rFonts w:hint="eastAsia" w:ascii="新宋体" w:hAnsi="新宋体" w:eastAsia="新宋体" w:cs="新宋体"/>
          <w:b/>
          <w:bCs/>
          <w:color w:val="auto"/>
          <w:sz w:val="22"/>
          <w:szCs w:val="22"/>
          <w:highlight w:val="none"/>
          <w:lang w:val="en-US" w:eastAsia="zh-CN"/>
        </w:rPr>
        <w:t>系统建设及</w:t>
      </w:r>
      <w:r>
        <w:rPr>
          <w:rFonts w:hint="eastAsia" w:ascii="新宋体" w:hAnsi="新宋体" w:eastAsia="新宋体" w:cs="新宋体"/>
          <w:b/>
          <w:bCs/>
          <w:color w:val="auto"/>
          <w:sz w:val="22"/>
          <w:szCs w:val="22"/>
          <w:highlight w:val="none"/>
        </w:rPr>
        <w:t>部署上线，</w:t>
      </w:r>
      <w:r>
        <w:rPr>
          <w:rFonts w:hint="eastAsia" w:ascii="新宋体" w:hAnsi="新宋体" w:eastAsia="新宋体" w:cs="新宋体"/>
          <w:b/>
          <w:bCs/>
          <w:color w:val="auto"/>
          <w:sz w:val="22"/>
          <w:szCs w:val="22"/>
          <w:highlight w:val="none"/>
          <w:lang w:val="en-US" w:eastAsia="zh-CN"/>
        </w:rPr>
        <w:t>完成相关必要的改造调整和对接，且</w:t>
      </w:r>
      <w:r>
        <w:rPr>
          <w:rFonts w:hint="eastAsia" w:ascii="新宋体" w:hAnsi="新宋体" w:eastAsia="新宋体" w:cs="新宋体"/>
          <w:b/>
          <w:bCs/>
          <w:color w:val="auto"/>
          <w:sz w:val="22"/>
          <w:szCs w:val="22"/>
          <w:highlight w:val="none"/>
        </w:rPr>
        <w:t>稳定运行</w:t>
      </w:r>
      <w:r>
        <w:rPr>
          <w:rFonts w:hint="eastAsia" w:ascii="新宋体" w:hAnsi="新宋体" w:eastAsia="新宋体" w:cs="新宋体"/>
          <w:b/>
          <w:bCs/>
          <w:color w:val="auto"/>
          <w:sz w:val="22"/>
          <w:szCs w:val="22"/>
          <w:highlight w:val="none"/>
          <w:lang w:val="en-US" w:eastAsia="zh-CN"/>
        </w:rPr>
        <w:t>至少1</w:t>
      </w:r>
      <w:r>
        <w:rPr>
          <w:rFonts w:hint="eastAsia" w:ascii="新宋体" w:hAnsi="新宋体" w:eastAsia="新宋体" w:cs="新宋体"/>
          <w:b/>
          <w:bCs/>
          <w:color w:val="auto"/>
          <w:sz w:val="22"/>
          <w:szCs w:val="22"/>
          <w:highlight w:val="none"/>
        </w:rPr>
        <w:t>个月后提交验收材料</w:t>
      </w:r>
      <w:r>
        <w:rPr>
          <w:rFonts w:hint="eastAsia" w:ascii="新宋体" w:hAnsi="新宋体" w:eastAsia="新宋体" w:cs="新宋体"/>
          <w:b/>
          <w:bCs/>
          <w:color w:val="auto"/>
          <w:sz w:val="22"/>
          <w:szCs w:val="22"/>
          <w:highlight w:val="none"/>
          <w:lang w:eastAsia="zh-CN"/>
        </w:rPr>
        <w:t>。</w:t>
      </w:r>
    </w:p>
    <w:p w14:paraId="73F463C9">
      <w:pPr>
        <w:keepNext w:val="0"/>
        <w:keepLines w:val="0"/>
        <w:pageBreakBefore w:val="0"/>
        <w:widowControl w:val="0"/>
        <w:kinsoku/>
        <w:wordWrap/>
        <w:overflowPunct/>
        <w:topLinePunct w:val="0"/>
        <w:bidi w:val="0"/>
        <w:spacing w:line="400" w:lineRule="exact"/>
        <w:ind w:firstLine="440" w:firstLineChars="200"/>
        <w:jc w:val="both"/>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验收标准：甲方按照招标文件、响应文件、采购合同等约定的质量、数量、技术指标或者服务要求设置验收指标及其标准进行验收。甲方收到乙方申请后组织验收组进行整体验收，验收合格后甲方应当出具项目整体验收合格报告。 验收标准要符合招标文件及项目合同条款中所规定的要求。</w:t>
      </w:r>
    </w:p>
    <w:p w14:paraId="691AEC75">
      <w:pPr>
        <w:keepNext w:val="0"/>
        <w:keepLines w:val="0"/>
        <w:pageBreakBefore w:val="0"/>
        <w:numPr>
          <w:ilvl w:val="-1"/>
          <w:numId w:val="0"/>
        </w:numPr>
        <w:tabs>
          <w:tab w:val="left" w:pos="540"/>
        </w:tabs>
        <w:kinsoku/>
        <w:wordWrap/>
        <w:overflowPunct/>
        <w:topLinePunct w:val="0"/>
        <w:autoSpaceDE/>
        <w:autoSpaceDN/>
        <w:bidi w:val="0"/>
        <w:spacing w:line="360" w:lineRule="auto"/>
        <w:ind w:firstLine="440" w:firstLineChars="200"/>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（2）付款方式</w:t>
      </w:r>
    </w:p>
    <w:p w14:paraId="152FD823">
      <w:pPr>
        <w:keepNext w:val="0"/>
        <w:keepLines w:val="0"/>
        <w:pageBreakBefore w:val="0"/>
        <w:numPr>
          <w:ilvl w:val="-1"/>
          <w:numId w:val="0"/>
        </w:numPr>
        <w:tabs>
          <w:tab w:val="left" w:pos="540"/>
        </w:tabs>
        <w:kinsoku/>
        <w:wordWrap/>
        <w:overflowPunct/>
        <w:topLinePunct w:val="0"/>
        <w:autoSpaceDE/>
        <w:autoSpaceDN/>
        <w:bidi w:val="0"/>
        <w:spacing w:line="360" w:lineRule="auto"/>
        <w:ind w:firstLine="440" w:firstLineChars="200"/>
        <w:textAlignment w:val="auto"/>
        <w:rPr>
          <w:rFonts w:hint="eastAsia" w:ascii="新宋体" w:hAnsi="新宋体" w:eastAsia="新宋体" w:cs="新宋体"/>
          <w:color w:val="auto"/>
          <w:sz w:val="22"/>
          <w:szCs w:val="22"/>
          <w:highlight w:val="none"/>
          <w:lang w:val="en-US"/>
        </w:rPr>
      </w:pPr>
      <w:r>
        <w:rPr>
          <w:rFonts w:hint="eastAsia" w:ascii="新宋体" w:hAnsi="新宋体" w:eastAsia="新宋体" w:cs="新宋体"/>
          <w:color w:val="auto"/>
          <w:sz w:val="22"/>
          <w:szCs w:val="22"/>
          <w:highlight w:val="none"/>
          <w:lang w:val="en-US" w:eastAsia="zh-CN"/>
        </w:rPr>
        <w:t>在合同签订生效后且</w:t>
      </w:r>
      <w:r>
        <w:rPr>
          <w:rFonts w:hint="eastAsia" w:ascii="新宋体" w:hAnsi="新宋体" w:eastAsia="新宋体" w:cs="新宋体"/>
          <w:color w:val="auto"/>
          <w:sz w:val="22"/>
          <w:szCs w:val="22"/>
          <w:highlight w:val="none"/>
        </w:rPr>
        <w:t>收到乙方提供的符合甲方财务要求的等额发票后15个工作日内，甲方向乙方支付</w:t>
      </w:r>
      <w:r>
        <w:rPr>
          <w:rFonts w:hint="eastAsia" w:ascii="新宋体" w:hAnsi="新宋体" w:eastAsia="新宋体" w:cs="新宋体"/>
          <w:color w:val="auto"/>
          <w:sz w:val="22"/>
          <w:szCs w:val="22"/>
          <w:highlight w:val="none"/>
          <w:lang w:val="en-US" w:eastAsia="zh-CN"/>
        </w:rPr>
        <w:t>该部分内容金额的3</w:t>
      </w:r>
      <w:r>
        <w:rPr>
          <w:rFonts w:hint="eastAsia" w:ascii="新宋体" w:hAnsi="新宋体" w:eastAsia="新宋体" w:cs="新宋体"/>
          <w:color w:val="auto"/>
          <w:sz w:val="22"/>
          <w:szCs w:val="22"/>
          <w:highlight w:val="none"/>
        </w:rPr>
        <w:t>0%</w:t>
      </w:r>
      <w:r>
        <w:rPr>
          <w:rFonts w:hint="eastAsia" w:ascii="新宋体" w:hAnsi="新宋体" w:eastAsia="新宋体" w:cs="新宋体"/>
          <w:color w:val="auto"/>
          <w:sz w:val="22"/>
          <w:szCs w:val="22"/>
          <w:highlight w:val="none"/>
          <w:lang w:eastAsia="zh-CN"/>
        </w:rPr>
        <w:t>，在</w:t>
      </w:r>
      <w:r>
        <w:rPr>
          <w:rFonts w:hint="eastAsia" w:ascii="新宋体" w:hAnsi="新宋体" w:eastAsia="新宋体" w:cs="新宋体"/>
          <w:color w:val="auto"/>
          <w:sz w:val="22"/>
          <w:szCs w:val="22"/>
          <w:highlight w:val="none"/>
          <w:lang w:val="en-US" w:eastAsia="zh-CN"/>
        </w:rPr>
        <w:t>该部分内容验收通过后且</w:t>
      </w:r>
      <w:r>
        <w:rPr>
          <w:rFonts w:hint="eastAsia" w:ascii="新宋体" w:hAnsi="新宋体" w:eastAsia="新宋体" w:cs="新宋体"/>
          <w:color w:val="auto"/>
          <w:sz w:val="22"/>
          <w:szCs w:val="22"/>
          <w:highlight w:val="none"/>
        </w:rPr>
        <w:t>收到乙方提供的符合甲方财务要求的等额发票后15个工作日内，甲方向乙方支付</w:t>
      </w:r>
      <w:r>
        <w:rPr>
          <w:rFonts w:hint="eastAsia" w:ascii="新宋体" w:hAnsi="新宋体" w:eastAsia="新宋体" w:cs="新宋体"/>
          <w:color w:val="auto"/>
          <w:sz w:val="22"/>
          <w:szCs w:val="22"/>
          <w:highlight w:val="none"/>
          <w:lang w:val="en-US" w:eastAsia="zh-CN"/>
        </w:rPr>
        <w:t>改部分内容金额</w:t>
      </w:r>
      <w:r>
        <w:rPr>
          <w:rFonts w:hint="eastAsia" w:ascii="新宋体" w:hAnsi="新宋体" w:eastAsia="新宋体" w:cs="新宋体"/>
          <w:color w:val="auto"/>
          <w:sz w:val="22"/>
          <w:szCs w:val="22"/>
          <w:highlight w:val="none"/>
        </w:rPr>
        <w:t>的</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rPr>
        <w:t>0%。</w:t>
      </w:r>
    </w:p>
    <w:p w14:paraId="5CEF07AF">
      <w:pPr>
        <w:keepNext w:val="0"/>
        <w:keepLines w:val="0"/>
        <w:pageBreakBefore w:val="0"/>
        <w:tabs>
          <w:tab w:val="left" w:pos="540"/>
        </w:tabs>
        <w:kinsoku/>
        <w:wordWrap/>
        <w:overflowPunct/>
        <w:topLinePunct w:val="0"/>
        <w:autoSpaceDE/>
        <w:autoSpaceDN/>
        <w:bidi w:val="0"/>
        <w:spacing w:line="360" w:lineRule="auto"/>
        <w:ind w:firstLine="420" w:firstLineChars="19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 xml:space="preserve">四、项目指定负责人： </w:t>
      </w:r>
    </w:p>
    <w:p w14:paraId="15284B0C">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双方在合同履约过程中，应当指定项目负责人（代表）壹名，以书面授权形式提交对方备案。 </w:t>
      </w:r>
    </w:p>
    <w:p w14:paraId="28151214">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负责人（代表）负责项目实施过程中的协调、沟通工作，如提出需求变更、发起并召开需求研讨会、协商并签订合同备忘录、确认进度、签署工程联系单及验收报告等一切事宜。乙方项目负责人（代表）的变更应征得甲方同意，并提前</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 xml:space="preserve">个工作日书面通知对方，变更后的乙方项目负责人（代表）资质不得低于变更前的项目负责人。 </w:t>
      </w:r>
    </w:p>
    <w:p w14:paraId="6CB9745F">
      <w:pPr>
        <w:keepNext w:val="0"/>
        <w:keepLines w:val="0"/>
        <w:pageBreakBefore w:val="0"/>
        <w:tabs>
          <w:tab w:val="left" w:pos="540"/>
        </w:tabs>
        <w:kinsoku/>
        <w:wordWrap/>
        <w:overflowPunct/>
        <w:topLinePunct w:val="0"/>
        <w:autoSpaceDE/>
        <w:autoSpaceDN/>
        <w:bidi w:val="0"/>
        <w:spacing w:line="360" w:lineRule="auto"/>
        <w:ind w:firstLine="420" w:firstLineChars="19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 xml:space="preserve">五、甲乙双方权利与义务 </w:t>
      </w:r>
    </w:p>
    <w:p w14:paraId="6C982608">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（一）甲方权利与义务 </w:t>
      </w:r>
    </w:p>
    <w:p w14:paraId="4A0CE2E8">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（1）甲方提出项目任务和需求，协助乙方进行项目的总体组织工作，并保留根据实际工作需求，提出对项目建设方案进行适当修改的权利。 </w:t>
      </w:r>
    </w:p>
    <w:p w14:paraId="3FEBE57F">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（2）甲方应为调研、安装、测试、调试等乙方工作提供必要的工作环境及协助人员。 </w:t>
      </w:r>
    </w:p>
    <w:p w14:paraId="38D31312">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val="zh-CN"/>
        </w:rPr>
        <w:t>）甲方负责协调项目用户单位及其他涉及项目的政府部门与乙方的关系，配合乙方进行需求调研工作。</w:t>
      </w:r>
    </w:p>
    <w:p w14:paraId="71D25CD3">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4</w:t>
      </w:r>
      <w:r>
        <w:rPr>
          <w:rFonts w:hint="eastAsia" w:ascii="新宋体" w:hAnsi="新宋体" w:eastAsia="新宋体" w:cs="新宋体"/>
          <w:color w:val="auto"/>
          <w:sz w:val="22"/>
          <w:szCs w:val="22"/>
          <w:highlight w:val="none"/>
          <w:lang w:val="zh-CN"/>
        </w:rPr>
        <w:t>）甲方对乙方向甲方提供的内部资料予以保密，且不向任何第三方泄露乙方的商业机密和技术机密。</w:t>
      </w:r>
    </w:p>
    <w:p w14:paraId="6C9DFEDD">
      <w:pPr>
        <w:keepNext w:val="0"/>
        <w:keepLines w:val="0"/>
        <w:pageBreakBefore w:val="0"/>
        <w:tabs>
          <w:tab w:val="left" w:pos="540"/>
        </w:tabs>
        <w:kinsoku/>
        <w:wordWrap/>
        <w:overflowPunct/>
        <w:topLinePunct w:val="0"/>
        <w:autoSpaceDE/>
        <w:autoSpaceDN/>
        <w:bidi w:val="0"/>
        <w:spacing w:line="360" w:lineRule="auto"/>
        <w:ind w:firstLine="418" w:firstLineChars="19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（二）乙方权利与义务 </w:t>
      </w:r>
    </w:p>
    <w:p w14:paraId="18B9E74C">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zh-CN"/>
        </w:rPr>
        <w:t>）乙方应根据</w:t>
      </w:r>
      <w:r>
        <w:rPr>
          <w:rFonts w:hint="eastAsia" w:ascii="新宋体" w:hAnsi="新宋体" w:eastAsia="新宋体" w:cs="新宋体"/>
          <w:color w:val="auto"/>
          <w:sz w:val="22"/>
          <w:szCs w:val="22"/>
          <w:highlight w:val="none"/>
        </w:rPr>
        <w:t>项目服务</w:t>
      </w:r>
      <w:r>
        <w:rPr>
          <w:rFonts w:hint="eastAsia" w:ascii="新宋体" w:hAnsi="新宋体" w:eastAsia="新宋体" w:cs="新宋体"/>
          <w:color w:val="auto"/>
          <w:sz w:val="22"/>
          <w:szCs w:val="22"/>
          <w:highlight w:val="none"/>
          <w:lang w:val="zh-CN"/>
        </w:rPr>
        <w:t>方案及采购文件的基本技术要求编制详细设计方案，</w:t>
      </w:r>
      <w:r>
        <w:rPr>
          <w:rFonts w:hint="eastAsia" w:ascii="新宋体" w:hAnsi="新宋体" w:eastAsia="新宋体" w:cs="新宋体"/>
          <w:color w:val="auto"/>
          <w:sz w:val="22"/>
          <w:szCs w:val="22"/>
          <w:highlight w:val="none"/>
        </w:rPr>
        <w:t>并经甲方书面同意认可</w:t>
      </w: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乙方</w:t>
      </w:r>
      <w:r>
        <w:rPr>
          <w:rFonts w:hint="eastAsia" w:ascii="新宋体" w:hAnsi="新宋体" w:eastAsia="新宋体" w:cs="新宋体"/>
          <w:color w:val="auto"/>
          <w:sz w:val="22"/>
          <w:szCs w:val="22"/>
          <w:highlight w:val="none"/>
          <w:lang w:val="zh-CN"/>
        </w:rPr>
        <w:t>负责项目的具体实施工作。</w:t>
      </w:r>
    </w:p>
    <w:p w14:paraId="63C5026A">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val="zh-CN"/>
        </w:rPr>
        <w:t>）乙方保证按合同规定时间完工，在</w:t>
      </w:r>
      <w:r>
        <w:rPr>
          <w:rFonts w:hint="eastAsia" w:ascii="新宋体" w:hAnsi="新宋体" w:eastAsia="新宋体" w:cs="新宋体"/>
          <w:color w:val="auto"/>
          <w:sz w:val="22"/>
          <w:szCs w:val="22"/>
          <w:highlight w:val="none"/>
        </w:rPr>
        <w:t>部署完成时</w:t>
      </w:r>
      <w:r>
        <w:rPr>
          <w:rFonts w:hint="eastAsia" w:ascii="新宋体" w:hAnsi="新宋体" w:eastAsia="新宋体" w:cs="新宋体"/>
          <w:color w:val="auto"/>
          <w:sz w:val="22"/>
          <w:szCs w:val="22"/>
          <w:highlight w:val="none"/>
          <w:lang w:val="zh-CN"/>
        </w:rPr>
        <w:t>提交完整的相应技术文档及用户手册，并积极配合甲方对项目进行验收。</w:t>
      </w:r>
    </w:p>
    <w:p w14:paraId="18F79ADC">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根据项目实施需要及甲方书面同意，乙方可以向有资质的第三方采购产品或服务。在乙方采购第三方产品或服务时，乙方与第三方的合同中，要把本合同中乙方的义务及涉及第三方的相关条款纳入到乙方与第三方的合同中，以便甲方对第三方实施有效的管理和制约。乙方与第三方签订的合同应向甲方提供一份原件备案。</w:t>
      </w:r>
    </w:p>
    <w:p w14:paraId="1512B2FF">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4</w:t>
      </w:r>
      <w:r>
        <w:rPr>
          <w:rFonts w:hint="eastAsia" w:ascii="新宋体" w:hAnsi="新宋体" w:eastAsia="新宋体" w:cs="新宋体"/>
          <w:color w:val="auto"/>
          <w:sz w:val="22"/>
          <w:szCs w:val="22"/>
          <w:highlight w:val="none"/>
          <w:lang w:val="zh-CN"/>
        </w:rPr>
        <w:t>）乙方应对甲方提供的硬件及系统运行中获取的，包括但不限于甲方联系方式等内部资料采取必要的保密技术手段，不得运用于乙方任何研发、销售、技术分析等用途，且不得向任何第三方泄露甲方的任何内部资料（</w:t>
      </w:r>
      <w:r>
        <w:rPr>
          <w:rFonts w:hint="eastAsia" w:ascii="新宋体" w:hAnsi="新宋体" w:eastAsia="新宋体" w:cs="新宋体"/>
          <w:color w:val="auto"/>
          <w:sz w:val="22"/>
          <w:szCs w:val="22"/>
          <w:highlight w:val="none"/>
        </w:rPr>
        <w:t>包括因乙方管理不善或技术问题导致泄露）。</w:t>
      </w:r>
    </w:p>
    <w:p w14:paraId="40CF7D00">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5</w:t>
      </w:r>
      <w:r>
        <w:rPr>
          <w:rFonts w:hint="eastAsia" w:ascii="新宋体" w:hAnsi="新宋体" w:eastAsia="新宋体" w:cs="新宋体"/>
          <w:color w:val="auto"/>
          <w:sz w:val="22"/>
          <w:szCs w:val="22"/>
          <w:highlight w:val="none"/>
          <w:lang w:val="zh-CN"/>
        </w:rPr>
        <w:t>）乙方应满足</w:t>
      </w:r>
      <w:r>
        <w:rPr>
          <w:rFonts w:hint="eastAsia" w:ascii="新宋体" w:hAnsi="新宋体" w:eastAsia="新宋体" w:cs="新宋体"/>
          <w:color w:val="auto"/>
          <w:sz w:val="22"/>
          <w:szCs w:val="22"/>
          <w:highlight w:val="none"/>
        </w:rPr>
        <w:t>本合同及本次</w:t>
      </w:r>
      <w:r>
        <w:rPr>
          <w:rFonts w:hint="eastAsia" w:ascii="新宋体" w:hAnsi="新宋体" w:eastAsia="新宋体" w:cs="新宋体"/>
          <w:color w:val="auto"/>
          <w:sz w:val="22"/>
          <w:szCs w:val="22"/>
          <w:highlight w:val="none"/>
          <w:lang w:eastAsia="zh-CN"/>
        </w:rPr>
        <w:t>采购文件</w:t>
      </w:r>
      <w:r>
        <w:rPr>
          <w:rFonts w:hint="eastAsia" w:ascii="新宋体" w:hAnsi="新宋体" w:eastAsia="新宋体" w:cs="新宋体"/>
          <w:color w:val="auto"/>
          <w:sz w:val="22"/>
          <w:szCs w:val="22"/>
          <w:highlight w:val="none"/>
        </w:rPr>
        <w:t>中列明的</w:t>
      </w:r>
      <w:r>
        <w:rPr>
          <w:rFonts w:hint="eastAsia" w:ascii="新宋体" w:hAnsi="新宋体" w:eastAsia="新宋体" w:cs="新宋体"/>
          <w:color w:val="auto"/>
          <w:sz w:val="22"/>
          <w:szCs w:val="22"/>
          <w:highlight w:val="none"/>
          <w:lang w:val="zh-CN"/>
        </w:rPr>
        <w:t>产品质量标准，并保证软件、硬件的运行不影响甲方</w:t>
      </w:r>
      <w:r>
        <w:rPr>
          <w:rFonts w:hint="eastAsia" w:ascii="新宋体" w:hAnsi="新宋体" w:eastAsia="新宋体" w:cs="新宋体"/>
          <w:color w:val="auto"/>
          <w:sz w:val="22"/>
          <w:szCs w:val="22"/>
          <w:highlight w:val="none"/>
          <w:lang w:val="en-US" w:eastAsia="zh-CN"/>
        </w:rPr>
        <w:t>及甲方最终客户</w:t>
      </w:r>
      <w:r>
        <w:rPr>
          <w:rFonts w:hint="eastAsia" w:ascii="新宋体" w:hAnsi="新宋体" w:eastAsia="新宋体" w:cs="新宋体"/>
          <w:color w:val="auto"/>
          <w:sz w:val="22"/>
          <w:szCs w:val="22"/>
          <w:highlight w:val="none"/>
          <w:lang w:val="zh-CN"/>
        </w:rPr>
        <w:t>内部网络信息安全性和保密性，因乙方没有履行上述义务造成甲方被第三方追责或损失的，乙方应承担全部责任，甲方先行赔偿的，有权按赔偿金额及损失向乙方追偿。</w:t>
      </w:r>
    </w:p>
    <w:p w14:paraId="34C272C1">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本项目中，乙方提供的系统软件的知识产权、专利权、技术转让权、软件源代码为乙方所有，但是应甲方要求为甲方定制开发部分的软</w:t>
      </w:r>
      <w:r>
        <w:rPr>
          <w:rFonts w:hint="eastAsia" w:ascii="新宋体" w:hAnsi="新宋体" w:eastAsia="新宋体" w:cs="新宋体"/>
          <w:color w:val="auto"/>
          <w:sz w:val="22"/>
          <w:szCs w:val="22"/>
          <w:highlight w:val="none"/>
          <w:lang w:val="zh-CN"/>
        </w:rPr>
        <w:t>件知识产权、专利</w:t>
      </w:r>
      <w:r>
        <w:rPr>
          <w:rFonts w:hint="eastAsia" w:ascii="新宋体" w:hAnsi="新宋体" w:eastAsia="新宋体" w:cs="新宋体"/>
          <w:color w:val="auto"/>
          <w:sz w:val="22"/>
          <w:szCs w:val="22"/>
          <w:highlight w:val="none"/>
        </w:rPr>
        <w:t>权</w:t>
      </w:r>
      <w:r>
        <w:rPr>
          <w:rFonts w:hint="eastAsia" w:ascii="新宋体" w:hAnsi="新宋体" w:eastAsia="新宋体" w:cs="新宋体"/>
          <w:color w:val="auto"/>
          <w:sz w:val="22"/>
          <w:szCs w:val="22"/>
          <w:highlight w:val="none"/>
          <w:lang w:val="zh-CN"/>
        </w:rPr>
        <w:t>、技术转让权、软件源代码</w:t>
      </w:r>
      <w:r>
        <w:rPr>
          <w:rFonts w:hint="eastAsia" w:ascii="新宋体" w:hAnsi="新宋体" w:eastAsia="新宋体" w:cs="新宋体"/>
          <w:color w:val="auto"/>
          <w:sz w:val="22"/>
          <w:szCs w:val="22"/>
          <w:highlight w:val="none"/>
        </w:rPr>
        <w:t>归属甲方</w:t>
      </w:r>
      <w:r>
        <w:rPr>
          <w:rFonts w:hint="eastAsia" w:ascii="新宋体" w:hAnsi="新宋体" w:eastAsia="新宋体" w:cs="新宋体"/>
          <w:color w:val="auto"/>
          <w:sz w:val="22"/>
          <w:szCs w:val="22"/>
          <w:highlight w:val="none"/>
          <w:lang w:val="zh-CN"/>
        </w:rPr>
        <w:t>。</w:t>
      </w:r>
    </w:p>
    <w:p w14:paraId="37914D4C">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7</w:t>
      </w:r>
      <w:r>
        <w:rPr>
          <w:rFonts w:hint="eastAsia" w:ascii="新宋体" w:hAnsi="新宋体" w:eastAsia="新宋体" w:cs="新宋体"/>
          <w:color w:val="auto"/>
          <w:sz w:val="22"/>
          <w:szCs w:val="22"/>
          <w:highlight w:val="none"/>
          <w:lang w:val="zh-CN"/>
        </w:rPr>
        <w:t>）因乙方原因造成</w:t>
      </w:r>
      <w:r>
        <w:rPr>
          <w:rFonts w:hint="eastAsia" w:ascii="新宋体" w:hAnsi="新宋体" w:eastAsia="新宋体" w:cs="新宋体"/>
          <w:color w:val="auto"/>
          <w:sz w:val="22"/>
          <w:szCs w:val="22"/>
          <w:highlight w:val="none"/>
        </w:rPr>
        <w:t>甲方</w:t>
      </w:r>
      <w:r>
        <w:rPr>
          <w:rFonts w:hint="eastAsia" w:ascii="新宋体" w:hAnsi="新宋体" w:eastAsia="新宋体" w:cs="新宋体"/>
          <w:color w:val="auto"/>
          <w:sz w:val="22"/>
          <w:szCs w:val="22"/>
          <w:highlight w:val="none"/>
          <w:lang w:val="en-US" w:eastAsia="zh-CN"/>
        </w:rPr>
        <w:t>及最终客户</w:t>
      </w:r>
      <w:r>
        <w:rPr>
          <w:rFonts w:hint="eastAsia" w:ascii="新宋体" w:hAnsi="新宋体" w:eastAsia="新宋体" w:cs="新宋体"/>
          <w:color w:val="auto"/>
          <w:sz w:val="22"/>
          <w:szCs w:val="22"/>
          <w:highlight w:val="none"/>
          <w:lang w:val="zh-CN"/>
        </w:rPr>
        <w:t>设备遗失的，由乙方向甲方</w:t>
      </w:r>
      <w:r>
        <w:rPr>
          <w:rFonts w:hint="eastAsia" w:ascii="新宋体" w:hAnsi="新宋体" w:eastAsia="新宋体" w:cs="新宋体"/>
          <w:color w:val="auto"/>
          <w:sz w:val="22"/>
          <w:szCs w:val="22"/>
          <w:highlight w:val="none"/>
          <w:lang w:val="en-US" w:eastAsia="zh-CN"/>
        </w:rPr>
        <w:t>及/或甲方最终客户</w:t>
      </w:r>
      <w:r>
        <w:rPr>
          <w:rFonts w:hint="eastAsia" w:ascii="新宋体" w:hAnsi="新宋体" w:eastAsia="新宋体" w:cs="新宋体"/>
          <w:color w:val="auto"/>
          <w:sz w:val="22"/>
          <w:szCs w:val="22"/>
          <w:highlight w:val="none"/>
          <w:lang w:val="zh-CN"/>
        </w:rPr>
        <w:t>照价赔偿；因乙方原因造成设备故障</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zh-CN"/>
        </w:rPr>
        <w:t>损坏、数据丢失的，由乙方负责恢复原状并承担由此对甲方</w:t>
      </w:r>
      <w:r>
        <w:rPr>
          <w:rFonts w:hint="eastAsia" w:ascii="新宋体" w:hAnsi="新宋体" w:eastAsia="新宋体" w:cs="新宋体"/>
          <w:color w:val="auto"/>
          <w:sz w:val="22"/>
          <w:szCs w:val="22"/>
          <w:highlight w:val="none"/>
          <w:lang w:val="en-US" w:eastAsia="zh-CN"/>
        </w:rPr>
        <w:t>及/或最终客户</w:t>
      </w:r>
      <w:r>
        <w:rPr>
          <w:rFonts w:hint="eastAsia" w:ascii="新宋体" w:hAnsi="新宋体" w:eastAsia="新宋体" w:cs="新宋体"/>
          <w:color w:val="auto"/>
          <w:sz w:val="22"/>
          <w:szCs w:val="22"/>
          <w:highlight w:val="none"/>
          <w:lang w:val="zh-CN"/>
        </w:rPr>
        <w:t>造成的相关损失。</w:t>
      </w:r>
    </w:p>
    <w:p w14:paraId="49B2F930">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（8）本合同对应的标书中对乙方责任的界定等同于本合同对乙方责任的界定，乙方要遵守。</w:t>
      </w:r>
    </w:p>
    <w:p w14:paraId="3B2D30C9">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（9）乙方对此合同对应的标书进行的应标文件中的承诺，等同于此合同对乙方责任的界定，乙方要遵守。</w:t>
      </w:r>
    </w:p>
    <w:p w14:paraId="13EDD9FC">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（10）乙方有义务确保软件、硬件与甲方或</w:t>
      </w:r>
      <w:r>
        <w:rPr>
          <w:rFonts w:hint="eastAsia" w:ascii="新宋体" w:hAnsi="新宋体" w:eastAsia="新宋体" w:cs="新宋体"/>
          <w:color w:val="auto"/>
          <w:sz w:val="22"/>
          <w:szCs w:val="22"/>
          <w:highlight w:val="none"/>
          <w:lang w:val="zh-CN"/>
        </w:rPr>
        <w:t>项目用户单位</w:t>
      </w:r>
      <w:r>
        <w:rPr>
          <w:rFonts w:hint="eastAsia" w:ascii="新宋体" w:hAnsi="新宋体" w:eastAsia="新宋体" w:cs="新宋体"/>
          <w:color w:val="auto"/>
          <w:sz w:val="22"/>
          <w:szCs w:val="22"/>
          <w:highlight w:val="none"/>
        </w:rPr>
        <w:t>现有系统的承接以及后期其他项目建设的衔接。本合同履行期满后，乙方仍应按甲方及项目用户单位需求无偿提供技术资料及技术咨询等，以便后期项目建设衔接。</w:t>
      </w:r>
    </w:p>
    <w:p w14:paraId="23878E55">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rPr>
        <w:t xml:space="preserve"> </w:t>
      </w:r>
      <w:r>
        <w:rPr>
          <w:rFonts w:hint="eastAsia" w:ascii="新宋体" w:hAnsi="新宋体" w:eastAsia="新宋体" w:cs="新宋体"/>
          <w:b/>
          <w:bCs/>
          <w:color w:val="auto"/>
          <w:sz w:val="22"/>
          <w:szCs w:val="22"/>
          <w:highlight w:val="none"/>
        </w:rPr>
        <w:t xml:space="preserve">六、项目验收 </w:t>
      </w:r>
    </w:p>
    <w:p w14:paraId="3A610E63">
      <w:pPr>
        <w:keepNext w:val="0"/>
        <w:keepLines w:val="0"/>
        <w:pageBreakBefore w:val="0"/>
        <w:widowControl/>
        <w:kinsoku/>
        <w:wordWrap/>
        <w:overflowPunct/>
        <w:topLinePunct w:val="0"/>
        <w:autoSpaceDE/>
        <w:autoSpaceDN/>
        <w:bidi w:val="0"/>
        <w:spacing w:line="360" w:lineRule="auto"/>
        <w:ind w:firstLine="442" w:firstLineChars="200"/>
        <w:jc w:val="lef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乙方完成系统及服务部署上线，稳定运行</w:t>
      </w:r>
      <w:r>
        <w:rPr>
          <w:rFonts w:hint="eastAsia" w:ascii="新宋体" w:hAnsi="新宋体" w:eastAsia="新宋体" w:cs="新宋体"/>
          <w:b/>
          <w:bCs/>
          <w:color w:val="auto"/>
          <w:sz w:val="22"/>
          <w:szCs w:val="22"/>
          <w:highlight w:val="none"/>
          <w:lang w:val="en-US" w:eastAsia="zh-CN"/>
        </w:rPr>
        <w:t>不少于1</w:t>
      </w:r>
      <w:r>
        <w:rPr>
          <w:rFonts w:hint="eastAsia" w:ascii="新宋体" w:hAnsi="新宋体" w:eastAsia="新宋体" w:cs="新宋体"/>
          <w:b/>
          <w:bCs/>
          <w:color w:val="auto"/>
          <w:sz w:val="22"/>
          <w:szCs w:val="22"/>
          <w:highlight w:val="none"/>
        </w:rPr>
        <w:t>个月后提交验收材料。</w:t>
      </w:r>
    </w:p>
    <w:p w14:paraId="4EB8220D">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1、验收标准：甲方按照</w:t>
      </w:r>
      <w:r>
        <w:rPr>
          <w:rFonts w:hint="eastAsia" w:ascii="新宋体" w:hAnsi="新宋体" w:eastAsia="新宋体" w:cs="新宋体"/>
          <w:color w:val="auto"/>
          <w:sz w:val="22"/>
          <w:szCs w:val="22"/>
          <w:highlight w:val="none"/>
          <w:lang w:eastAsia="zh-CN"/>
        </w:rPr>
        <w:t>采购文件</w:t>
      </w:r>
      <w:r>
        <w:rPr>
          <w:rFonts w:hint="eastAsia" w:ascii="新宋体" w:hAnsi="新宋体" w:eastAsia="新宋体" w:cs="新宋体"/>
          <w:color w:val="auto"/>
          <w:sz w:val="22"/>
          <w:szCs w:val="22"/>
          <w:highlight w:val="none"/>
        </w:rPr>
        <w:t>、响应文件、采购合同等约定的质量、数量、技术指标或者服务要求设置验收指标及其标准进行验收。</w:t>
      </w:r>
    </w:p>
    <w:p w14:paraId="434F1011">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2、项目整体验收 </w:t>
      </w:r>
    </w:p>
    <w:p w14:paraId="1C43B130">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项目涉及的各系统全部验收完成后，甲方收到乙方申请后组织验收组进行整体验收，验收合格后甲方应当出具项目整体验收合格报告。 </w:t>
      </w:r>
    </w:p>
    <w:p w14:paraId="0B29608E">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3、验收标准要符合</w:t>
      </w:r>
      <w:r>
        <w:rPr>
          <w:rFonts w:hint="eastAsia" w:ascii="新宋体" w:hAnsi="新宋体" w:eastAsia="新宋体" w:cs="新宋体"/>
          <w:color w:val="auto"/>
          <w:sz w:val="22"/>
          <w:szCs w:val="22"/>
          <w:highlight w:val="none"/>
          <w:lang w:eastAsia="zh-CN"/>
        </w:rPr>
        <w:t>采购文件</w:t>
      </w:r>
      <w:r>
        <w:rPr>
          <w:rFonts w:hint="eastAsia" w:ascii="新宋体" w:hAnsi="新宋体" w:eastAsia="新宋体" w:cs="新宋体"/>
          <w:color w:val="auto"/>
          <w:sz w:val="22"/>
          <w:szCs w:val="22"/>
          <w:highlight w:val="none"/>
        </w:rPr>
        <w:t xml:space="preserve">及项目合同条款中所规定的要求。 </w:t>
      </w:r>
    </w:p>
    <w:p w14:paraId="79AB842D">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4、若乙方迟延申请验收的，甲方不承担由此造成的任何损失。 </w:t>
      </w:r>
    </w:p>
    <w:p w14:paraId="09B07B73">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5、无论是分项验收还是整体验收，一旦出现验收不合格的，甲方有权责令乙方立即采取补救措施，同时向乙方发出整改通知书。乙方在收到整改通知书后应按照整改通知书中的整改内容、整改时间等要求进行整改。整改结束后，由乙方通知甲方重新验收。 </w:t>
      </w:r>
    </w:p>
    <w:p w14:paraId="75AC49BB">
      <w:pPr>
        <w:keepNext w:val="0"/>
        <w:keepLines w:val="0"/>
        <w:pageBreakBefore w:val="0"/>
        <w:widowControl/>
        <w:kinsoku/>
        <w:wordWrap/>
        <w:overflowPunct/>
        <w:topLinePunct w:val="0"/>
        <w:autoSpaceDE/>
        <w:autoSpaceDN/>
        <w:bidi w:val="0"/>
        <w:spacing w:line="360" w:lineRule="auto"/>
        <w:ind w:firstLine="442" w:firstLineChars="200"/>
        <w:jc w:val="lef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 xml:space="preserve">七、服务保障 </w:t>
      </w:r>
    </w:p>
    <w:p w14:paraId="4725AA87">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1、乙方应按合同规定的平台性能、技术要求、质量标准向甲方提供符合</w:t>
      </w:r>
      <w:r>
        <w:rPr>
          <w:rFonts w:hint="eastAsia" w:ascii="新宋体" w:hAnsi="新宋体" w:eastAsia="新宋体" w:cs="新宋体"/>
          <w:color w:val="auto"/>
          <w:sz w:val="22"/>
          <w:szCs w:val="22"/>
          <w:highlight w:val="none"/>
          <w:lang w:eastAsia="zh-CN"/>
        </w:rPr>
        <w:t>采购文件</w:t>
      </w:r>
      <w:r>
        <w:rPr>
          <w:rFonts w:hint="eastAsia" w:ascii="新宋体" w:hAnsi="新宋体" w:eastAsia="新宋体" w:cs="新宋体"/>
          <w:color w:val="auto"/>
          <w:sz w:val="22"/>
          <w:szCs w:val="22"/>
          <w:highlight w:val="none"/>
        </w:rPr>
        <w:t xml:space="preserve">参数要求的功能。 </w:t>
      </w:r>
    </w:p>
    <w:p w14:paraId="50A644A4">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2、服务期内每年故障率不得超过</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天，如达不到要求，每超过</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天，服务费扣除</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 xml:space="preserve">。 </w:t>
      </w:r>
    </w:p>
    <w:p w14:paraId="4D1F88A4">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3、服务期内，乙方提供软件免费客户化修改与免费升级服务，并为用户后续的信息化建设提供长期的技术支持。 </w:t>
      </w:r>
    </w:p>
    <w:p w14:paraId="0E10018E">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4、服务期内，乙方应当提供 7×24 小时电话支持服务。乙方接到甲方维修通知后 1 个小时内响应，1个小时内排除故障。对于维保期内不能修复的产品/件，乙方应在12个小时内免费更换备品备件。若乙方因主观或客观原因未能及时顺利为甲方排除故障，甲方可自行安排维修，维修费用由乙方承担。 </w:t>
      </w:r>
    </w:p>
    <w:p w14:paraId="662165AB">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5、乙方应具备较完备的信息技术服务管理体系，遵循信息技术服务运行维护服务能力成熟度模型标准，以响应甲方的技术服务要求。同时，乙方还应具备较完备的业务连续性管理体系，在售后服务支持人员等方面的配备上，应优先考虑参与过项目实施的人员，以确保所提供的服务的连续性。 </w:t>
      </w:r>
    </w:p>
    <w:p w14:paraId="0922D64B">
      <w:pPr>
        <w:keepNext w:val="0"/>
        <w:keepLines w:val="0"/>
        <w:pageBreakBefore w:val="0"/>
        <w:widowControl/>
        <w:kinsoku/>
        <w:wordWrap/>
        <w:overflowPunct/>
        <w:topLinePunct w:val="0"/>
        <w:autoSpaceDE/>
        <w:autoSpaceDN/>
        <w:bidi w:val="0"/>
        <w:spacing w:line="360" w:lineRule="auto"/>
        <w:ind w:firstLine="442" w:firstLineChars="200"/>
        <w:jc w:val="lef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 xml:space="preserve">八、关于知识产权 </w:t>
      </w:r>
    </w:p>
    <w:p w14:paraId="5C5348A0">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1、乙方拥有软件的版权（即著作权）。甲方</w:t>
      </w:r>
      <w:r>
        <w:rPr>
          <w:rFonts w:hint="eastAsia" w:ascii="新宋体" w:hAnsi="新宋体" w:eastAsia="新宋体" w:cs="新宋体"/>
          <w:color w:val="auto"/>
          <w:sz w:val="22"/>
          <w:szCs w:val="22"/>
          <w:highlight w:val="none"/>
          <w:lang w:val="en-US" w:eastAsia="zh-CN"/>
        </w:rPr>
        <w:t>及甲方最终客户</w:t>
      </w:r>
      <w:r>
        <w:rPr>
          <w:rFonts w:hint="eastAsia" w:ascii="新宋体" w:hAnsi="新宋体" w:eastAsia="新宋体" w:cs="新宋体"/>
          <w:color w:val="auto"/>
          <w:sz w:val="22"/>
          <w:szCs w:val="22"/>
          <w:highlight w:val="none"/>
        </w:rPr>
        <w:t xml:space="preserve">拥有在内部的使用权。 </w:t>
      </w:r>
    </w:p>
    <w:p w14:paraId="3A9B4B4B">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2、乙方保证向甲方交付的平台、软件、技术资料等，不会侵犯任何第三人的专利权、著作权、商标权、商业秘密、其他知识产权或者其他民事权利。如乙方违反上述规定，则乙方应负责消除甲方拥有并使用乙方交付的平台、软件、技术资料等所存在的全部法律障碍，并赔偿所有损失。 </w:t>
      </w:r>
    </w:p>
    <w:p w14:paraId="67382085">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3、甲方应遵守国家《计算机软件保护条例》等有关规定，不得以任何形式再次转让、租赁该软件，并不得以任何形式或手段解密乙方软件</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但甲方与甲方最终客户之间关于乙方软件的转让、租赁等不受该条款限制</w:t>
      </w:r>
      <w:r>
        <w:rPr>
          <w:rFonts w:hint="eastAsia" w:ascii="新宋体" w:hAnsi="新宋体" w:eastAsia="新宋体" w:cs="新宋体"/>
          <w:color w:val="auto"/>
          <w:sz w:val="22"/>
          <w:szCs w:val="22"/>
          <w:highlight w:val="none"/>
        </w:rPr>
        <w:t xml:space="preserve">。 </w:t>
      </w:r>
    </w:p>
    <w:p w14:paraId="31843997">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4、乙方向甲方开放数据库结构，并提供设计文档和说明。 </w:t>
      </w:r>
    </w:p>
    <w:p w14:paraId="6A9F0646">
      <w:pPr>
        <w:keepNext w:val="0"/>
        <w:keepLines w:val="0"/>
        <w:pageBreakBefore w:val="0"/>
        <w:widowControl/>
        <w:kinsoku/>
        <w:wordWrap/>
        <w:overflowPunct/>
        <w:topLinePunct w:val="0"/>
        <w:autoSpaceDE/>
        <w:autoSpaceDN/>
        <w:bidi w:val="0"/>
        <w:spacing w:line="360" w:lineRule="auto"/>
        <w:ind w:firstLine="442" w:firstLineChars="200"/>
        <w:jc w:val="lef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 xml:space="preserve">九、保密条款 </w:t>
      </w:r>
    </w:p>
    <w:p w14:paraId="15C2E1EA">
      <w:pPr>
        <w:pStyle w:val="155"/>
        <w:keepNext w:val="0"/>
        <w:keepLines w:val="0"/>
        <w:pageBreakBefore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kinsoku/>
        <w:wordWrap/>
        <w:overflowPunct/>
        <w:topLinePunct w:val="0"/>
        <w:autoSpaceDE/>
        <w:autoSpaceDN/>
        <w:bidi w:val="0"/>
        <w:spacing w:before="0" w:line="360" w:lineRule="auto"/>
        <w:ind w:firstLine="440"/>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lang w:val="zh-CN"/>
        </w:rPr>
        <w:t>（一）甲方向乙方提供的所有资料，仅供本项目小组人员参考使用，乙方须严守资料中所涉秘密、妥善保管，不得遗失、转借、复印。乙方更换本项目小组成员时应获得甲方书面同意，否则甲方有权直接扣除合同总金额</w:t>
      </w:r>
      <w:r>
        <w:rPr>
          <w:rFonts w:hint="eastAsia" w:ascii="新宋体" w:hAnsi="新宋体" w:eastAsia="新宋体" w:cs="新宋体"/>
          <w:b/>
          <w:bCs/>
          <w:color w:val="auto"/>
          <w:sz w:val="22"/>
          <w:szCs w:val="22"/>
          <w:highlight w:val="none"/>
          <w:u w:val="single"/>
          <w:shd w:val="clear" w:color="auto" w:fill="FFFFFF"/>
        </w:rPr>
        <w:t xml:space="preserve"> </w:t>
      </w:r>
      <w:r>
        <w:rPr>
          <w:rFonts w:hint="eastAsia" w:ascii="新宋体" w:hAnsi="新宋体" w:eastAsia="新宋体" w:cs="新宋体"/>
          <w:color w:val="auto"/>
          <w:sz w:val="22"/>
          <w:szCs w:val="22"/>
          <w:highlight w:val="none"/>
          <w:u w:val="single"/>
          <w:shd w:val="clear" w:color="auto" w:fill="FFFFFF"/>
        </w:rPr>
        <w:t>5</w:t>
      </w:r>
      <w:r>
        <w:rPr>
          <w:rFonts w:hint="eastAsia" w:ascii="新宋体" w:hAnsi="新宋体" w:eastAsia="新宋体" w:cs="新宋体"/>
          <w:b/>
          <w:bCs/>
          <w:color w:val="auto"/>
          <w:sz w:val="22"/>
          <w:szCs w:val="22"/>
          <w:highlight w:val="none"/>
          <w:u w:val="single"/>
          <w:shd w:val="clear" w:color="auto" w:fill="FFFFFF"/>
        </w:rPr>
        <w:t xml:space="preserve"> </w:t>
      </w:r>
      <w:r>
        <w:rPr>
          <w:rFonts w:hint="eastAsia" w:ascii="新宋体" w:hAnsi="新宋体" w:eastAsia="新宋体" w:cs="新宋体"/>
          <w:color w:val="auto"/>
          <w:sz w:val="22"/>
          <w:szCs w:val="22"/>
          <w:highlight w:val="none"/>
          <w:shd w:val="clear" w:color="auto" w:fill="FFFFFF"/>
        </w:rPr>
        <w:t>%作为违约赔偿</w:t>
      </w:r>
      <w:r>
        <w:rPr>
          <w:rFonts w:hint="eastAsia" w:ascii="新宋体" w:hAnsi="新宋体" w:eastAsia="新宋体" w:cs="新宋体"/>
          <w:color w:val="auto"/>
          <w:sz w:val="22"/>
          <w:szCs w:val="22"/>
          <w:highlight w:val="none"/>
          <w:shd w:val="clear" w:color="auto" w:fill="FFFFFF"/>
          <w:lang w:val="zh-CN"/>
        </w:rPr>
        <w:t>。</w:t>
      </w:r>
    </w:p>
    <w:p w14:paraId="3CF90045">
      <w:pPr>
        <w:pStyle w:val="155"/>
        <w:keepNext w:val="0"/>
        <w:keepLines w:val="0"/>
        <w:pageBreakBefore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kinsoku/>
        <w:wordWrap/>
        <w:overflowPunct/>
        <w:topLinePunct w:val="0"/>
        <w:autoSpaceDE/>
        <w:autoSpaceDN/>
        <w:bidi w:val="0"/>
        <w:spacing w:before="0" w:line="360" w:lineRule="auto"/>
        <w:ind w:firstLine="440"/>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lang w:val="zh-CN"/>
        </w:rPr>
        <w:t>（二）乙方发现甲方的保密事项已经泄露或可能泄露时，应当立即采取补救措施，并及时书面报告甲方。</w:t>
      </w:r>
    </w:p>
    <w:p w14:paraId="62C469FD">
      <w:pPr>
        <w:pStyle w:val="155"/>
        <w:keepNext w:val="0"/>
        <w:keepLines w:val="0"/>
        <w:pageBreakBefore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kinsoku/>
        <w:wordWrap/>
        <w:overflowPunct/>
        <w:topLinePunct w:val="0"/>
        <w:autoSpaceDE/>
        <w:autoSpaceDN/>
        <w:bidi w:val="0"/>
        <w:spacing w:before="0" w:line="360" w:lineRule="auto"/>
        <w:ind w:firstLine="440"/>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lang w:val="zh-CN"/>
        </w:rPr>
        <w:t>（三）本项目完成后</w:t>
      </w:r>
      <w:r>
        <w:rPr>
          <w:rFonts w:hint="eastAsia" w:ascii="新宋体" w:hAnsi="新宋体" w:eastAsia="新宋体" w:cs="新宋体"/>
          <w:color w:val="auto"/>
          <w:sz w:val="22"/>
          <w:szCs w:val="22"/>
          <w:highlight w:val="none"/>
          <w:u w:val="single"/>
          <w:shd w:val="clear" w:color="auto" w:fill="FFFFFF"/>
        </w:rPr>
        <w:t xml:space="preserve">    </w:t>
      </w:r>
      <w:r>
        <w:rPr>
          <w:rFonts w:hint="eastAsia" w:ascii="新宋体" w:hAnsi="新宋体" w:eastAsia="新宋体" w:cs="新宋体"/>
          <w:color w:val="auto"/>
          <w:sz w:val="22"/>
          <w:szCs w:val="22"/>
          <w:highlight w:val="none"/>
          <w:shd w:val="clear" w:color="auto" w:fill="FFFFFF"/>
          <w:lang w:val="zh-CN"/>
        </w:rPr>
        <w:t>天内，乙方应主动退还本项目过程中甲方提供的全部资料。</w:t>
      </w:r>
    </w:p>
    <w:p w14:paraId="018D140B">
      <w:pPr>
        <w:keepNext w:val="0"/>
        <w:keepLines w:val="0"/>
        <w:pageBreakBefore w:val="0"/>
        <w:kinsoku/>
        <w:wordWrap/>
        <w:overflowPunct/>
        <w:topLinePunct w:val="0"/>
        <w:autoSpaceDE/>
        <w:autoSpaceDN/>
        <w:bidi w:val="0"/>
        <w:spacing w:line="360" w:lineRule="auto"/>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shd w:val="clear" w:color="auto" w:fill="FFFFFF"/>
          <w:lang w:val="zh-CN"/>
        </w:rPr>
        <w:t>（四）乙方在接受和退还涉密内容的资料时建立登记制度。</w:t>
      </w:r>
    </w:p>
    <w:p w14:paraId="328D305A">
      <w:pPr>
        <w:pStyle w:val="155"/>
        <w:keepNext w:val="0"/>
        <w:keepLines w:val="0"/>
        <w:pageBreakBefore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kinsoku/>
        <w:wordWrap/>
        <w:overflowPunct/>
        <w:topLinePunct w:val="0"/>
        <w:autoSpaceDE/>
        <w:autoSpaceDN/>
        <w:bidi w:val="0"/>
        <w:spacing w:before="0" w:line="360" w:lineRule="auto"/>
        <w:ind w:firstLine="440"/>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lang w:val="zh-CN"/>
        </w:rPr>
        <w:t>（</w:t>
      </w:r>
      <w:r>
        <w:rPr>
          <w:rFonts w:hint="eastAsia" w:ascii="新宋体" w:hAnsi="新宋体" w:eastAsia="新宋体" w:cs="新宋体"/>
          <w:color w:val="auto"/>
          <w:sz w:val="22"/>
          <w:szCs w:val="22"/>
          <w:highlight w:val="none"/>
          <w:shd w:val="clear" w:color="auto" w:fill="FFFFFF"/>
        </w:rPr>
        <w:t>五</w:t>
      </w:r>
      <w:r>
        <w:rPr>
          <w:rFonts w:hint="eastAsia" w:ascii="新宋体" w:hAnsi="新宋体" w:eastAsia="新宋体" w:cs="新宋体"/>
          <w:color w:val="auto"/>
          <w:sz w:val="22"/>
          <w:szCs w:val="22"/>
          <w:highlight w:val="none"/>
          <w:shd w:val="clear" w:color="auto" w:fill="FFFFFF"/>
          <w:lang w:val="zh-CN"/>
        </w:rPr>
        <w:t>）乙方造成的</w:t>
      </w:r>
      <w:r>
        <w:rPr>
          <w:rFonts w:hint="eastAsia" w:ascii="新宋体" w:hAnsi="新宋体" w:eastAsia="新宋体" w:cs="新宋体"/>
          <w:color w:val="auto"/>
          <w:sz w:val="22"/>
          <w:szCs w:val="22"/>
          <w:highlight w:val="none"/>
          <w:shd w:val="clear" w:color="auto" w:fill="FFFFFF"/>
        </w:rPr>
        <w:t>泄露</w:t>
      </w:r>
      <w:r>
        <w:rPr>
          <w:rFonts w:hint="eastAsia" w:ascii="新宋体" w:hAnsi="新宋体" w:eastAsia="新宋体" w:cs="新宋体"/>
          <w:color w:val="auto"/>
          <w:sz w:val="22"/>
          <w:szCs w:val="22"/>
          <w:highlight w:val="none"/>
          <w:shd w:val="clear" w:color="auto" w:fill="FFFFFF"/>
          <w:lang w:val="zh-CN"/>
        </w:rPr>
        <w:t>失密事件，乙方应承担违约责任，向甲方支付违约金，违约金数额为本合同总价的</w:t>
      </w:r>
      <w:r>
        <w:rPr>
          <w:rFonts w:hint="eastAsia" w:ascii="新宋体" w:hAnsi="新宋体" w:eastAsia="新宋体" w:cs="新宋体"/>
          <w:color w:val="auto"/>
          <w:sz w:val="22"/>
          <w:szCs w:val="22"/>
          <w:highlight w:val="none"/>
          <w:shd w:val="clear" w:color="auto" w:fill="FFFFFF"/>
        </w:rPr>
        <w:t>30%</w:t>
      </w:r>
      <w:r>
        <w:rPr>
          <w:rFonts w:hint="eastAsia" w:ascii="新宋体" w:hAnsi="新宋体" w:eastAsia="新宋体" w:cs="新宋体"/>
          <w:color w:val="auto"/>
          <w:sz w:val="22"/>
          <w:szCs w:val="22"/>
          <w:highlight w:val="none"/>
          <w:shd w:val="clear" w:color="auto" w:fill="FFFFFF"/>
          <w:lang w:val="zh-CN"/>
        </w:rPr>
        <w:t>，若泄密事件造成甲方的实际经济损失大于违约金数额，则乙方应赔偿甲方实际经济损失；构成刑事犯罪的，还应依法追究刑事责任。</w:t>
      </w:r>
    </w:p>
    <w:p w14:paraId="7A1A16B9">
      <w:pPr>
        <w:pStyle w:val="155"/>
        <w:keepNext w:val="0"/>
        <w:keepLines w:val="0"/>
        <w:pageBreakBefore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kinsoku/>
        <w:wordWrap/>
        <w:overflowPunct/>
        <w:topLinePunct w:val="0"/>
        <w:autoSpaceDE/>
        <w:autoSpaceDN/>
        <w:bidi w:val="0"/>
        <w:spacing w:before="0" w:line="360" w:lineRule="auto"/>
        <w:ind w:firstLine="440"/>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lang w:val="zh-CN"/>
        </w:rPr>
        <w:t>（</w:t>
      </w:r>
      <w:r>
        <w:rPr>
          <w:rFonts w:hint="eastAsia" w:ascii="新宋体" w:hAnsi="新宋体" w:eastAsia="新宋体" w:cs="新宋体"/>
          <w:color w:val="auto"/>
          <w:sz w:val="22"/>
          <w:szCs w:val="22"/>
          <w:highlight w:val="none"/>
          <w:shd w:val="clear" w:color="auto" w:fill="FFFFFF"/>
        </w:rPr>
        <w:t>六</w:t>
      </w:r>
      <w:r>
        <w:rPr>
          <w:rFonts w:hint="eastAsia" w:ascii="新宋体" w:hAnsi="新宋体" w:eastAsia="新宋体" w:cs="新宋体"/>
          <w:color w:val="auto"/>
          <w:sz w:val="22"/>
          <w:szCs w:val="22"/>
          <w:highlight w:val="none"/>
          <w:shd w:val="clear" w:color="auto" w:fill="FFFFFF"/>
          <w:lang w:val="zh-CN"/>
        </w:rPr>
        <w:t>）本项目所有文档及本项目所接触的双方资料，未经对方授权代表书面许可，不得向与合同无关的其他方泄漏任何技术文件或与合同有关的数据，包括合同本身。不论本协议或合同是否期满、变更、解除、终止，本条款均有效。</w:t>
      </w:r>
    </w:p>
    <w:p w14:paraId="32C96657">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lang w:val="zh-CN"/>
        </w:rPr>
      </w:pPr>
      <w:r>
        <w:rPr>
          <w:rFonts w:hint="eastAsia" w:ascii="新宋体" w:hAnsi="新宋体" w:eastAsia="新宋体" w:cs="新宋体"/>
          <w:color w:val="auto"/>
          <w:sz w:val="22"/>
          <w:szCs w:val="22"/>
          <w:highlight w:val="none"/>
          <w:shd w:val="clear" w:color="auto" w:fill="FFFFFF"/>
          <w:lang w:val="zh-CN"/>
        </w:rPr>
        <w:t>（</w:t>
      </w:r>
      <w:r>
        <w:rPr>
          <w:rFonts w:hint="eastAsia" w:ascii="新宋体" w:hAnsi="新宋体" w:eastAsia="新宋体" w:cs="新宋体"/>
          <w:color w:val="auto"/>
          <w:sz w:val="22"/>
          <w:szCs w:val="22"/>
          <w:highlight w:val="none"/>
          <w:shd w:val="clear" w:color="auto" w:fill="FFFFFF"/>
        </w:rPr>
        <w:t>七</w:t>
      </w:r>
      <w:r>
        <w:rPr>
          <w:rFonts w:hint="eastAsia" w:ascii="新宋体" w:hAnsi="新宋体" w:eastAsia="新宋体" w:cs="新宋体"/>
          <w:color w:val="auto"/>
          <w:sz w:val="22"/>
          <w:szCs w:val="22"/>
          <w:highlight w:val="none"/>
          <w:shd w:val="clear" w:color="auto" w:fill="FFFFFF"/>
          <w:lang w:val="zh-CN"/>
        </w:rPr>
        <w:t>）乙方应与甲方签订安全保密协议，乙方应开展安全教育，落实安全监管措施，指派具有相应技术能力的人员对操作行为全程监督、严格审计。</w:t>
      </w:r>
    </w:p>
    <w:p w14:paraId="35A97F08">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shd w:val="clear" w:color="auto" w:fill="FFFFFF"/>
          <w:lang w:val="zh-CN"/>
        </w:rPr>
        <w:t>（</w:t>
      </w:r>
      <w:r>
        <w:rPr>
          <w:rFonts w:hint="eastAsia" w:ascii="新宋体" w:hAnsi="新宋体" w:eastAsia="新宋体" w:cs="新宋体"/>
          <w:color w:val="auto"/>
          <w:sz w:val="22"/>
          <w:szCs w:val="22"/>
          <w:highlight w:val="none"/>
          <w:shd w:val="clear" w:color="auto" w:fill="FFFFFF"/>
        </w:rPr>
        <w:t>八）</w:t>
      </w:r>
      <w:r>
        <w:rPr>
          <w:rFonts w:hint="eastAsia" w:ascii="新宋体" w:hAnsi="新宋体" w:eastAsia="新宋体" w:cs="新宋体"/>
          <w:color w:val="auto"/>
          <w:kern w:val="0"/>
          <w:sz w:val="22"/>
          <w:szCs w:val="22"/>
          <w:highlight w:val="none"/>
        </w:rPr>
        <w:t xml:space="preserve">保密期限：永久。 </w:t>
      </w:r>
    </w:p>
    <w:p w14:paraId="17F65CF2">
      <w:pPr>
        <w:keepNext w:val="0"/>
        <w:keepLines w:val="0"/>
        <w:pageBreakBefore w:val="0"/>
        <w:widowControl/>
        <w:kinsoku/>
        <w:wordWrap/>
        <w:overflowPunct/>
        <w:topLinePunct w:val="0"/>
        <w:autoSpaceDE/>
        <w:autoSpaceDN/>
        <w:bidi w:val="0"/>
        <w:spacing w:line="360" w:lineRule="auto"/>
        <w:ind w:firstLine="442" w:firstLineChars="200"/>
        <w:jc w:val="left"/>
        <w:textAlignment w:val="auto"/>
        <w:rPr>
          <w:rFonts w:hint="eastAsia" w:ascii="新宋体" w:hAnsi="新宋体" w:eastAsia="新宋体" w:cs="新宋体"/>
          <w:color w:val="auto"/>
          <w:sz w:val="22"/>
          <w:szCs w:val="22"/>
          <w:highlight w:val="none"/>
          <w:shd w:val="clear" w:color="auto" w:fill="FFFFFF"/>
          <w:lang w:val="zh-CN"/>
        </w:rPr>
      </w:pPr>
      <w:r>
        <w:rPr>
          <w:rFonts w:hint="eastAsia" w:ascii="新宋体" w:hAnsi="新宋体" w:eastAsia="新宋体" w:cs="新宋体"/>
          <w:b/>
          <w:bCs/>
          <w:color w:val="auto"/>
          <w:sz w:val="22"/>
          <w:szCs w:val="22"/>
          <w:highlight w:val="none"/>
          <w:shd w:val="clear" w:color="auto" w:fill="FFFFFF"/>
        </w:rPr>
        <w:t>十、违约责任</w:t>
      </w:r>
      <w:r>
        <w:rPr>
          <w:rFonts w:hint="eastAsia" w:ascii="新宋体" w:hAnsi="新宋体" w:eastAsia="新宋体" w:cs="新宋体"/>
          <w:color w:val="auto"/>
          <w:sz w:val="22"/>
          <w:szCs w:val="22"/>
          <w:highlight w:val="none"/>
          <w:shd w:val="clear" w:color="auto" w:fill="FFFFFF"/>
        </w:rPr>
        <w:t xml:space="preserve"> </w:t>
      </w:r>
    </w:p>
    <w:p w14:paraId="08064909">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1、在履行合同的过程中，如果乙方遇到除不可抗力因素外的情形导致不能按照合同规定的时间完成系统实施和提供服务时，应当在情况发生后2日内以书面形式将拖延的事实、可能拖延的时间和原因通知甲方。甲方在收到乙方通知后，应尽快对情况进行评价，并确定是否酌情延长交货时间和提供服务时间以及是否不收取误期赔偿费</w:t>
      </w:r>
      <w:r>
        <w:rPr>
          <w:rFonts w:hint="eastAsia" w:ascii="新宋体" w:hAnsi="新宋体" w:eastAsia="新宋体" w:cs="新宋体"/>
          <w:color w:val="auto"/>
          <w:sz w:val="22"/>
          <w:szCs w:val="22"/>
          <w:highlight w:val="none"/>
          <w:shd w:val="clear" w:color="auto" w:fill="FFFFFF"/>
          <w:lang w:eastAsia="zh-CN"/>
        </w:rPr>
        <w:t>。</w:t>
      </w:r>
      <w:r>
        <w:rPr>
          <w:rFonts w:hint="eastAsia" w:ascii="新宋体" w:hAnsi="新宋体" w:eastAsia="新宋体" w:cs="新宋体"/>
          <w:color w:val="auto"/>
          <w:sz w:val="22"/>
          <w:szCs w:val="22"/>
          <w:highlight w:val="none"/>
          <w:shd w:val="clear" w:color="auto" w:fill="FFFFFF"/>
          <w:lang w:val="en-US" w:eastAsia="zh-CN"/>
        </w:rPr>
        <w:t>如乙方未通知甲方或通知甲方但甲方不同意延期的，乙方应按照本合同约定承担违约责任</w:t>
      </w:r>
    </w:p>
    <w:p w14:paraId="02608336">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2、乙方应提供项目所需的软件硬件符合国家、部门、行业相关技术标准的证明，且不侵犯任何第三方包括但不限于知识产权等任何权益，并保证该软件硬件的运行不影响甲方</w:t>
      </w:r>
      <w:r>
        <w:rPr>
          <w:rFonts w:hint="eastAsia" w:ascii="新宋体" w:hAnsi="新宋体" w:eastAsia="新宋体" w:cs="新宋体"/>
          <w:color w:val="auto"/>
          <w:sz w:val="22"/>
          <w:szCs w:val="22"/>
          <w:highlight w:val="none"/>
          <w:shd w:val="clear" w:color="auto" w:fill="FFFFFF"/>
          <w:lang w:val="en-US" w:eastAsia="zh-CN"/>
        </w:rPr>
        <w:t>及/或甲方最终客户</w:t>
      </w:r>
      <w:r>
        <w:rPr>
          <w:rFonts w:hint="eastAsia" w:ascii="新宋体" w:hAnsi="新宋体" w:eastAsia="新宋体" w:cs="新宋体"/>
          <w:color w:val="auto"/>
          <w:sz w:val="22"/>
          <w:szCs w:val="22"/>
          <w:highlight w:val="none"/>
          <w:shd w:val="clear" w:color="auto" w:fill="FFFFFF"/>
        </w:rPr>
        <w:t xml:space="preserve">内部网络信息安全性和保密性问题，因乙方没有履行上述义务造成甲方被第三方追责或损失的，所有责任与损失均由乙方承担，如甲方先行承担的，有权向乙方追偿。乙方应当同时用相同功能的合法软件硬件进行替换，或者取得相关授权，确保能够继续履行本合同所规定的各项权利，并且乙方应当赔偿甲方由此而造成的损失。 </w:t>
      </w:r>
    </w:p>
    <w:p w14:paraId="4A8B141B">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3、乙方逾期交付安装使用的，每延期一天按合同总额的</w:t>
      </w:r>
      <w:r>
        <w:rPr>
          <w:rFonts w:hint="eastAsia" w:ascii="新宋体" w:hAnsi="新宋体" w:eastAsia="新宋体" w:cs="新宋体"/>
          <w:color w:val="auto"/>
          <w:sz w:val="22"/>
          <w:szCs w:val="22"/>
          <w:highlight w:val="none"/>
          <w:u w:val="single"/>
          <w:shd w:val="clear" w:color="auto" w:fill="FFFFFF"/>
        </w:rPr>
        <w:t xml:space="preserve">    </w:t>
      </w:r>
      <w:r>
        <w:rPr>
          <w:rFonts w:hint="eastAsia" w:ascii="新宋体" w:hAnsi="新宋体" w:eastAsia="新宋体" w:cs="新宋体"/>
          <w:color w:val="auto"/>
          <w:sz w:val="22"/>
          <w:szCs w:val="22"/>
          <w:highlight w:val="none"/>
          <w:shd w:val="clear" w:color="auto" w:fill="FFFFFF"/>
        </w:rPr>
        <w:t>支付违约金，违约金总额不超过合同总额</w:t>
      </w:r>
      <w:r>
        <w:rPr>
          <w:rFonts w:hint="eastAsia" w:ascii="新宋体" w:hAnsi="新宋体" w:eastAsia="新宋体" w:cs="新宋体"/>
          <w:color w:val="auto"/>
          <w:sz w:val="22"/>
          <w:szCs w:val="22"/>
          <w:highlight w:val="none"/>
          <w:u w:val="single"/>
          <w:shd w:val="clear" w:color="auto" w:fill="FFFFFF"/>
        </w:rPr>
        <w:t xml:space="preserve">    </w:t>
      </w:r>
      <w:r>
        <w:rPr>
          <w:rFonts w:hint="eastAsia" w:ascii="新宋体" w:hAnsi="新宋体" w:eastAsia="新宋体" w:cs="新宋体"/>
          <w:color w:val="auto"/>
          <w:sz w:val="22"/>
          <w:szCs w:val="22"/>
          <w:highlight w:val="none"/>
          <w:shd w:val="clear" w:color="auto" w:fill="FFFFFF"/>
        </w:rPr>
        <w:t>；若超过合同规定时间</w:t>
      </w:r>
      <w:r>
        <w:rPr>
          <w:rFonts w:hint="eastAsia" w:ascii="新宋体" w:hAnsi="新宋体" w:eastAsia="新宋体" w:cs="新宋体"/>
          <w:color w:val="auto"/>
          <w:sz w:val="22"/>
          <w:szCs w:val="22"/>
          <w:highlight w:val="none"/>
          <w:u w:val="single"/>
          <w:shd w:val="clear" w:color="auto" w:fill="FFFFFF"/>
        </w:rPr>
        <w:t xml:space="preserve">     </w:t>
      </w:r>
      <w:r>
        <w:rPr>
          <w:rFonts w:hint="eastAsia" w:ascii="新宋体" w:hAnsi="新宋体" w:eastAsia="新宋体" w:cs="新宋体"/>
          <w:color w:val="auto"/>
          <w:sz w:val="22"/>
          <w:szCs w:val="22"/>
          <w:highlight w:val="none"/>
          <w:shd w:val="clear" w:color="auto" w:fill="FFFFFF"/>
        </w:rPr>
        <w:t>天乙方还不能如期交付安装使用，甲方有权解除合同，并要求乙方返还已付</w:t>
      </w:r>
      <w:r>
        <w:rPr>
          <w:rFonts w:hint="eastAsia" w:ascii="新宋体" w:hAnsi="新宋体" w:eastAsia="新宋体" w:cs="新宋体"/>
          <w:color w:val="auto"/>
          <w:sz w:val="22"/>
          <w:szCs w:val="22"/>
          <w:highlight w:val="none"/>
          <w:shd w:val="clear" w:color="auto" w:fill="FFFFFF"/>
          <w:lang w:val="en-US" w:eastAsia="zh-CN"/>
        </w:rPr>
        <w:t>款项</w:t>
      </w:r>
      <w:r>
        <w:rPr>
          <w:rFonts w:hint="eastAsia" w:ascii="新宋体" w:hAnsi="新宋体" w:eastAsia="新宋体" w:cs="新宋体"/>
          <w:color w:val="auto"/>
          <w:sz w:val="22"/>
          <w:szCs w:val="22"/>
          <w:highlight w:val="none"/>
          <w:shd w:val="clear" w:color="auto" w:fill="FFFFFF"/>
        </w:rPr>
        <w:t>并支付合同总</w:t>
      </w:r>
      <w:r>
        <w:rPr>
          <w:rFonts w:hint="eastAsia" w:ascii="新宋体" w:hAnsi="新宋体" w:eastAsia="新宋体" w:cs="新宋体"/>
          <w:color w:val="auto"/>
          <w:sz w:val="22"/>
          <w:szCs w:val="22"/>
          <w:highlight w:val="none"/>
          <w:shd w:val="clear" w:color="auto" w:fill="FFFFFF"/>
          <w:lang w:val="en-US" w:eastAsia="zh-CN"/>
        </w:rPr>
        <w:t>金</w:t>
      </w:r>
      <w:r>
        <w:rPr>
          <w:rFonts w:hint="eastAsia" w:ascii="新宋体" w:hAnsi="新宋体" w:eastAsia="新宋体" w:cs="新宋体"/>
          <w:color w:val="auto"/>
          <w:sz w:val="22"/>
          <w:szCs w:val="22"/>
          <w:highlight w:val="none"/>
          <w:shd w:val="clear" w:color="auto" w:fill="FFFFFF"/>
        </w:rPr>
        <w:t>额</w:t>
      </w:r>
      <w:r>
        <w:rPr>
          <w:rFonts w:hint="eastAsia" w:ascii="新宋体" w:hAnsi="新宋体" w:eastAsia="新宋体" w:cs="新宋体"/>
          <w:color w:val="auto"/>
          <w:sz w:val="22"/>
          <w:szCs w:val="22"/>
          <w:highlight w:val="none"/>
          <w:u w:val="single"/>
          <w:shd w:val="clear" w:color="auto" w:fill="FFFFFF"/>
        </w:rPr>
        <w:t xml:space="preserve">    </w:t>
      </w:r>
      <w:r>
        <w:rPr>
          <w:rFonts w:hint="eastAsia" w:ascii="新宋体" w:hAnsi="新宋体" w:eastAsia="新宋体" w:cs="新宋体"/>
          <w:color w:val="auto"/>
          <w:sz w:val="22"/>
          <w:szCs w:val="22"/>
          <w:highlight w:val="none"/>
          <w:shd w:val="clear" w:color="auto" w:fill="FFFFFF"/>
        </w:rPr>
        <w:t>违约金。</w:t>
      </w:r>
    </w:p>
    <w:p w14:paraId="63B8F05B">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4、乙方所交付的项目功能、技术参数、质量不符合合同规定标准的，甲方提出整改意见，乙方需于</w:t>
      </w:r>
      <w:r>
        <w:rPr>
          <w:rFonts w:hint="eastAsia" w:ascii="新宋体" w:hAnsi="新宋体" w:eastAsia="新宋体" w:cs="新宋体"/>
          <w:color w:val="auto"/>
          <w:sz w:val="22"/>
          <w:szCs w:val="22"/>
          <w:highlight w:val="none"/>
          <w:u w:val="single"/>
          <w:shd w:val="clear" w:color="auto" w:fill="FFFFFF"/>
        </w:rPr>
        <w:t xml:space="preserve">    </w:t>
      </w:r>
      <w:r>
        <w:rPr>
          <w:rFonts w:hint="eastAsia" w:ascii="新宋体" w:hAnsi="新宋体" w:eastAsia="新宋体" w:cs="新宋体"/>
          <w:color w:val="auto"/>
          <w:sz w:val="22"/>
          <w:szCs w:val="22"/>
          <w:highlight w:val="none"/>
          <w:shd w:val="clear" w:color="auto" w:fill="FFFFFF"/>
        </w:rPr>
        <w:t>日内整改到位，并向甲方申请验收，否则甲方可单方面解除合同，并且甲方可以依其认为适当的条件和方法购买与未交产品类似的产品或服务，乙方应承担甲方因购买类似产品或服务而产生的额外支出</w:t>
      </w:r>
      <w:r>
        <w:rPr>
          <w:rFonts w:hint="eastAsia" w:ascii="新宋体" w:hAnsi="新宋体" w:eastAsia="新宋体" w:cs="新宋体"/>
          <w:color w:val="auto"/>
          <w:sz w:val="22"/>
          <w:szCs w:val="22"/>
          <w:highlight w:val="none"/>
          <w:shd w:val="clear" w:color="auto" w:fill="FFFFFF"/>
          <w:lang w:eastAsia="zh-CN"/>
        </w:rPr>
        <w:t>，</w:t>
      </w:r>
      <w:r>
        <w:rPr>
          <w:rFonts w:hint="eastAsia" w:ascii="新宋体" w:hAnsi="新宋体" w:eastAsia="新宋体" w:cs="新宋体"/>
          <w:color w:val="auto"/>
          <w:sz w:val="22"/>
          <w:szCs w:val="22"/>
          <w:highlight w:val="none"/>
          <w:shd w:val="clear" w:color="auto" w:fill="FFFFFF"/>
          <w:lang w:val="en-US" w:eastAsia="zh-CN"/>
        </w:rPr>
        <w:t>同时，乙方应向甲方支付合同总金额</w:t>
      </w:r>
      <w:r>
        <w:rPr>
          <w:rFonts w:hint="eastAsia" w:ascii="新宋体" w:hAnsi="新宋体" w:eastAsia="新宋体" w:cs="新宋体"/>
          <w:color w:val="auto"/>
          <w:sz w:val="22"/>
          <w:szCs w:val="22"/>
          <w:highlight w:val="none"/>
          <w:u w:val="single"/>
          <w:shd w:val="clear" w:color="auto" w:fill="FFFFFF"/>
          <w:lang w:val="en-US" w:eastAsia="zh-CN"/>
        </w:rPr>
        <w:t xml:space="preserve">    </w:t>
      </w:r>
      <w:r>
        <w:rPr>
          <w:rFonts w:hint="eastAsia" w:ascii="新宋体" w:hAnsi="新宋体" w:eastAsia="新宋体" w:cs="新宋体"/>
          <w:color w:val="auto"/>
          <w:sz w:val="22"/>
          <w:szCs w:val="22"/>
          <w:highlight w:val="none"/>
          <w:shd w:val="clear" w:color="auto" w:fill="FFFFFF"/>
          <w:lang w:val="en-US" w:eastAsia="zh-CN"/>
        </w:rPr>
        <w:t>的违约金</w:t>
      </w:r>
      <w:r>
        <w:rPr>
          <w:rFonts w:hint="eastAsia" w:ascii="新宋体" w:hAnsi="新宋体" w:eastAsia="新宋体" w:cs="新宋体"/>
          <w:color w:val="auto"/>
          <w:sz w:val="22"/>
          <w:szCs w:val="22"/>
          <w:highlight w:val="none"/>
          <w:shd w:val="clear" w:color="auto" w:fill="FFFFFF"/>
        </w:rPr>
        <w:t xml:space="preserve">。 </w:t>
      </w:r>
    </w:p>
    <w:p w14:paraId="6B075A09">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5、乙方在服务期内未响应一次的，应向甲方支付违约金</w:t>
      </w:r>
      <w:r>
        <w:rPr>
          <w:rFonts w:hint="eastAsia" w:ascii="新宋体" w:hAnsi="新宋体" w:eastAsia="新宋体" w:cs="新宋体"/>
          <w:color w:val="auto"/>
          <w:sz w:val="22"/>
          <w:szCs w:val="22"/>
          <w:highlight w:val="none"/>
          <w:u w:val="single"/>
          <w:shd w:val="clear" w:color="auto" w:fill="FFFFFF"/>
        </w:rPr>
        <w:t xml:space="preserve">    </w:t>
      </w:r>
      <w:r>
        <w:rPr>
          <w:rFonts w:hint="eastAsia" w:ascii="新宋体" w:hAnsi="新宋体" w:eastAsia="新宋体" w:cs="新宋体"/>
          <w:color w:val="auto"/>
          <w:sz w:val="22"/>
          <w:szCs w:val="22"/>
          <w:highlight w:val="none"/>
          <w:shd w:val="clear" w:color="auto" w:fill="FFFFFF"/>
        </w:rPr>
        <w:t>万元；乙方在一自然年度内超过5次（含）以上未响应的，甲方有权单方解除本合同并要求乙方支付违约金</w:t>
      </w:r>
      <w:r>
        <w:rPr>
          <w:rFonts w:hint="eastAsia" w:ascii="新宋体" w:hAnsi="新宋体" w:eastAsia="新宋体" w:cs="新宋体"/>
          <w:color w:val="auto"/>
          <w:sz w:val="22"/>
          <w:szCs w:val="22"/>
          <w:highlight w:val="none"/>
          <w:u w:val="single"/>
          <w:shd w:val="clear" w:color="auto" w:fill="FFFFFF"/>
        </w:rPr>
        <w:t xml:space="preserve">    </w:t>
      </w:r>
      <w:r>
        <w:rPr>
          <w:rFonts w:hint="eastAsia" w:ascii="新宋体" w:hAnsi="新宋体" w:eastAsia="新宋体" w:cs="新宋体"/>
          <w:color w:val="auto"/>
          <w:sz w:val="22"/>
          <w:szCs w:val="22"/>
          <w:highlight w:val="none"/>
          <w:shd w:val="clear" w:color="auto" w:fill="FFFFFF"/>
        </w:rPr>
        <w:t xml:space="preserve">万元。 </w:t>
      </w:r>
    </w:p>
    <w:p w14:paraId="7C9E0096">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 xml:space="preserve">6、乙方不能因系统开发而影响甲方正常业务开展，否则甲方有权向乙方追诉因此所造成的损失。 </w:t>
      </w:r>
    </w:p>
    <w:p w14:paraId="38BE90D7">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7、在协议签署后，在工期内，如果甲方发现乙方无法保证甲方所有数据完整转移到乙方提供的系统上用于实际系统的运营，导致有效数据丢失的，甲方有权单方面解除合同，并要求乙方在</w:t>
      </w:r>
      <w:r>
        <w:rPr>
          <w:rFonts w:hint="eastAsia" w:ascii="新宋体" w:hAnsi="新宋体" w:eastAsia="新宋体" w:cs="新宋体"/>
          <w:color w:val="auto"/>
          <w:sz w:val="22"/>
          <w:szCs w:val="22"/>
          <w:highlight w:val="none"/>
          <w:u w:val="single"/>
          <w:shd w:val="clear" w:color="auto" w:fill="FFFFFF"/>
          <w:lang w:eastAsia="zh-CN"/>
        </w:rPr>
        <w:t>【】</w:t>
      </w:r>
      <w:r>
        <w:rPr>
          <w:rFonts w:hint="eastAsia" w:ascii="新宋体" w:hAnsi="新宋体" w:eastAsia="新宋体" w:cs="新宋体"/>
          <w:color w:val="auto"/>
          <w:sz w:val="22"/>
          <w:szCs w:val="22"/>
          <w:highlight w:val="none"/>
          <w:u w:val="single"/>
          <w:shd w:val="clear" w:color="auto" w:fill="FFFFFF"/>
        </w:rPr>
        <w:t xml:space="preserve"> </w:t>
      </w:r>
      <w:r>
        <w:rPr>
          <w:rFonts w:hint="eastAsia" w:ascii="新宋体" w:hAnsi="新宋体" w:eastAsia="新宋体" w:cs="新宋体"/>
          <w:color w:val="auto"/>
          <w:sz w:val="22"/>
          <w:szCs w:val="22"/>
          <w:highlight w:val="none"/>
          <w:shd w:val="clear" w:color="auto" w:fill="FFFFFF"/>
        </w:rPr>
        <w:t>个工作日内无条件向甲方退还甲方支付给乙方的所有款项，并有权要求乙方按照甲方已付款项的</w:t>
      </w:r>
      <w:r>
        <w:rPr>
          <w:rFonts w:hint="eastAsia" w:ascii="新宋体" w:hAnsi="新宋体" w:eastAsia="新宋体" w:cs="新宋体"/>
          <w:color w:val="auto"/>
          <w:sz w:val="22"/>
          <w:szCs w:val="22"/>
          <w:highlight w:val="none"/>
          <w:u w:val="single"/>
          <w:shd w:val="clear" w:color="auto" w:fill="FFFFFF"/>
        </w:rPr>
        <w:t xml:space="preserve">    </w:t>
      </w:r>
      <w:r>
        <w:rPr>
          <w:rFonts w:hint="eastAsia" w:ascii="新宋体" w:hAnsi="新宋体" w:eastAsia="新宋体" w:cs="新宋体"/>
          <w:color w:val="auto"/>
          <w:sz w:val="22"/>
          <w:szCs w:val="22"/>
          <w:highlight w:val="none"/>
          <w:shd w:val="clear" w:color="auto" w:fill="FFFFFF"/>
        </w:rPr>
        <w:t xml:space="preserve"> %支付违约金（从甲方支付之日起算）。甲方需要重新组织招标的，所需费用由乙方承担。</w:t>
      </w:r>
    </w:p>
    <w:p w14:paraId="1BF6B4E2">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 xml:space="preserve">8、在服务期内，凡系统在安装、调试、试运行过程中出现的质量问题，由乙方负责处理。乙方承担发生的一切费用和因此而造成的一切直接经济损失。 </w:t>
      </w:r>
    </w:p>
    <w:p w14:paraId="1D8B44C3">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9、在本项目中，若验收不合格达三次及以上，每不合格一次，乙方需支付</w:t>
      </w:r>
      <w:r>
        <w:rPr>
          <w:rFonts w:hint="eastAsia" w:ascii="新宋体" w:hAnsi="新宋体" w:eastAsia="新宋体" w:cs="新宋体"/>
          <w:color w:val="auto"/>
          <w:sz w:val="22"/>
          <w:szCs w:val="22"/>
          <w:highlight w:val="none"/>
          <w:u w:val="single"/>
          <w:shd w:val="clear" w:color="auto" w:fill="FFFFFF"/>
        </w:rPr>
        <w:t xml:space="preserve">    </w:t>
      </w:r>
      <w:r>
        <w:rPr>
          <w:rFonts w:hint="eastAsia" w:ascii="新宋体" w:hAnsi="新宋体" w:eastAsia="新宋体" w:cs="新宋体"/>
          <w:color w:val="auto"/>
          <w:sz w:val="22"/>
          <w:szCs w:val="22"/>
          <w:highlight w:val="none"/>
          <w:shd w:val="clear" w:color="auto" w:fill="FFFFFF"/>
        </w:rPr>
        <w:t>万元违约金并且甲方有权单方面解除合同。同时，乙方应承担因多次验收不合格而给甲方造成的所有损失。</w:t>
      </w:r>
    </w:p>
    <w:p w14:paraId="33909BE8">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shd w:val="clear" w:color="auto" w:fill="FFFFFF"/>
        </w:rPr>
        <w:t>10、</w:t>
      </w:r>
      <w:r>
        <w:rPr>
          <w:rFonts w:hint="eastAsia" w:ascii="新宋体" w:hAnsi="新宋体" w:eastAsia="新宋体" w:cs="新宋体"/>
          <w:color w:val="auto"/>
          <w:sz w:val="22"/>
          <w:szCs w:val="22"/>
          <w:highlight w:val="none"/>
        </w:rPr>
        <w:t>从项目进场实施到项目通过整体验收时间不得超过2年，因乙方原因导致超时，甲方有权单方面终止合同，并且乙方应当赔偿甲方由此而造成的损失。</w:t>
      </w:r>
    </w:p>
    <w:p w14:paraId="611C0137">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lang w:val="en-US" w:eastAsia="zh-CN"/>
        </w:rPr>
        <w:t>11.</w:t>
      </w:r>
      <w:r>
        <w:rPr>
          <w:rFonts w:hint="eastAsia" w:ascii="新宋体" w:hAnsi="新宋体" w:eastAsia="新宋体" w:cs="新宋体"/>
          <w:color w:val="auto"/>
          <w:sz w:val="22"/>
          <w:szCs w:val="22"/>
          <w:highlight w:val="none"/>
          <w:shd w:val="clear" w:color="auto" w:fill="FFFFFF"/>
        </w:rPr>
        <w:t>无论守约方选择何种处理方式，违约方均需承担其因此给守约方实际及可能承受或遭致的所有处罚、责任、赔偿金或费用以及守约方因维权而产生的合理费用（包括但不限于律师费、公证费、仲裁费、诉讼费、赔偿金、差旅费、鉴定费、调查费、保全费、执行费、审计费、翻译费、因保全而产生的担保费用等）。</w:t>
      </w:r>
    </w:p>
    <w:p w14:paraId="446ECECA">
      <w:pPr>
        <w:keepNext w:val="0"/>
        <w:keepLines w:val="0"/>
        <w:pageBreakBefore w:val="0"/>
        <w:widowControl/>
        <w:kinsoku/>
        <w:wordWrap/>
        <w:overflowPunct/>
        <w:topLinePunct w:val="0"/>
        <w:autoSpaceDE/>
        <w:autoSpaceDN/>
        <w:bidi w:val="0"/>
        <w:spacing w:line="360" w:lineRule="auto"/>
        <w:ind w:firstLine="442" w:firstLineChars="200"/>
        <w:jc w:val="left"/>
        <w:textAlignment w:val="auto"/>
        <w:rPr>
          <w:rFonts w:hint="eastAsia" w:ascii="新宋体" w:hAnsi="新宋体" w:eastAsia="新宋体" w:cs="新宋体"/>
          <w:b/>
          <w:bCs/>
          <w:color w:val="auto"/>
          <w:sz w:val="22"/>
          <w:szCs w:val="22"/>
          <w:highlight w:val="none"/>
          <w:shd w:val="clear" w:color="auto" w:fill="FFFFFF"/>
        </w:rPr>
      </w:pPr>
      <w:r>
        <w:rPr>
          <w:rFonts w:hint="eastAsia" w:ascii="新宋体" w:hAnsi="新宋体" w:eastAsia="新宋体" w:cs="新宋体"/>
          <w:b/>
          <w:bCs/>
          <w:color w:val="auto"/>
          <w:sz w:val="22"/>
          <w:szCs w:val="22"/>
          <w:highlight w:val="none"/>
          <w:shd w:val="clear" w:color="auto" w:fill="FFFFFF"/>
        </w:rPr>
        <w:t xml:space="preserve">十一、不可抗力 </w:t>
      </w:r>
    </w:p>
    <w:p w14:paraId="51A0CDBE">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 xml:space="preserve">1、在合同规定的期限内，因受到自然灾害或人力不可抗拒的因素而造成系统实施或交付安装使用时间延期应视为允许的延迟。 </w:t>
      </w:r>
    </w:p>
    <w:p w14:paraId="52D0A626">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 xml:space="preserve">2、因不可抗力导致合同一方无法继续履行本合同时，遇不可抗力的一方应在不可抗力消除之日起七日内将事故情况书面告知另一方，并应在不可抗力消除之日起十五日内，提交事故详情及合同不能履行或者需要延期履行的书面资料，双方认可后协商终止合同条款或暂时延迟、顺延合同的履行。 </w:t>
      </w:r>
    </w:p>
    <w:p w14:paraId="43D9692F">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 xml:space="preserve">3、在不可抗力事件发生后，双方应努力寻求采取合理的补救措施，并履行不受不可抗力影响的其他事项。 </w:t>
      </w:r>
    </w:p>
    <w:p w14:paraId="6DFEE420">
      <w:pPr>
        <w:keepNext w:val="0"/>
        <w:keepLines w:val="0"/>
        <w:pageBreakBefore w:val="0"/>
        <w:widowControl/>
        <w:kinsoku/>
        <w:wordWrap/>
        <w:overflowPunct/>
        <w:topLinePunct w:val="0"/>
        <w:autoSpaceDE/>
        <w:autoSpaceDN/>
        <w:bidi w:val="0"/>
        <w:spacing w:line="360" w:lineRule="auto"/>
        <w:ind w:firstLine="442" w:firstLineChars="200"/>
        <w:jc w:val="left"/>
        <w:textAlignment w:val="auto"/>
        <w:rPr>
          <w:rFonts w:hint="eastAsia" w:ascii="新宋体" w:hAnsi="新宋体" w:eastAsia="新宋体" w:cs="新宋体"/>
          <w:b/>
          <w:bCs/>
          <w:color w:val="auto"/>
          <w:sz w:val="22"/>
          <w:szCs w:val="22"/>
          <w:highlight w:val="none"/>
          <w:shd w:val="clear" w:color="auto" w:fill="FFFFFF"/>
        </w:rPr>
      </w:pPr>
      <w:r>
        <w:rPr>
          <w:rFonts w:hint="eastAsia" w:ascii="新宋体" w:hAnsi="新宋体" w:eastAsia="新宋体" w:cs="新宋体"/>
          <w:b/>
          <w:bCs/>
          <w:color w:val="auto"/>
          <w:sz w:val="22"/>
          <w:szCs w:val="22"/>
          <w:highlight w:val="none"/>
          <w:shd w:val="clear" w:color="auto" w:fill="FFFFFF"/>
        </w:rPr>
        <w:t xml:space="preserve">十二、争议的解决 </w:t>
      </w:r>
    </w:p>
    <w:p w14:paraId="7A6A7C94">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 xml:space="preserve">1、甲乙双方在执行本合同所发生的一切争执和争议，都可及时友好协商解决；若协商不成，双方可以直接向甲方所在地人民法院提起诉讼。 </w:t>
      </w:r>
    </w:p>
    <w:p w14:paraId="378883C3">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 xml:space="preserve">2、本合同按照中华人民共和国的法律进行解释。 </w:t>
      </w:r>
    </w:p>
    <w:p w14:paraId="3DB06C29">
      <w:pPr>
        <w:keepNext w:val="0"/>
        <w:keepLines w:val="0"/>
        <w:pageBreakBefore w:val="0"/>
        <w:widowControl/>
        <w:kinsoku/>
        <w:wordWrap/>
        <w:overflowPunct/>
        <w:topLinePunct w:val="0"/>
        <w:autoSpaceDE/>
        <w:autoSpaceDN/>
        <w:bidi w:val="0"/>
        <w:spacing w:line="360" w:lineRule="auto"/>
        <w:ind w:firstLine="442" w:firstLineChars="200"/>
        <w:jc w:val="left"/>
        <w:textAlignment w:val="auto"/>
        <w:rPr>
          <w:rFonts w:hint="eastAsia" w:ascii="新宋体" w:hAnsi="新宋体" w:eastAsia="新宋体" w:cs="新宋体"/>
          <w:b/>
          <w:bCs/>
          <w:color w:val="auto"/>
          <w:sz w:val="22"/>
          <w:szCs w:val="22"/>
          <w:highlight w:val="none"/>
          <w:shd w:val="clear" w:color="auto" w:fill="FFFFFF"/>
        </w:rPr>
      </w:pPr>
      <w:r>
        <w:rPr>
          <w:rFonts w:hint="eastAsia" w:ascii="新宋体" w:hAnsi="新宋体" w:eastAsia="新宋体" w:cs="新宋体"/>
          <w:b/>
          <w:bCs/>
          <w:color w:val="auto"/>
          <w:sz w:val="22"/>
          <w:szCs w:val="22"/>
          <w:highlight w:val="none"/>
          <w:shd w:val="clear" w:color="auto" w:fill="FFFFFF"/>
        </w:rPr>
        <w:t xml:space="preserve">十三、合同生效及终止 </w:t>
      </w:r>
    </w:p>
    <w:p w14:paraId="59A6BA38">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 xml:space="preserve">1、本合同经双方授权代表签字盖章后生效。 </w:t>
      </w:r>
    </w:p>
    <w:p w14:paraId="002A1EC7">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 xml:space="preserve">2、合同生效后，不因法定代表人的变动而解除；甲、乙双方任何一方发生合并、分立时，由变更后的当事人承担履行合同的义务和享受应有的权利。 </w:t>
      </w:r>
    </w:p>
    <w:p w14:paraId="6FF51679">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 xml:space="preserve">3、本合同项下的双方权利义务全部履行完毕后，本合同终止。 </w:t>
      </w:r>
    </w:p>
    <w:p w14:paraId="7A789642">
      <w:pPr>
        <w:keepNext w:val="0"/>
        <w:keepLines w:val="0"/>
        <w:pageBreakBefore w:val="0"/>
        <w:widowControl/>
        <w:kinsoku/>
        <w:wordWrap/>
        <w:overflowPunct/>
        <w:topLinePunct w:val="0"/>
        <w:autoSpaceDE/>
        <w:autoSpaceDN/>
        <w:bidi w:val="0"/>
        <w:spacing w:line="360" w:lineRule="auto"/>
        <w:ind w:firstLine="442"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b/>
          <w:bCs/>
          <w:color w:val="auto"/>
          <w:sz w:val="22"/>
          <w:szCs w:val="22"/>
          <w:highlight w:val="none"/>
          <w:shd w:val="clear" w:color="auto" w:fill="FFFFFF"/>
        </w:rPr>
        <w:t>十四、合同的变更及修改</w:t>
      </w:r>
      <w:r>
        <w:rPr>
          <w:rFonts w:hint="eastAsia" w:ascii="新宋体" w:hAnsi="新宋体" w:eastAsia="新宋体" w:cs="新宋体"/>
          <w:color w:val="auto"/>
          <w:sz w:val="22"/>
          <w:szCs w:val="22"/>
          <w:highlight w:val="none"/>
          <w:shd w:val="clear" w:color="auto" w:fill="FFFFFF"/>
        </w:rPr>
        <w:t xml:space="preserve"> </w:t>
      </w:r>
    </w:p>
    <w:p w14:paraId="78D25908">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 xml:space="preserve">在本系统合同履行期内，任何一方提出修改或变更合同内容，需经对方的认可并由双方签订修改变更的补充协议，该补充协议为本合同不可分割的一部分。修改变更引起合同期限的变动、价格的调整及其它问题均以双方所签认的补充协议为准。 </w:t>
      </w:r>
    </w:p>
    <w:p w14:paraId="708AB0F7">
      <w:pPr>
        <w:keepNext w:val="0"/>
        <w:keepLines w:val="0"/>
        <w:pageBreakBefore w:val="0"/>
        <w:widowControl/>
        <w:kinsoku/>
        <w:wordWrap/>
        <w:overflowPunct/>
        <w:topLinePunct w:val="0"/>
        <w:autoSpaceDE/>
        <w:autoSpaceDN/>
        <w:bidi w:val="0"/>
        <w:spacing w:line="360" w:lineRule="auto"/>
        <w:ind w:firstLine="442" w:firstLineChars="200"/>
        <w:jc w:val="left"/>
        <w:textAlignment w:val="auto"/>
        <w:rPr>
          <w:rFonts w:hint="eastAsia" w:ascii="新宋体" w:hAnsi="新宋体" w:eastAsia="新宋体" w:cs="新宋体"/>
          <w:b/>
          <w:bCs/>
          <w:color w:val="auto"/>
          <w:sz w:val="22"/>
          <w:szCs w:val="22"/>
          <w:highlight w:val="none"/>
          <w:shd w:val="clear" w:color="auto" w:fill="FFFFFF"/>
        </w:rPr>
      </w:pPr>
      <w:r>
        <w:rPr>
          <w:rFonts w:hint="eastAsia" w:ascii="新宋体" w:hAnsi="新宋体" w:eastAsia="新宋体" w:cs="新宋体"/>
          <w:b/>
          <w:bCs/>
          <w:color w:val="auto"/>
          <w:sz w:val="22"/>
          <w:szCs w:val="22"/>
          <w:highlight w:val="none"/>
          <w:shd w:val="clear" w:color="auto" w:fill="FFFFFF"/>
        </w:rPr>
        <w:t xml:space="preserve">十五、其他 </w:t>
      </w:r>
    </w:p>
    <w:p w14:paraId="697D0C5C">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1、本合同之项目的</w:t>
      </w:r>
      <w:r>
        <w:rPr>
          <w:rFonts w:hint="eastAsia" w:ascii="新宋体" w:hAnsi="新宋体" w:eastAsia="新宋体" w:cs="新宋体"/>
          <w:color w:val="auto"/>
          <w:sz w:val="22"/>
          <w:szCs w:val="22"/>
          <w:highlight w:val="none"/>
          <w:shd w:val="clear" w:color="auto" w:fill="FFFFFF"/>
          <w:lang w:eastAsia="zh-CN"/>
        </w:rPr>
        <w:t>采购文件</w:t>
      </w:r>
      <w:r>
        <w:rPr>
          <w:rFonts w:hint="eastAsia" w:ascii="新宋体" w:hAnsi="新宋体" w:eastAsia="新宋体" w:cs="新宋体"/>
          <w:color w:val="auto"/>
          <w:sz w:val="22"/>
          <w:szCs w:val="22"/>
          <w:highlight w:val="none"/>
          <w:shd w:val="clear" w:color="auto" w:fill="FFFFFF"/>
        </w:rPr>
        <w:t xml:space="preserve">、投标文件、中标通知书、承诺书、合同附件等文书材料为本合同的有效组成部分，与本合同具有同样法律效力。 </w:t>
      </w:r>
    </w:p>
    <w:p w14:paraId="0955AC1D">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2、除征得一方事先书面同意外，甲乙双方均不得部分或全部转让其应履行的合同项下的义务。</w:t>
      </w:r>
    </w:p>
    <w:p w14:paraId="5A7EA48B">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3、本合同一式</w:t>
      </w:r>
      <w:r>
        <w:rPr>
          <w:rFonts w:hint="eastAsia" w:ascii="新宋体" w:hAnsi="新宋体" w:eastAsia="新宋体" w:cs="新宋体"/>
          <w:color w:val="auto"/>
          <w:sz w:val="22"/>
          <w:szCs w:val="22"/>
          <w:highlight w:val="none"/>
          <w:u w:val="single"/>
          <w:shd w:val="clear" w:color="auto" w:fill="FFFFFF"/>
        </w:rPr>
        <w:t xml:space="preserve">    </w:t>
      </w:r>
      <w:r>
        <w:rPr>
          <w:rFonts w:hint="eastAsia" w:ascii="新宋体" w:hAnsi="新宋体" w:eastAsia="新宋体" w:cs="新宋体"/>
          <w:color w:val="auto"/>
          <w:sz w:val="22"/>
          <w:szCs w:val="22"/>
          <w:highlight w:val="none"/>
          <w:shd w:val="clear" w:color="auto" w:fill="FFFFFF"/>
        </w:rPr>
        <w:t>份，甲方执</w:t>
      </w:r>
      <w:r>
        <w:rPr>
          <w:rFonts w:hint="eastAsia" w:ascii="新宋体" w:hAnsi="新宋体" w:eastAsia="新宋体" w:cs="新宋体"/>
          <w:color w:val="auto"/>
          <w:sz w:val="22"/>
          <w:szCs w:val="22"/>
          <w:highlight w:val="none"/>
          <w:u w:val="single"/>
          <w:shd w:val="clear" w:color="auto" w:fill="FFFFFF"/>
        </w:rPr>
        <w:t xml:space="preserve">    </w:t>
      </w:r>
      <w:r>
        <w:rPr>
          <w:rFonts w:hint="eastAsia" w:ascii="新宋体" w:hAnsi="新宋体" w:eastAsia="新宋体" w:cs="新宋体"/>
          <w:color w:val="auto"/>
          <w:sz w:val="22"/>
          <w:szCs w:val="22"/>
          <w:highlight w:val="none"/>
          <w:shd w:val="clear" w:color="auto" w:fill="FFFFFF"/>
        </w:rPr>
        <w:t>份，乙方执</w:t>
      </w:r>
      <w:r>
        <w:rPr>
          <w:rFonts w:hint="eastAsia" w:ascii="新宋体" w:hAnsi="新宋体" w:eastAsia="新宋体" w:cs="新宋体"/>
          <w:color w:val="auto"/>
          <w:sz w:val="22"/>
          <w:szCs w:val="22"/>
          <w:highlight w:val="none"/>
          <w:u w:val="single"/>
          <w:shd w:val="clear" w:color="auto" w:fill="FFFFFF"/>
        </w:rPr>
        <w:t xml:space="preserve">    </w:t>
      </w:r>
      <w:r>
        <w:rPr>
          <w:rFonts w:hint="eastAsia" w:ascii="新宋体" w:hAnsi="新宋体" w:eastAsia="新宋体" w:cs="新宋体"/>
          <w:color w:val="auto"/>
          <w:sz w:val="22"/>
          <w:szCs w:val="22"/>
          <w:highlight w:val="none"/>
          <w:shd w:val="clear" w:color="auto" w:fill="FFFFFF"/>
        </w:rPr>
        <w:t>份，代理执</w:t>
      </w:r>
      <w:r>
        <w:rPr>
          <w:rFonts w:hint="eastAsia" w:ascii="新宋体" w:hAnsi="新宋体" w:eastAsia="新宋体" w:cs="新宋体"/>
          <w:color w:val="auto"/>
          <w:sz w:val="22"/>
          <w:szCs w:val="22"/>
          <w:highlight w:val="none"/>
          <w:u w:val="single"/>
          <w:shd w:val="clear" w:color="auto" w:fill="FFFFFF"/>
        </w:rPr>
        <w:t xml:space="preserve">    </w:t>
      </w:r>
      <w:r>
        <w:rPr>
          <w:rFonts w:hint="eastAsia" w:ascii="新宋体" w:hAnsi="新宋体" w:eastAsia="新宋体" w:cs="新宋体"/>
          <w:color w:val="auto"/>
          <w:sz w:val="22"/>
          <w:szCs w:val="22"/>
          <w:highlight w:val="none"/>
          <w:shd w:val="clear" w:color="auto" w:fill="FFFFFF"/>
        </w:rPr>
        <w:t>份。本项目合同附件及</w:t>
      </w:r>
      <w:r>
        <w:rPr>
          <w:rFonts w:hint="eastAsia" w:ascii="新宋体" w:hAnsi="新宋体" w:eastAsia="新宋体" w:cs="新宋体"/>
          <w:color w:val="auto"/>
          <w:sz w:val="22"/>
          <w:szCs w:val="22"/>
          <w:highlight w:val="none"/>
          <w:shd w:val="clear" w:color="auto" w:fill="FFFFFF"/>
          <w:lang w:eastAsia="zh-CN"/>
        </w:rPr>
        <w:t>采购文件</w:t>
      </w:r>
      <w:r>
        <w:rPr>
          <w:rFonts w:hint="eastAsia" w:ascii="新宋体" w:hAnsi="新宋体" w:eastAsia="新宋体" w:cs="新宋体"/>
          <w:color w:val="auto"/>
          <w:sz w:val="22"/>
          <w:szCs w:val="22"/>
          <w:highlight w:val="none"/>
          <w:shd w:val="clear" w:color="auto" w:fill="FFFFFF"/>
        </w:rPr>
        <w:t xml:space="preserve">、乙方投标书等是合同不可分割的一部分，具有同等法律效力。 </w:t>
      </w:r>
    </w:p>
    <w:p w14:paraId="6551F39F">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 xml:space="preserve">4、本合同未尽事宜，遵照《中华人民共和国民法典》有关条文执行。 </w:t>
      </w:r>
    </w:p>
    <w:p w14:paraId="741E7512">
      <w:pPr>
        <w:keepNext w:val="0"/>
        <w:keepLines w:val="0"/>
        <w:pageBreakBefore w:val="0"/>
        <w:widowControl/>
        <w:kinsoku/>
        <w:wordWrap/>
        <w:overflowPunct/>
        <w:topLinePunct w:val="0"/>
        <w:autoSpaceDE/>
        <w:autoSpaceDN/>
        <w:bidi w:val="0"/>
        <w:spacing w:line="360" w:lineRule="auto"/>
        <w:jc w:val="left"/>
        <w:textAlignment w:val="auto"/>
        <w:rPr>
          <w:rFonts w:hint="eastAsia" w:ascii="新宋体" w:hAnsi="新宋体" w:eastAsia="新宋体" w:cs="新宋体"/>
          <w:color w:val="auto"/>
          <w:sz w:val="22"/>
          <w:szCs w:val="22"/>
          <w:highlight w:val="none"/>
          <w:shd w:val="clear" w:color="auto" w:fill="FFFFFF"/>
        </w:rPr>
      </w:pPr>
    </w:p>
    <w:p w14:paraId="173065EB">
      <w:pPr>
        <w:keepNext w:val="0"/>
        <w:keepLines w:val="0"/>
        <w:pageBreakBefore w:val="0"/>
        <w:widowControl/>
        <w:kinsoku/>
        <w:wordWrap/>
        <w:overflowPunct/>
        <w:topLinePunct w:val="0"/>
        <w:autoSpaceDE/>
        <w:autoSpaceDN/>
        <w:bidi w:val="0"/>
        <w:spacing w:line="360" w:lineRule="auto"/>
        <w:ind w:firstLine="440" w:firstLineChars="200"/>
        <w:jc w:val="left"/>
        <w:textAlignment w:val="auto"/>
        <w:rPr>
          <w:rFonts w:hint="eastAsia" w:ascii="新宋体" w:hAnsi="新宋体" w:eastAsia="新宋体" w:cs="新宋体"/>
          <w:color w:val="auto"/>
          <w:sz w:val="22"/>
          <w:szCs w:val="22"/>
          <w:highlight w:val="none"/>
          <w:shd w:val="clear" w:color="auto" w:fill="FFFFFF"/>
        </w:rPr>
      </w:pPr>
      <w:r>
        <w:rPr>
          <w:rFonts w:hint="eastAsia" w:ascii="新宋体" w:hAnsi="新宋体" w:eastAsia="新宋体" w:cs="新宋体"/>
          <w:color w:val="auto"/>
          <w:sz w:val="22"/>
          <w:szCs w:val="22"/>
          <w:highlight w:val="none"/>
          <w:shd w:val="clear" w:color="auto" w:fill="FFFFFF"/>
        </w:rPr>
        <w:t xml:space="preserve"> 附件：</w:t>
      </w:r>
      <w:r>
        <w:rPr>
          <w:rFonts w:hint="eastAsia" w:ascii="新宋体" w:hAnsi="新宋体" w:eastAsia="新宋体" w:cs="新宋体"/>
          <w:color w:val="auto"/>
          <w:sz w:val="22"/>
          <w:szCs w:val="22"/>
          <w:highlight w:val="none"/>
        </w:rPr>
        <w:t>项目技术参数指标</w:t>
      </w:r>
    </w:p>
    <w:p w14:paraId="5DE38AD4">
      <w:pPr>
        <w:keepNext w:val="0"/>
        <w:keepLines w:val="0"/>
        <w:pageBreakBefore w:val="0"/>
        <w:kinsoku/>
        <w:wordWrap/>
        <w:overflowPunct/>
        <w:topLinePunct w:val="0"/>
        <w:autoSpaceDE/>
        <w:autoSpaceDN/>
        <w:bidi w:val="0"/>
        <w:spacing w:line="360" w:lineRule="auto"/>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   </w:t>
      </w:r>
    </w:p>
    <w:p w14:paraId="0A5F1DE8">
      <w:pPr>
        <w:keepNext w:val="0"/>
        <w:keepLines w:val="0"/>
        <w:pageBreakBefore w:val="0"/>
        <w:kinsoku/>
        <w:wordWrap/>
        <w:overflowPunct/>
        <w:topLinePunct w:val="0"/>
        <w:autoSpaceDE/>
        <w:autoSpaceDN/>
        <w:bidi w:val="0"/>
        <w:spacing w:line="360" w:lineRule="auto"/>
        <w:textAlignment w:val="auto"/>
        <w:rPr>
          <w:rFonts w:hint="eastAsia" w:ascii="新宋体" w:hAnsi="新宋体" w:eastAsia="新宋体" w:cs="新宋体"/>
          <w:color w:val="auto"/>
          <w:sz w:val="22"/>
          <w:szCs w:val="22"/>
          <w:highlight w:val="none"/>
        </w:rPr>
      </w:pPr>
    </w:p>
    <w:p w14:paraId="6DDCA4BD">
      <w:pPr>
        <w:keepNext w:val="0"/>
        <w:keepLines w:val="0"/>
        <w:pageBreakBefore w:val="0"/>
        <w:kinsoku/>
        <w:wordWrap/>
        <w:overflowPunct/>
        <w:topLinePunct w:val="0"/>
        <w:autoSpaceDE/>
        <w:autoSpaceDN/>
        <w:bidi w:val="0"/>
        <w:spacing w:line="360" w:lineRule="auto"/>
        <w:ind w:firstLine="541" w:firstLineChars="245"/>
        <w:jc w:val="center"/>
        <w:textAlignment w:val="auto"/>
        <w:rPr>
          <w:rFonts w:hint="eastAsia" w:ascii="新宋体" w:hAnsi="新宋体" w:eastAsia="新宋体" w:cs="新宋体"/>
          <w:b/>
          <w:bCs w:val="0"/>
          <w:color w:val="auto"/>
          <w:sz w:val="22"/>
          <w:szCs w:val="22"/>
          <w:highlight w:val="none"/>
        </w:rPr>
      </w:pPr>
      <w:r>
        <w:rPr>
          <w:rFonts w:hint="eastAsia" w:ascii="新宋体" w:hAnsi="新宋体" w:eastAsia="新宋体" w:cs="新宋体"/>
          <w:b/>
          <w:bCs w:val="0"/>
          <w:color w:val="auto"/>
          <w:sz w:val="22"/>
          <w:szCs w:val="22"/>
          <w:highlight w:val="none"/>
        </w:rPr>
        <w:t>（以下无正文）</w:t>
      </w:r>
    </w:p>
    <w:p w14:paraId="6B626541">
      <w:pPr>
        <w:keepNext w:val="0"/>
        <w:keepLines w:val="0"/>
        <w:pageBreakBefore w:val="0"/>
        <w:kinsoku/>
        <w:wordWrap/>
        <w:overflowPunct/>
        <w:topLinePunct w:val="0"/>
        <w:autoSpaceDE/>
        <w:autoSpaceDN/>
        <w:bidi w:val="0"/>
        <w:spacing w:line="360" w:lineRule="auto"/>
        <w:ind w:firstLine="539" w:firstLineChars="245"/>
        <w:textAlignment w:val="auto"/>
        <w:rPr>
          <w:rFonts w:hint="eastAsia" w:ascii="新宋体" w:hAnsi="新宋体" w:eastAsia="新宋体" w:cs="新宋体"/>
          <w:bCs/>
          <w:color w:val="auto"/>
          <w:sz w:val="22"/>
          <w:szCs w:val="22"/>
          <w:highlight w:val="none"/>
        </w:rPr>
      </w:pPr>
    </w:p>
    <w:p w14:paraId="21DBC9E8">
      <w:pPr>
        <w:keepNext w:val="0"/>
        <w:keepLines w:val="0"/>
        <w:pageBreakBefore w:val="0"/>
        <w:kinsoku/>
        <w:wordWrap/>
        <w:overflowPunct/>
        <w:topLinePunct w:val="0"/>
        <w:autoSpaceDE/>
        <w:autoSpaceDN/>
        <w:bidi w:val="0"/>
        <w:spacing w:line="360" w:lineRule="auto"/>
        <w:ind w:firstLine="539" w:firstLineChars="245"/>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甲方：                              乙方： </w:t>
      </w:r>
    </w:p>
    <w:p w14:paraId="50A29B94">
      <w:pPr>
        <w:keepNext w:val="0"/>
        <w:keepLines w:val="0"/>
        <w:pageBreakBefore w:val="0"/>
        <w:kinsoku/>
        <w:wordWrap/>
        <w:overflowPunct/>
        <w:topLinePunct w:val="0"/>
        <w:autoSpaceDE/>
        <w:autoSpaceDN/>
        <w:bidi w:val="0"/>
        <w:spacing w:line="360" w:lineRule="auto"/>
        <w:ind w:firstLine="539" w:firstLineChars="245"/>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法定（委托）代表人（签字）：         法定（委托）代表人（签字）：</w:t>
      </w:r>
    </w:p>
    <w:p w14:paraId="3E699EAD">
      <w:pPr>
        <w:keepNext w:val="0"/>
        <w:keepLines w:val="0"/>
        <w:pageBreakBefore w:val="0"/>
        <w:kinsoku/>
        <w:wordWrap/>
        <w:overflowPunct/>
        <w:topLinePunct w:val="0"/>
        <w:autoSpaceDE/>
        <w:autoSpaceDN/>
        <w:bidi w:val="0"/>
        <w:spacing w:line="360" w:lineRule="auto"/>
        <w:ind w:firstLine="539" w:firstLineChars="245"/>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地址：                               地址：</w:t>
      </w:r>
    </w:p>
    <w:p w14:paraId="3EC5A77C">
      <w:pPr>
        <w:keepNext w:val="0"/>
        <w:keepLines w:val="0"/>
        <w:pageBreakBefore w:val="0"/>
        <w:kinsoku/>
        <w:wordWrap/>
        <w:overflowPunct/>
        <w:topLinePunct w:val="0"/>
        <w:autoSpaceDE/>
        <w:autoSpaceDN/>
        <w:bidi w:val="0"/>
        <w:spacing w:line="360" w:lineRule="auto"/>
        <w:ind w:firstLine="539" w:firstLineChars="245"/>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电话：                               电话：</w:t>
      </w:r>
    </w:p>
    <w:p w14:paraId="7796A1B6">
      <w:pPr>
        <w:keepNext w:val="0"/>
        <w:keepLines w:val="0"/>
        <w:pageBreakBefore w:val="0"/>
        <w:kinsoku/>
        <w:wordWrap/>
        <w:overflowPunct/>
        <w:topLinePunct w:val="0"/>
        <w:autoSpaceDE/>
        <w:autoSpaceDN/>
        <w:bidi w:val="0"/>
        <w:spacing w:line="360" w:lineRule="auto"/>
        <w:ind w:firstLine="539" w:firstLineChars="245"/>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开户银行：                           开户银行：</w:t>
      </w:r>
    </w:p>
    <w:p w14:paraId="152D3263">
      <w:pPr>
        <w:keepNext w:val="0"/>
        <w:keepLines w:val="0"/>
        <w:pageBreakBefore w:val="0"/>
        <w:kinsoku/>
        <w:wordWrap/>
        <w:overflowPunct/>
        <w:topLinePunct w:val="0"/>
        <w:autoSpaceDE/>
        <w:autoSpaceDN/>
        <w:bidi w:val="0"/>
        <w:spacing w:line="360" w:lineRule="auto"/>
        <w:ind w:firstLine="539" w:firstLineChars="245"/>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帐号：                               帐号：</w:t>
      </w:r>
    </w:p>
    <w:p w14:paraId="3DA3DF02">
      <w:pPr>
        <w:keepNext w:val="0"/>
        <w:keepLines w:val="0"/>
        <w:pageBreakBefore w:val="0"/>
        <w:kinsoku/>
        <w:wordWrap/>
        <w:overflowPunct/>
        <w:topLinePunct w:val="0"/>
        <w:autoSpaceDE/>
        <w:autoSpaceDN/>
        <w:bidi w:val="0"/>
        <w:spacing w:line="360" w:lineRule="auto"/>
        <w:ind w:firstLine="539" w:firstLineChars="24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日期：                               日期：</w:t>
      </w:r>
    </w:p>
    <w:p w14:paraId="6BCFCFCF">
      <w:pPr>
        <w:keepNext w:val="0"/>
        <w:keepLines w:val="0"/>
        <w:pageBreakBefore w:val="0"/>
        <w:widowControl/>
        <w:tabs>
          <w:tab w:val="left" w:pos="495"/>
        </w:tabs>
        <w:kinsoku/>
        <w:wordWrap/>
        <w:overflowPunct/>
        <w:topLinePunct w:val="0"/>
        <w:autoSpaceDE/>
        <w:autoSpaceDN/>
        <w:bidi w:val="0"/>
        <w:snapToGrid w:val="0"/>
        <w:spacing w:line="360" w:lineRule="auto"/>
        <w:jc w:val="left"/>
        <w:textAlignment w:val="auto"/>
        <w:rPr>
          <w:rFonts w:hint="eastAsia" w:ascii="新宋体" w:hAnsi="新宋体" w:eastAsia="新宋体" w:cs="新宋体"/>
          <w:color w:val="auto"/>
          <w:kern w:val="0"/>
          <w:sz w:val="22"/>
          <w:szCs w:val="22"/>
          <w:highlight w:val="none"/>
        </w:rPr>
      </w:pPr>
    </w:p>
    <w:p w14:paraId="57A0999D">
      <w:pPr>
        <w:keepNext w:val="0"/>
        <w:keepLines w:val="0"/>
        <w:pageBreakBefore w:val="0"/>
        <w:kinsoku/>
        <w:wordWrap/>
        <w:overflowPunct/>
        <w:topLinePunct w:val="0"/>
        <w:autoSpaceDE/>
        <w:autoSpaceDN/>
        <w:bidi w:val="0"/>
        <w:spacing w:line="360" w:lineRule="auto"/>
        <w:ind w:firstLine="220" w:firstLineChars="100"/>
        <w:textAlignment w:val="auto"/>
        <w:rPr>
          <w:rFonts w:hint="eastAsia" w:ascii="新宋体" w:hAnsi="新宋体" w:eastAsia="新宋体" w:cs="新宋体"/>
          <w:color w:val="auto"/>
          <w:sz w:val="22"/>
          <w:szCs w:val="22"/>
          <w:highlight w:val="none"/>
        </w:rPr>
      </w:pPr>
    </w:p>
    <w:p w14:paraId="65CAB900">
      <w:pPr>
        <w:keepNext w:val="0"/>
        <w:keepLines w:val="0"/>
        <w:pageBreakBefore w:val="0"/>
        <w:kinsoku/>
        <w:wordWrap/>
        <w:overflowPunct/>
        <w:topLinePunct w:val="0"/>
        <w:autoSpaceDE/>
        <w:autoSpaceDN/>
        <w:bidi w:val="0"/>
        <w:spacing w:line="360" w:lineRule="auto"/>
        <w:ind w:firstLine="221" w:firstLineChars="100"/>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特别提示：</w:t>
      </w:r>
      <w:r>
        <w:rPr>
          <w:rFonts w:hint="eastAsia" w:ascii="新宋体" w:hAnsi="新宋体" w:eastAsia="新宋体" w:cs="新宋体"/>
          <w:b/>
          <w:bCs/>
          <w:color w:val="auto"/>
          <w:sz w:val="22"/>
          <w:szCs w:val="22"/>
          <w:highlight w:val="none"/>
          <w:u w:val="single"/>
        </w:rPr>
        <w:t>本合同作为示范文本，具体以正式签订合同为准，合同条款的具体内容应严格按照采购文件、投标文件、采购结果及中标人的承诺来拟订。</w:t>
      </w:r>
    </w:p>
    <w:p w14:paraId="03F67AC0">
      <w:pPr>
        <w:pStyle w:val="29"/>
        <w:ind w:firstLine="476"/>
        <w:jc w:val="center"/>
        <w:rPr>
          <w:rFonts w:hint="eastAsia" w:ascii="新宋体" w:hAnsi="新宋体" w:eastAsia="新宋体" w:cs="新宋体"/>
          <w:b/>
          <w:bCs/>
          <w:color w:val="auto"/>
          <w:sz w:val="36"/>
          <w:szCs w:val="36"/>
          <w:highlight w:val="none"/>
        </w:rPr>
      </w:pPr>
      <w:r>
        <w:rPr>
          <w:rFonts w:hint="eastAsia" w:ascii="新宋体" w:hAnsi="新宋体" w:eastAsia="新宋体" w:cs="新宋体"/>
          <w:b/>
          <w:bCs/>
          <w:color w:val="auto"/>
          <w:sz w:val="36"/>
          <w:szCs w:val="36"/>
          <w:highlight w:val="none"/>
        </w:rPr>
        <w:br w:type="page"/>
      </w:r>
      <w:r>
        <w:rPr>
          <w:rFonts w:hint="eastAsia" w:ascii="新宋体" w:hAnsi="新宋体" w:eastAsia="新宋体" w:cs="新宋体"/>
          <w:b/>
          <w:bCs/>
          <w:color w:val="auto"/>
          <w:sz w:val="36"/>
          <w:szCs w:val="36"/>
          <w:highlight w:val="none"/>
        </w:rPr>
        <w:t xml:space="preserve">第三部分   </w:t>
      </w:r>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Pr>
          <w:rFonts w:hint="eastAsia" w:ascii="新宋体" w:hAnsi="新宋体" w:eastAsia="新宋体" w:cs="新宋体"/>
          <w:b/>
          <w:bCs/>
          <w:color w:val="auto"/>
          <w:sz w:val="36"/>
          <w:szCs w:val="36"/>
          <w:highlight w:val="none"/>
        </w:rPr>
        <w:t>投标文件格式</w:t>
      </w:r>
    </w:p>
    <w:p w14:paraId="4B491237">
      <w:pPr>
        <w:spacing w:before="120" w:beforeLines="50" w:after="120" w:afterLine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资格文件</w:t>
      </w:r>
      <w:r>
        <w:rPr>
          <w:rFonts w:hint="eastAsia" w:ascii="新宋体" w:hAnsi="新宋体" w:eastAsia="新宋体" w:cs="新宋体"/>
          <w:color w:val="auto"/>
          <w:sz w:val="22"/>
          <w:szCs w:val="22"/>
          <w:highlight w:val="none"/>
        </w:rPr>
        <w:t>封面，供参考）</w:t>
      </w:r>
    </w:p>
    <w:p w14:paraId="3ACC45E0">
      <w:pPr>
        <w:rPr>
          <w:rFonts w:hint="eastAsia" w:ascii="新宋体" w:hAnsi="新宋体" w:eastAsia="新宋体" w:cs="新宋体"/>
          <w:color w:val="auto"/>
          <w:highlight w:val="none"/>
        </w:rPr>
      </w:pPr>
    </w:p>
    <w:p w14:paraId="27A18F7B">
      <w:pPr>
        <w:rPr>
          <w:rFonts w:hint="eastAsia" w:ascii="新宋体" w:hAnsi="新宋体" w:eastAsia="新宋体" w:cs="新宋体"/>
          <w:color w:val="auto"/>
          <w:highlight w:val="none"/>
        </w:rPr>
      </w:pPr>
    </w:p>
    <w:p w14:paraId="4FA40C31">
      <w:pPr>
        <w:rPr>
          <w:rFonts w:hint="eastAsia" w:ascii="新宋体" w:hAnsi="新宋体" w:eastAsia="新宋体" w:cs="新宋体"/>
          <w:color w:val="auto"/>
          <w:highlight w:val="none"/>
        </w:rPr>
      </w:pPr>
    </w:p>
    <w:p w14:paraId="2737AFC1">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u w:val="single"/>
        </w:rPr>
        <w:t xml:space="preserve">                 （项目名称）              </w:t>
      </w:r>
      <w:r>
        <w:rPr>
          <w:rFonts w:hint="eastAsia" w:ascii="新宋体" w:hAnsi="新宋体" w:eastAsia="新宋体" w:cs="新宋体"/>
          <w:color w:val="auto"/>
          <w:sz w:val="28"/>
          <w:szCs w:val="28"/>
          <w:highlight w:val="none"/>
        </w:rPr>
        <w:t>投标文件</w:t>
      </w:r>
    </w:p>
    <w:p w14:paraId="392746DB">
      <w:pPr>
        <w:rPr>
          <w:rFonts w:hint="eastAsia" w:ascii="新宋体" w:hAnsi="新宋体" w:eastAsia="新宋体" w:cs="新宋体"/>
          <w:color w:val="auto"/>
          <w:sz w:val="28"/>
          <w:szCs w:val="28"/>
          <w:highlight w:val="none"/>
        </w:rPr>
      </w:pPr>
    </w:p>
    <w:p w14:paraId="37BEC1AE">
      <w:pPr>
        <w:rPr>
          <w:rFonts w:hint="eastAsia" w:ascii="新宋体" w:hAnsi="新宋体" w:eastAsia="新宋体" w:cs="新宋体"/>
          <w:color w:val="auto"/>
          <w:sz w:val="28"/>
          <w:szCs w:val="28"/>
          <w:highlight w:val="none"/>
        </w:rPr>
      </w:pPr>
    </w:p>
    <w:p w14:paraId="0FD4CC48">
      <w:pPr>
        <w:pStyle w:val="29"/>
        <w:ind w:firstLine="280"/>
        <w:rPr>
          <w:rFonts w:hint="eastAsia" w:ascii="新宋体" w:hAnsi="新宋体" w:eastAsia="新宋体" w:cs="新宋体"/>
          <w:color w:val="auto"/>
          <w:sz w:val="28"/>
          <w:szCs w:val="28"/>
          <w:highlight w:val="none"/>
        </w:rPr>
      </w:pPr>
    </w:p>
    <w:p w14:paraId="6BD90B7E">
      <w:pPr>
        <w:pStyle w:val="29"/>
        <w:ind w:firstLine="280"/>
        <w:rPr>
          <w:rFonts w:hint="eastAsia" w:ascii="新宋体" w:hAnsi="新宋体" w:eastAsia="新宋体" w:cs="新宋体"/>
          <w:color w:val="auto"/>
          <w:sz w:val="28"/>
          <w:szCs w:val="28"/>
          <w:highlight w:val="none"/>
        </w:rPr>
      </w:pPr>
    </w:p>
    <w:p w14:paraId="27C6CF51">
      <w:pPr>
        <w:rPr>
          <w:rFonts w:hint="eastAsia" w:ascii="新宋体" w:hAnsi="新宋体" w:eastAsia="新宋体" w:cs="新宋体"/>
          <w:color w:val="auto"/>
          <w:sz w:val="28"/>
          <w:szCs w:val="28"/>
          <w:highlight w:val="none"/>
        </w:rPr>
      </w:pPr>
    </w:p>
    <w:p w14:paraId="509DEACE">
      <w:pPr>
        <w:rPr>
          <w:rFonts w:hint="eastAsia" w:ascii="新宋体" w:hAnsi="新宋体" w:eastAsia="新宋体" w:cs="新宋体"/>
          <w:color w:val="auto"/>
          <w:sz w:val="28"/>
          <w:szCs w:val="28"/>
          <w:highlight w:val="none"/>
        </w:rPr>
      </w:pPr>
    </w:p>
    <w:p w14:paraId="747D3668">
      <w:pPr>
        <w:jc w:val="center"/>
        <w:rPr>
          <w:rFonts w:hint="eastAsia" w:ascii="新宋体" w:hAnsi="新宋体" w:eastAsia="新宋体" w:cs="新宋体"/>
          <w:color w:val="auto"/>
          <w:sz w:val="52"/>
          <w:szCs w:val="52"/>
          <w:highlight w:val="none"/>
          <w:lang w:eastAsia="zh-CN"/>
        </w:rPr>
      </w:pPr>
      <w:r>
        <w:rPr>
          <w:rFonts w:hint="eastAsia" w:ascii="新宋体" w:hAnsi="新宋体" w:eastAsia="新宋体" w:cs="新宋体"/>
          <w:color w:val="auto"/>
          <w:sz w:val="52"/>
          <w:szCs w:val="52"/>
          <w:highlight w:val="none"/>
          <w:lang w:eastAsia="zh-CN"/>
        </w:rPr>
        <w:t>资格文件</w:t>
      </w:r>
    </w:p>
    <w:p w14:paraId="1152E387">
      <w:pPr>
        <w:spacing w:line="360" w:lineRule="auto"/>
        <w:rPr>
          <w:rFonts w:hint="eastAsia" w:ascii="新宋体" w:hAnsi="新宋体" w:eastAsia="新宋体" w:cs="新宋体"/>
          <w:color w:val="auto"/>
          <w:szCs w:val="21"/>
          <w:highlight w:val="none"/>
        </w:rPr>
      </w:pPr>
    </w:p>
    <w:p w14:paraId="09506219">
      <w:pPr>
        <w:spacing w:line="360" w:lineRule="auto"/>
        <w:rPr>
          <w:rFonts w:hint="eastAsia" w:ascii="新宋体" w:hAnsi="新宋体" w:eastAsia="新宋体" w:cs="新宋体"/>
          <w:color w:val="auto"/>
          <w:szCs w:val="21"/>
          <w:highlight w:val="none"/>
        </w:rPr>
      </w:pPr>
    </w:p>
    <w:p w14:paraId="6F9ED5F6">
      <w:pPr>
        <w:spacing w:line="360" w:lineRule="auto"/>
        <w:rPr>
          <w:rFonts w:hint="eastAsia" w:ascii="新宋体" w:hAnsi="新宋体" w:eastAsia="新宋体" w:cs="新宋体"/>
          <w:color w:val="auto"/>
          <w:szCs w:val="21"/>
          <w:highlight w:val="none"/>
        </w:rPr>
      </w:pPr>
    </w:p>
    <w:p w14:paraId="324830B5">
      <w:pPr>
        <w:spacing w:line="360" w:lineRule="auto"/>
        <w:rPr>
          <w:rFonts w:hint="eastAsia" w:ascii="新宋体" w:hAnsi="新宋体" w:eastAsia="新宋体" w:cs="新宋体"/>
          <w:color w:val="auto"/>
          <w:szCs w:val="21"/>
          <w:highlight w:val="none"/>
        </w:rPr>
      </w:pPr>
    </w:p>
    <w:p w14:paraId="30B74F7C">
      <w:pPr>
        <w:spacing w:line="360" w:lineRule="auto"/>
        <w:rPr>
          <w:rFonts w:hint="eastAsia" w:ascii="新宋体" w:hAnsi="新宋体" w:eastAsia="新宋体" w:cs="新宋体"/>
          <w:color w:val="auto"/>
          <w:szCs w:val="21"/>
          <w:highlight w:val="none"/>
        </w:rPr>
      </w:pPr>
    </w:p>
    <w:p w14:paraId="2FDF56BF">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rPr>
        <w:t>投标供应商：</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（盖单位章）</w:t>
      </w:r>
    </w:p>
    <w:p w14:paraId="0B03B225">
      <w:pPr>
        <w:rPr>
          <w:rFonts w:hint="eastAsia" w:ascii="新宋体" w:hAnsi="新宋体" w:eastAsia="新宋体" w:cs="新宋体"/>
          <w:color w:val="auto"/>
          <w:sz w:val="28"/>
          <w:szCs w:val="28"/>
          <w:highlight w:val="none"/>
          <w:u w:val="single"/>
        </w:rPr>
      </w:pPr>
    </w:p>
    <w:p w14:paraId="6A2D98A4">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lang w:eastAsia="zh-CN"/>
        </w:rPr>
        <w:t>法定代表人（负责人）</w:t>
      </w:r>
      <w:r>
        <w:rPr>
          <w:rFonts w:hint="eastAsia" w:ascii="新宋体" w:hAnsi="新宋体" w:eastAsia="新宋体" w:cs="新宋体"/>
          <w:color w:val="auto"/>
          <w:sz w:val="28"/>
          <w:szCs w:val="28"/>
          <w:highlight w:val="none"/>
        </w:rPr>
        <w:t>或其委托代理人：</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（签字或盖章）</w:t>
      </w:r>
    </w:p>
    <w:p w14:paraId="5C7EA61C">
      <w:pPr>
        <w:rPr>
          <w:rFonts w:hint="eastAsia" w:ascii="新宋体" w:hAnsi="新宋体" w:eastAsia="新宋体" w:cs="新宋体"/>
          <w:color w:val="auto"/>
          <w:sz w:val="28"/>
          <w:szCs w:val="28"/>
          <w:highlight w:val="none"/>
        </w:rPr>
      </w:pPr>
    </w:p>
    <w:p w14:paraId="79460CE4">
      <w:pPr>
        <w:overflowPunct w:val="0"/>
        <w:spacing w:line="380" w:lineRule="exact"/>
        <w:ind w:firstLine="2738" w:firstLineChars="978"/>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年</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月</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日</w:t>
      </w:r>
    </w:p>
    <w:p w14:paraId="6264E4DD">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br w:type="page"/>
      </w:r>
    </w:p>
    <w:p w14:paraId="0F9B78BD">
      <w:pPr>
        <w:jc w:val="center"/>
        <w:rPr>
          <w:rFonts w:hint="eastAsia"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rPr>
        <w:t>目    录</w:t>
      </w:r>
    </w:p>
    <w:tbl>
      <w:tblPr>
        <w:tblStyle w:val="31"/>
        <w:tblW w:w="96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7738"/>
        <w:gridCol w:w="1189"/>
      </w:tblGrid>
      <w:tr w14:paraId="17E37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39" w:type="dxa"/>
            <w:tcBorders>
              <w:top w:val="single" w:color="auto" w:sz="4" w:space="0"/>
              <w:left w:val="single" w:color="auto" w:sz="4" w:space="0"/>
              <w:bottom w:val="single" w:color="auto" w:sz="4" w:space="0"/>
              <w:right w:val="single" w:color="auto" w:sz="4" w:space="0"/>
            </w:tcBorders>
            <w:vAlign w:val="center"/>
          </w:tcPr>
          <w:p w14:paraId="05CB5DBC">
            <w:pPr>
              <w:overflowPunct w:val="0"/>
              <w:spacing w:line="43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序号</w:t>
            </w:r>
          </w:p>
        </w:tc>
        <w:tc>
          <w:tcPr>
            <w:tcW w:w="7738" w:type="dxa"/>
            <w:tcBorders>
              <w:top w:val="single" w:color="auto" w:sz="4" w:space="0"/>
              <w:left w:val="single" w:color="auto" w:sz="4" w:space="0"/>
              <w:bottom w:val="single" w:color="auto" w:sz="4" w:space="0"/>
              <w:right w:val="single" w:color="auto" w:sz="4" w:space="0"/>
            </w:tcBorders>
            <w:vAlign w:val="center"/>
          </w:tcPr>
          <w:p w14:paraId="2A09332A">
            <w:pPr>
              <w:overflowPunct w:val="0"/>
              <w:spacing w:line="43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u w:val="single"/>
                <w:lang w:eastAsia="zh-CN"/>
              </w:rPr>
              <w:t>▲</w:t>
            </w:r>
            <w:r>
              <w:rPr>
                <w:rFonts w:hint="eastAsia" w:ascii="新宋体" w:hAnsi="新宋体" w:eastAsia="新宋体" w:cs="新宋体"/>
                <w:b/>
                <w:color w:val="auto"/>
                <w:sz w:val="22"/>
                <w:szCs w:val="22"/>
                <w:highlight w:val="none"/>
                <w:u w:val="single"/>
              </w:rPr>
              <w:t>资格审查内容</w:t>
            </w:r>
          </w:p>
        </w:tc>
        <w:tc>
          <w:tcPr>
            <w:tcW w:w="1189" w:type="dxa"/>
            <w:tcBorders>
              <w:top w:val="single" w:color="auto" w:sz="4" w:space="0"/>
              <w:left w:val="single" w:color="auto" w:sz="4" w:space="0"/>
              <w:bottom w:val="single" w:color="auto" w:sz="4" w:space="0"/>
              <w:right w:val="single" w:color="auto" w:sz="4" w:space="0"/>
            </w:tcBorders>
            <w:vAlign w:val="center"/>
          </w:tcPr>
          <w:p w14:paraId="3C48C2A5">
            <w:pPr>
              <w:overflowPunct w:val="0"/>
              <w:spacing w:line="430" w:lineRule="exact"/>
              <w:jc w:val="center"/>
              <w:rPr>
                <w:rFonts w:hint="default" w:ascii="新宋体" w:hAnsi="新宋体" w:eastAsia="新宋体" w:cs="新宋体"/>
                <w:b/>
                <w:color w:val="auto"/>
                <w:sz w:val="22"/>
                <w:szCs w:val="22"/>
                <w:highlight w:val="none"/>
                <w:lang w:val="en-US" w:eastAsia="zh-CN"/>
              </w:rPr>
            </w:pPr>
            <w:r>
              <w:rPr>
                <w:rFonts w:hint="eastAsia" w:ascii="新宋体" w:hAnsi="新宋体" w:eastAsia="新宋体" w:cs="新宋体"/>
                <w:b/>
                <w:color w:val="auto"/>
                <w:sz w:val="22"/>
                <w:szCs w:val="22"/>
                <w:highlight w:val="none"/>
                <w:lang w:val="en-US" w:eastAsia="zh-CN"/>
              </w:rPr>
              <w:t>备注</w:t>
            </w:r>
          </w:p>
        </w:tc>
      </w:tr>
      <w:tr w14:paraId="5519F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39" w:type="dxa"/>
            <w:tcBorders>
              <w:top w:val="single" w:color="auto" w:sz="4" w:space="0"/>
              <w:left w:val="single" w:color="auto" w:sz="4" w:space="0"/>
              <w:bottom w:val="single" w:color="auto" w:sz="4" w:space="0"/>
              <w:right w:val="single" w:color="auto" w:sz="4" w:space="0"/>
            </w:tcBorders>
            <w:vAlign w:val="center"/>
          </w:tcPr>
          <w:p w14:paraId="4D3E69C0">
            <w:pPr>
              <w:overflowPunct w:val="0"/>
              <w:spacing w:line="430" w:lineRule="exact"/>
              <w:jc w:val="center"/>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lang w:val="en-US" w:eastAsia="zh-CN"/>
              </w:rPr>
              <w:t>1</w:t>
            </w:r>
          </w:p>
        </w:tc>
        <w:tc>
          <w:tcPr>
            <w:tcW w:w="7738" w:type="dxa"/>
            <w:tcBorders>
              <w:top w:val="single" w:color="auto" w:sz="4" w:space="0"/>
              <w:left w:val="single" w:color="auto" w:sz="4" w:space="0"/>
              <w:bottom w:val="single" w:color="auto" w:sz="4" w:space="0"/>
              <w:right w:val="single" w:color="auto" w:sz="4" w:space="0"/>
            </w:tcBorders>
            <w:vAlign w:val="center"/>
          </w:tcPr>
          <w:p w14:paraId="70DC2D70">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营业执照(或事业法人登记证书或其它工商等登记证明材料)；</w:t>
            </w:r>
          </w:p>
          <w:p w14:paraId="210727FC">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a.供应商为企业或个体工商户的，提供有效的“营业执照”；供应商为事业单位的，提供有效的“事业单位法人证书”；供应商为非企业专业服务机构的，提供执业许可证等证明文件；供应商为自然人（中国公民）的，提供个人有效身份证明文件。</w:t>
            </w:r>
          </w:p>
          <w:p w14:paraId="3917F87A">
            <w:pPr>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b.金融、保险、通讯等特定行业的全国性企业所设立的区域性分支机构，以及个体工商户、个人独资企业、合伙企业参加本项目投标的，除提供供应商自身的营业执照外，还须提供总公司（总机构）授权书或房产权证或其他有效财产证明材料（提供复印件加盖供应商公章），以证明其具备实际承担责任的能力和法定的缔结合同能力。</w:t>
            </w:r>
          </w:p>
        </w:tc>
        <w:tc>
          <w:tcPr>
            <w:tcW w:w="1189" w:type="dxa"/>
            <w:tcBorders>
              <w:top w:val="single" w:color="auto" w:sz="4" w:space="0"/>
              <w:left w:val="single" w:color="auto" w:sz="4" w:space="0"/>
              <w:bottom w:val="single" w:color="auto" w:sz="4" w:space="0"/>
              <w:right w:val="single" w:color="auto" w:sz="4" w:space="0"/>
            </w:tcBorders>
            <w:vAlign w:val="center"/>
          </w:tcPr>
          <w:p w14:paraId="56C6BE9B">
            <w:pPr>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附件一</w:t>
            </w:r>
          </w:p>
        </w:tc>
      </w:tr>
      <w:tr w14:paraId="138C5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39" w:type="dxa"/>
            <w:tcBorders>
              <w:top w:val="single" w:color="auto" w:sz="4" w:space="0"/>
              <w:left w:val="single" w:color="auto" w:sz="4" w:space="0"/>
              <w:bottom w:val="single" w:color="auto" w:sz="4" w:space="0"/>
              <w:right w:val="single" w:color="auto" w:sz="4" w:space="0"/>
            </w:tcBorders>
            <w:shd w:val="clear" w:color="auto" w:fill="auto"/>
            <w:vAlign w:val="center"/>
          </w:tcPr>
          <w:p w14:paraId="0C22B72B">
            <w:pPr>
              <w:overflowPunct w:val="0"/>
              <w:spacing w:line="430" w:lineRule="exact"/>
              <w:jc w:val="center"/>
              <w:rPr>
                <w:rFonts w:hint="eastAsia" w:ascii="新宋体" w:hAnsi="新宋体" w:eastAsia="新宋体" w:cs="新宋体"/>
                <w:bCs/>
                <w:color w:val="auto"/>
                <w:kern w:val="2"/>
                <w:sz w:val="22"/>
                <w:szCs w:val="22"/>
                <w:highlight w:val="none"/>
                <w:lang w:val="en-US" w:eastAsia="zh-CN" w:bidi="ar-SA"/>
              </w:rPr>
            </w:pPr>
            <w:r>
              <w:rPr>
                <w:rFonts w:hint="eastAsia" w:ascii="新宋体" w:hAnsi="新宋体" w:eastAsia="新宋体" w:cs="新宋体"/>
                <w:bCs/>
                <w:color w:val="auto"/>
                <w:kern w:val="2"/>
                <w:sz w:val="22"/>
                <w:szCs w:val="22"/>
                <w:highlight w:val="none"/>
                <w:lang w:val="en-US" w:eastAsia="zh-CN" w:bidi="ar-SA"/>
              </w:rPr>
              <w:t>2</w:t>
            </w:r>
          </w:p>
        </w:tc>
        <w:tc>
          <w:tcPr>
            <w:tcW w:w="7738" w:type="dxa"/>
            <w:tcBorders>
              <w:top w:val="single" w:color="auto" w:sz="4" w:space="0"/>
              <w:left w:val="single" w:color="auto" w:sz="4" w:space="0"/>
              <w:bottom w:val="single" w:color="auto" w:sz="4" w:space="0"/>
              <w:right w:val="single" w:color="auto" w:sz="4" w:space="0"/>
            </w:tcBorders>
            <w:shd w:val="clear" w:color="auto" w:fill="auto"/>
            <w:vAlign w:val="center"/>
          </w:tcPr>
          <w:p w14:paraId="53C904A7">
            <w:pPr>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color w:val="auto"/>
                <w:kern w:val="0"/>
                <w:sz w:val="22"/>
                <w:szCs w:val="22"/>
                <w:highlight w:val="none"/>
              </w:rPr>
              <w:t>资格条件承诺函</w:t>
            </w:r>
            <w:r>
              <w:rPr>
                <w:rFonts w:hint="eastAsia" w:ascii="新宋体" w:hAnsi="新宋体" w:eastAsia="新宋体" w:cs="新宋体"/>
                <w:color w:val="auto"/>
                <w:kern w:val="0"/>
                <w:sz w:val="22"/>
                <w:szCs w:val="22"/>
                <w:highlight w:val="none"/>
                <w:lang w:val="en-US" w:eastAsia="zh-CN"/>
              </w:rPr>
              <w:t>；</w:t>
            </w:r>
          </w:p>
        </w:tc>
        <w:tc>
          <w:tcPr>
            <w:tcW w:w="1189" w:type="dxa"/>
            <w:tcBorders>
              <w:top w:val="single" w:color="auto" w:sz="4" w:space="0"/>
              <w:left w:val="single" w:color="auto" w:sz="4" w:space="0"/>
              <w:bottom w:val="single" w:color="auto" w:sz="4" w:space="0"/>
              <w:right w:val="single" w:color="auto" w:sz="4" w:space="0"/>
            </w:tcBorders>
            <w:shd w:val="clear" w:color="auto" w:fill="auto"/>
            <w:vAlign w:val="center"/>
          </w:tcPr>
          <w:p w14:paraId="063CD893">
            <w:pPr>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lang w:val="en-US" w:eastAsia="zh-CN"/>
              </w:rPr>
              <w:t>附件二</w:t>
            </w:r>
          </w:p>
        </w:tc>
      </w:tr>
      <w:tr w14:paraId="2BE7A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39" w:type="dxa"/>
            <w:tcBorders>
              <w:top w:val="single" w:color="auto" w:sz="4" w:space="0"/>
              <w:left w:val="single" w:color="auto" w:sz="4" w:space="0"/>
              <w:bottom w:val="single" w:color="auto" w:sz="4" w:space="0"/>
              <w:right w:val="single" w:color="auto" w:sz="4" w:space="0"/>
            </w:tcBorders>
            <w:vAlign w:val="center"/>
          </w:tcPr>
          <w:p w14:paraId="2B170258">
            <w:pPr>
              <w:overflowPunct w:val="0"/>
              <w:spacing w:line="430" w:lineRule="exact"/>
              <w:jc w:val="center"/>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lang w:val="en-US" w:eastAsia="zh-CN"/>
              </w:rPr>
              <w:t>3</w:t>
            </w:r>
          </w:p>
        </w:tc>
        <w:tc>
          <w:tcPr>
            <w:tcW w:w="7738" w:type="dxa"/>
            <w:tcBorders>
              <w:top w:val="single" w:color="auto" w:sz="4" w:space="0"/>
              <w:left w:val="single" w:color="auto" w:sz="4" w:space="0"/>
              <w:bottom w:val="single" w:color="auto" w:sz="4" w:space="0"/>
              <w:right w:val="single" w:color="auto" w:sz="4" w:space="0"/>
            </w:tcBorders>
            <w:shd w:val="clear" w:color="auto" w:fill="auto"/>
            <w:vAlign w:val="center"/>
          </w:tcPr>
          <w:p w14:paraId="7508E07B">
            <w:pPr>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rPr>
              <w:t>非联合体声明书</w:t>
            </w:r>
            <w:r>
              <w:rPr>
                <w:rFonts w:hint="eastAsia" w:ascii="新宋体" w:hAnsi="新宋体" w:eastAsia="新宋体" w:cs="新宋体"/>
                <w:bCs/>
                <w:color w:val="auto"/>
                <w:sz w:val="22"/>
                <w:szCs w:val="22"/>
                <w:highlight w:val="none"/>
                <w:lang w:val="en-US" w:eastAsia="zh-CN"/>
              </w:rPr>
              <w:t>。</w:t>
            </w:r>
          </w:p>
        </w:tc>
        <w:tc>
          <w:tcPr>
            <w:tcW w:w="1189" w:type="dxa"/>
            <w:tcBorders>
              <w:top w:val="single" w:color="auto" w:sz="4" w:space="0"/>
              <w:left w:val="single" w:color="auto" w:sz="4" w:space="0"/>
              <w:bottom w:val="single" w:color="auto" w:sz="4" w:space="0"/>
              <w:right w:val="single" w:color="auto" w:sz="4" w:space="0"/>
            </w:tcBorders>
            <w:shd w:val="clear" w:color="auto" w:fill="auto"/>
            <w:vAlign w:val="center"/>
          </w:tcPr>
          <w:p w14:paraId="1E46743D">
            <w:pPr>
              <w:jc w:val="center"/>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lang w:val="en-US" w:eastAsia="zh-CN"/>
              </w:rPr>
              <w:t>附件三</w:t>
            </w:r>
          </w:p>
        </w:tc>
      </w:tr>
    </w:tbl>
    <w:p w14:paraId="4E8B00C6">
      <w:pPr>
        <w:spacing w:line="430" w:lineRule="exact"/>
        <w:ind w:left="187" w:leftChars="85" w:hanging="9" w:hangingChars="4"/>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备注：</w:t>
      </w:r>
    </w:p>
    <w:p w14:paraId="584ABDD0">
      <w:pPr>
        <w:spacing w:line="360" w:lineRule="auto"/>
        <w:ind w:left="420"/>
        <w:rPr>
          <w:rFonts w:hint="eastAsia" w:ascii="新宋体" w:hAnsi="新宋体" w:eastAsia="新宋体" w:cs="新宋体"/>
          <w:color w:val="auto"/>
          <w:sz w:val="22"/>
          <w:szCs w:val="22"/>
          <w:highlight w:val="none"/>
          <w:u w:val="single"/>
        </w:rPr>
      </w:pPr>
      <w:r>
        <w:rPr>
          <w:rFonts w:hint="eastAsia" w:ascii="新宋体" w:hAnsi="新宋体" w:eastAsia="新宋体" w:cs="新宋体"/>
          <w:b/>
          <w:color w:val="auto"/>
          <w:sz w:val="22"/>
          <w:szCs w:val="22"/>
          <w:highlight w:val="none"/>
        </w:rPr>
        <w:t>①</w:t>
      </w:r>
      <w:r>
        <w:rPr>
          <w:rFonts w:hint="eastAsia" w:ascii="新宋体" w:hAnsi="新宋体" w:eastAsia="新宋体" w:cs="新宋体"/>
          <w:b/>
          <w:color w:val="auto"/>
          <w:sz w:val="22"/>
          <w:szCs w:val="22"/>
          <w:highlight w:val="none"/>
          <w:u w:val="single"/>
          <w:lang w:eastAsia="zh-CN"/>
        </w:rPr>
        <w:t>▲</w:t>
      </w:r>
      <w:r>
        <w:rPr>
          <w:rFonts w:hint="eastAsia" w:ascii="新宋体" w:hAnsi="新宋体" w:eastAsia="新宋体" w:cs="新宋体"/>
          <w:b/>
          <w:color w:val="auto"/>
          <w:sz w:val="22"/>
          <w:szCs w:val="22"/>
          <w:highlight w:val="none"/>
          <w:u w:val="single"/>
        </w:rPr>
        <w:t>以上所需的各种材料若系复印件、扫描件，须加盖供应商有效的公章</w:t>
      </w:r>
      <w:r>
        <w:rPr>
          <w:rFonts w:hint="eastAsia" w:ascii="新宋体" w:hAnsi="新宋体" w:eastAsia="新宋体" w:cs="新宋体"/>
          <w:color w:val="auto"/>
          <w:sz w:val="22"/>
          <w:szCs w:val="22"/>
          <w:highlight w:val="none"/>
          <w:u w:val="single"/>
        </w:rPr>
        <w:t>；</w:t>
      </w:r>
    </w:p>
    <w:p w14:paraId="6836077B">
      <w:pPr>
        <w:spacing w:line="360" w:lineRule="auto"/>
        <w:ind w:left="420"/>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rPr>
        <w:t>②相关证书、报告等如遇年检或换证等特殊情况须按要求提供相应的证明材料</w:t>
      </w:r>
      <w:r>
        <w:rPr>
          <w:rFonts w:hint="eastAsia" w:ascii="新宋体" w:hAnsi="新宋体" w:eastAsia="新宋体" w:cs="新宋体"/>
          <w:bCs/>
          <w:color w:val="auto"/>
          <w:sz w:val="22"/>
          <w:szCs w:val="22"/>
          <w:highlight w:val="none"/>
          <w:lang w:val="en-US" w:eastAsia="zh-CN"/>
        </w:rPr>
        <w:t>；</w:t>
      </w:r>
    </w:p>
    <w:p w14:paraId="61D98656">
      <w:pPr>
        <w:pStyle w:val="30"/>
        <w:spacing w:line="360" w:lineRule="auto"/>
        <w:ind w:left="0" w:leftChars="0" w:firstLine="0" w:firstLineChars="0"/>
        <w:rPr>
          <w:rFonts w:hint="eastAsia" w:ascii="新宋体" w:hAnsi="新宋体" w:eastAsia="新宋体" w:cs="新宋体"/>
          <w:color w:val="auto"/>
          <w:highlight w:val="none"/>
          <w:u w:val="single"/>
        </w:rPr>
      </w:pPr>
      <w:r>
        <w:rPr>
          <w:rFonts w:hint="eastAsia" w:ascii="新宋体" w:hAnsi="新宋体" w:eastAsia="新宋体" w:cs="新宋体"/>
          <w:color w:val="auto"/>
          <w:highlight w:val="none"/>
        </w:rPr>
        <w:t xml:space="preserve">    ③</w:t>
      </w:r>
      <w:r>
        <w:rPr>
          <w:rFonts w:hint="eastAsia" w:ascii="新宋体" w:hAnsi="新宋体" w:eastAsia="新宋体" w:cs="新宋体"/>
          <w:b/>
          <w:bCs/>
          <w:color w:val="auto"/>
          <w:sz w:val="22"/>
          <w:szCs w:val="22"/>
          <w:highlight w:val="none"/>
          <w:u w:val="single"/>
          <w:lang w:eastAsia="zh-CN"/>
        </w:rPr>
        <w:t>▲</w:t>
      </w:r>
      <w:r>
        <w:rPr>
          <w:rFonts w:hint="eastAsia" w:ascii="新宋体" w:hAnsi="新宋体" w:eastAsia="新宋体" w:cs="新宋体"/>
          <w:b/>
          <w:bCs/>
          <w:color w:val="auto"/>
          <w:sz w:val="22"/>
          <w:szCs w:val="22"/>
          <w:highlight w:val="none"/>
          <w:u w:val="single"/>
        </w:rPr>
        <w:t>上述资格条件审查材料有一项不提供或不符合要求的，均视为资格审查不通过。</w:t>
      </w:r>
    </w:p>
    <w:p w14:paraId="42FF477F">
      <w:pPr>
        <w:spacing w:line="588" w:lineRule="exact"/>
        <w:ind w:left="420"/>
        <w:rPr>
          <w:rFonts w:hint="eastAsia" w:ascii="新宋体" w:hAnsi="新宋体" w:eastAsia="新宋体" w:cs="新宋体"/>
          <w:color w:val="auto"/>
          <w:sz w:val="22"/>
          <w:szCs w:val="22"/>
          <w:highlight w:val="none"/>
        </w:rPr>
      </w:pPr>
    </w:p>
    <w:p w14:paraId="02504FC2">
      <w:pPr>
        <w:widowControl/>
        <w:adjustRightInd w:val="0"/>
        <w:snapToGrid w:val="0"/>
        <w:spacing w:line="360" w:lineRule="auto"/>
        <w:jc w:val="center"/>
        <w:rPr>
          <w:rFonts w:hint="eastAsia" w:ascii="新宋体" w:hAnsi="新宋体" w:eastAsia="新宋体" w:cs="新宋体"/>
          <w:b/>
          <w:bCs/>
          <w:color w:val="auto"/>
          <w:sz w:val="32"/>
          <w:szCs w:val="32"/>
          <w:highlight w:val="none"/>
        </w:rPr>
      </w:pPr>
      <w:r>
        <w:rPr>
          <w:rFonts w:hint="eastAsia" w:ascii="新宋体" w:hAnsi="新宋体" w:eastAsia="新宋体" w:cs="新宋体"/>
          <w:b/>
          <w:bCs/>
          <w:color w:val="auto"/>
          <w:sz w:val="32"/>
          <w:szCs w:val="32"/>
          <w:highlight w:val="none"/>
        </w:rPr>
        <w:br w:type="page"/>
      </w:r>
    </w:p>
    <w:p w14:paraId="243560EF">
      <w:pPr>
        <w:spacing w:line="380" w:lineRule="exact"/>
        <w:jc w:val="both"/>
        <w:rPr>
          <w:rFonts w:hint="eastAsia" w:ascii="新宋体" w:hAnsi="新宋体" w:eastAsia="新宋体" w:cs="新宋体"/>
          <w:b/>
          <w:color w:val="auto"/>
          <w:sz w:val="22"/>
          <w:szCs w:val="22"/>
          <w:highlight w:val="none"/>
          <w:lang w:val="en-US" w:eastAsia="zh-CN"/>
        </w:rPr>
      </w:pPr>
      <w:r>
        <w:rPr>
          <w:rFonts w:hint="eastAsia" w:ascii="新宋体" w:hAnsi="新宋体" w:eastAsia="新宋体" w:cs="新宋体"/>
          <w:b/>
          <w:color w:val="auto"/>
          <w:sz w:val="22"/>
          <w:szCs w:val="22"/>
          <w:highlight w:val="none"/>
          <w:lang w:val="en-US" w:eastAsia="zh-CN"/>
        </w:rPr>
        <w:t xml:space="preserve">附件一：    </w:t>
      </w:r>
    </w:p>
    <w:p w14:paraId="0287BE18">
      <w:pPr>
        <w:spacing w:line="380" w:lineRule="exact"/>
        <w:ind w:firstLine="1325" w:firstLineChars="600"/>
        <w:jc w:val="both"/>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营业执照(或事业法人登记证书或其它工商等登记证明材料)</w:t>
      </w:r>
      <w:r>
        <w:rPr>
          <w:rFonts w:hint="eastAsia" w:ascii="新宋体" w:hAnsi="新宋体" w:eastAsia="新宋体" w:cs="新宋体"/>
          <w:b/>
          <w:bCs/>
          <w:color w:val="auto"/>
          <w:sz w:val="22"/>
          <w:szCs w:val="22"/>
          <w:highlight w:val="none"/>
          <w:lang w:val="en-US" w:eastAsia="zh-CN"/>
        </w:rPr>
        <w:t>复印件加盖公章</w:t>
      </w:r>
      <w:r>
        <w:rPr>
          <w:rFonts w:hint="eastAsia" w:ascii="新宋体" w:hAnsi="新宋体" w:eastAsia="新宋体" w:cs="新宋体"/>
          <w:b/>
          <w:bCs/>
          <w:color w:val="auto"/>
          <w:sz w:val="22"/>
          <w:szCs w:val="22"/>
          <w:highlight w:val="none"/>
        </w:rPr>
        <w:t>；</w:t>
      </w:r>
    </w:p>
    <w:p w14:paraId="64AEF292">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说明：</w:t>
      </w:r>
    </w:p>
    <w:p w14:paraId="5A45CF87">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14:paraId="0E8B427C">
      <w:pPr>
        <w:spacing w:line="3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2、供应商提供的相应证明材料复印件均应符合：内容完整、清晰、整洁，并由供应商加盖其单位公章。</w:t>
      </w:r>
    </w:p>
    <w:p w14:paraId="3E52503E">
      <w:pPr>
        <w:spacing w:line="3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比选响应文件中提供相关材料），证明其具备实际承担责任的能力和法定的缔结合同能力，可以独立参加采购活动，由单位负责人签署相关文件材料。</w:t>
      </w:r>
    </w:p>
    <w:p w14:paraId="465AE33C">
      <w:pPr>
        <w:widowControl/>
        <w:adjustRightInd w:val="0"/>
        <w:snapToGrid w:val="0"/>
        <w:spacing w:line="360" w:lineRule="auto"/>
        <w:jc w:val="center"/>
        <w:rPr>
          <w:rFonts w:hint="eastAsia" w:ascii="新宋体" w:hAnsi="新宋体" w:eastAsia="新宋体" w:cs="新宋体"/>
          <w:b/>
          <w:bCs/>
          <w:color w:val="auto"/>
          <w:sz w:val="32"/>
          <w:szCs w:val="32"/>
          <w:highlight w:val="none"/>
        </w:rPr>
      </w:pPr>
    </w:p>
    <w:p w14:paraId="6A1645F3">
      <w:pPr>
        <w:pStyle w:val="3"/>
        <w:jc w:val="left"/>
        <w:rPr>
          <w:rFonts w:hint="default" w:ascii="新宋体" w:hAnsi="新宋体" w:eastAsia="新宋体" w:cs="新宋体"/>
          <w:b/>
          <w:bCs/>
          <w:color w:val="auto"/>
          <w:kern w:val="2"/>
          <w:sz w:val="22"/>
          <w:szCs w:val="22"/>
          <w:highlight w:val="none"/>
          <w:lang w:val="en-US" w:eastAsia="zh-CN" w:bidi="ar-SA"/>
        </w:rPr>
      </w:pPr>
      <w:r>
        <w:rPr>
          <w:rFonts w:hint="eastAsia" w:ascii="新宋体" w:hAnsi="新宋体" w:eastAsia="新宋体" w:cs="新宋体"/>
          <w:color w:val="auto"/>
          <w:sz w:val="22"/>
          <w:szCs w:val="22"/>
          <w:highlight w:val="none"/>
        </w:rPr>
        <w:br w:type="page"/>
      </w:r>
      <w:bookmarkStart w:id="190" w:name="_Toc19422"/>
      <w:bookmarkStart w:id="191" w:name="_Toc5222"/>
      <w:bookmarkStart w:id="192" w:name="_Toc9801"/>
      <w:bookmarkStart w:id="193" w:name="_Toc25466"/>
      <w:r>
        <w:rPr>
          <w:rFonts w:hint="eastAsia" w:ascii="新宋体" w:hAnsi="新宋体" w:eastAsia="新宋体" w:cs="新宋体"/>
          <w:b/>
          <w:bCs/>
          <w:color w:val="auto"/>
          <w:kern w:val="2"/>
          <w:sz w:val="22"/>
          <w:szCs w:val="22"/>
          <w:highlight w:val="none"/>
          <w:lang w:val="en-US" w:eastAsia="zh-CN" w:bidi="ar-SA"/>
        </w:rPr>
        <w:t>附件二：</w:t>
      </w:r>
    </w:p>
    <w:p w14:paraId="152D1B20">
      <w:pPr>
        <w:pStyle w:val="3"/>
        <w:rPr>
          <w:rFonts w:hint="eastAsia" w:ascii="新宋体" w:hAnsi="新宋体" w:eastAsia="新宋体" w:cs="新宋体"/>
          <w:color w:val="auto"/>
          <w:kern w:val="0"/>
          <w:sz w:val="28"/>
          <w:szCs w:val="28"/>
          <w:highlight w:val="none"/>
        </w:rPr>
      </w:pPr>
      <w:r>
        <w:rPr>
          <w:rFonts w:hint="eastAsia" w:ascii="新宋体" w:hAnsi="新宋体" w:eastAsia="新宋体" w:cs="新宋体"/>
          <w:color w:val="auto"/>
          <w:kern w:val="0"/>
          <w:sz w:val="28"/>
          <w:szCs w:val="28"/>
          <w:highlight w:val="none"/>
        </w:rPr>
        <w:t>资格条件承诺函</w:t>
      </w:r>
      <w:bookmarkEnd w:id="190"/>
      <w:bookmarkEnd w:id="191"/>
      <w:bookmarkEnd w:id="192"/>
      <w:bookmarkEnd w:id="193"/>
    </w:p>
    <w:p w14:paraId="2CBA5DC8">
      <w:pPr>
        <w:spacing w:line="440" w:lineRule="exact"/>
        <w:ind w:right="-153" w:rightChars="-73"/>
        <w:rPr>
          <w:rFonts w:hint="eastAsia" w:ascii="新宋体" w:hAnsi="新宋体" w:eastAsia="新宋体" w:cs="新宋体"/>
          <w:color w:val="auto"/>
          <w:sz w:val="22"/>
          <w:szCs w:val="22"/>
          <w:highlight w:val="none"/>
        </w:rPr>
      </w:pPr>
    </w:p>
    <w:p w14:paraId="3448F18D">
      <w:pPr>
        <w:spacing w:line="42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温州市数据集团有限公司</w:t>
      </w:r>
      <w:r>
        <w:rPr>
          <w:rFonts w:hint="eastAsia" w:ascii="新宋体" w:hAnsi="新宋体" w:eastAsia="新宋体" w:cs="新宋体"/>
          <w:color w:val="auto"/>
          <w:sz w:val="22"/>
          <w:szCs w:val="22"/>
          <w:highlight w:val="none"/>
        </w:rPr>
        <w:t>：</w:t>
      </w:r>
    </w:p>
    <w:p w14:paraId="04672A1A">
      <w:pPr>
        <w:spacing w:line="42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温州品立项目管理有限公司</w:t>
      </w:r>
      <w:r>
        <w:rPr>
          <w:rFonts w:hint="eastAsia" w:ascii="新宋体" w:hAnsi="新宋体" w:eastAsia="新宋体" w:cs="新宋体"/>
          <w:color w:val="auto"/>
          <w:sz w:val="22"/>
          <w:szCs w:val="22"/>
          <w:highlight w:val="none"/>
        </w:rPr>
        <w:t>：</w:t>
      </w:r>
    </w:p>
    <w:p w14:paraId="00C0F875">
      <w:pPr>
        <w:shd w:val="clear" w:color="auto" w:fill="FFFFFF"/>
        <w:snapToGrid w:val="0"/>
        <w:spacing w:line="440" w:lineRule="exact"/>
        <w:rPr>
          <w:rFonts w:hint="eastAsia" w:ascii="新宋体" w:hAnsi="新宋体" w:eastAsia="新宋体" w:cs="新宋体"/>
          <w:color w:val="auto"/>
          <w:sz w:val="22"/>
          <w:szCs w:val="22"/>
          <w:highlight w:val="none"/>
        </w:rPr>
      </w:pPr>
    </w:p>
    <w:p w14:paraId="5EBF0799">
      <w:pPr>
        <w:widowControl/>
        <w:spacing w:line="44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我方参与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（采购项目名称、</w:t>
      </w:r>
      <w:r>
        <w:rPr>
          <w:rFonts w:hint="eastAsia" w:ascii="新宋体" w:hAnsi="新宋体" w:eastAsia="新宋体" w:cs="新宋体"/>
          <w:color w:val="auto"/>
          <w:sz w:val="22"/>
          <w:szCs w:val="22"/>
          <w:highlight w:val="none"/>
          <w:lang w:val="en-US" w:eastAsia="zh-CN"/>
        </w:rPr>
        <w:t>项目</w:t>
      </w:r>
      <w:r>
        <w:rPr>
          <w:rFonts w:hint="eastAsia" w:ascii="新宋体" w:hAnsi="新宋体" w:eastAsia="新宋体" w:cs="新宋体"/>
          <w:color w:val="auto"/>
          <w:sz w:val="22"/>
          <w:szCs w:val="22"/>
          <w:highlight w:val="none"/>
        </w:rPr>
        <w:t>编号）投标响应，现郑重承诺：</w:t>
      </w:r>
    </w:p>
    <w:p w14:paraId="3FADE435">
      <w:pPr>
        <w:widowControl/>
        <w:spacing w:line="44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1.我方符合</w:t>
      </w:r>
      <w:r>
        <w:rPr>
          <w:rFonts w:hint="eastAsia" w:ascii="新宋体" w:hAnsi="新宋体" w:eastAsia="新宋体" w:cs="新宋体"/>
          <w:color w:val="auto"/>
          <w:kern w:val="0"/>
          <w:sz w:val="22"/>
          <w:szCs w:val="22"/>
          <w:highlight w:val="none"/>
        </w:rPr>
        <w:t>《温州市市属国有企业采购管理办法》第十八条</w:t>
      </w:r>
      <w:r>
        <w:rPr>
          <w:rFonts w:hint="eastAsia" w:ascii="新宋体" w:hAnsi="新宋体" w:eastAsia="新宋体" w:cs="新宋体"/>
          <w:color w:val="auto"/>
          <w:sz w:val="22"/>
          <w:szCs w:val="22"/>
          <w:highlight w:val="none"/>
        </w:rPr>
        <w:t>规定的资格条件，即</w:t>
      </w:r>
    </w:p>
    <w:p w14:paraId="7FB16033">
      <w:pPr>
        <w:widowControl/>
        <w:snapToGrid w:val="0"/>
        <w:spacing w:line="440" w:lineRule="exact"/>
        <w:ind w:left="420" w:left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（1）我方具有独立承担民事责任的能力；</w:t>
      </w:r>
    </w:p>
    <w:p w14:paraId="51EF4D01">
      <w:pPr>
        <w:widowControl/>
        <w:snapToGrid w:val="0"/>
        <w:spacing w:line="440" w:lineRule="exact"/>
        <w:ind w:left="420" w:left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（2）我方具有良好的商业信誉和健全的财务会计制度；</w:t>
      </w:r>
    </w:p>
    <w:p w14:paraId="6321A2F2">
      <w:pPr>
        <w:widowControl/>
        <w:snapToGrid w:val="0"/>
        <w:spacing w:line="440" w:lineRule="exact"/>
        <w:ind w:left="420" w:left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（3）我方具有履行合同所必需的设备和专业技术、售后保障等能力；</w:t>
      </w:r>
    </w:p>
    <w:p w14:paraId="0CEA2306">
      <w:pPr>
        <w:widowControl/>
        <w:snapToGrid w:val="0"/>
        <w:spacing w:line="440" w:lineRule="exact"/>
        <w:ind w:left="420" w:left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（4）我方有依法缴纳税收和社会保障资金的良好记录；</w:t>
      </w:r>
    </w:p>
    <w:p w14:paraId="01BF4B33">
      <w:pPr>
        <w:widowControl/>
        <w:snapToGrid w:val="0"/>
        <w:spacing w:line="440" w:lineRule="exact"/>
        <w:ind w:left="970" w:leftChars="200" w:hanging="550" w:hangingChars="25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（5）我方参加本次采购活动前3年内在经营活动中没有重大违法记录、严重失信行为和行贿记录。</w:t>
      </w:r>
    </w:p>
    <w:p w14:paraId="40C40B35">
      <w:pPr>
        <w:widowControl/>
        <w:snapToGrid w:val="0"/>
        <w:spacing w:line="440" w:lineRule="exact"/>
        <w:ind w:firstLine="440" w:firstLineChars="2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2.到本项目投标截止时间为止，我方未被“信用中国（</w:t>
      </w:r>
      <w:r>
        <w:rPr>
          <w:rFonts w:hint="eastAsia" w:ascii="新宋体" w:hAnsi="新宋体" w:eastAsia="新宋体" w:cs="新宋体"/>
          <w:color w:val="auto"/>
          <w:highlight w:val="none"/>
        </w:rPr>
        <w:fldChar w:fldCharType="begin"/>
      </w:r>
      <w:r>
        <w:rPr>
          <w:rFonts w:hint="eastAsia" w:ascii="新宋体" w:hAnsi="新宋体" w:eastAsia="新宋体" w:cs="新宋体"/>
          <w:color w:val="auto"/>
          <w:highlight w:val="none"/>
        </w:rPr>
        <w:instrText xml:space="preserve"> HYPERLINK "http://www.creditchina.gov.cn）、" </w:instrText>
      </w:r>
      <w:r>
        <w:rPr>
          <w:rFonts w:hint="eastAsia" w:ascii="新宋体" w:hAnsi="新宋体" w:eastAsia="新宋体" w:cs="新宋体"/>
          <w:color w:val="auto"/>
          <w:highlight w:val="none"/>
        </w:rPr>
        <w:fldChar w:fldCharType="separate"/>
      </w:r>
      <w:r>
        <w:rPr>
          <w:rStyle w:val="38"/>
          <w:rFonts w:hint="eastAsia" w:ascii="新宋体" w:hAnsi="新宋体" w:eastAsia="新宋体" w:cs="新宋体"/>
          <w:color w:val="auto"/>
          <w:kern w:val="0"/>
          <w:sz w:val="22"/>
          <w:szCs w:val="22"/>
          <w:highlight w:val="none"/>
        </w:rPr>
        <w:t>www.creditchina.gov.cn）、</w:t>
      </w:r>
      <w:r>
        <w:rPr>
          <w:rStyle w:val="38"/>
          <w:rFonts w:hint="eastAsia" w:ascii="新宋体" w:hAnsi="新宋体" w:eastAsia="新宋体" w:cs="新宋体"/>
          <w:color w:val="auto"/>
          <w:kern w:val="0"/>
          <w:sz w:val="22"/>
          <w:szCs w:val="22"/>
          <w:highlight w:val="none"/>
        </w:rPr>
        <w:fldChar w:fldCharType="end"/>
      </w:r>
      <w:r>
        <w:rPr>
          <w:rFonts w:hint="eastAsia" w:ascii="新宋体" w:hAnsi="新宋体" w:eastAsia="新宋体" w:cs="新宋体"/>
          <w:color w:val="auto"/>
          <w:kern w:val="0"/>
          <w:sz w:val="22"/>
          <w:szCs w:val="22"/>
          <w:highlight w:val="none"/>
        </w:rPr>
        <w:t xml:space="preserve"> 中国政府采购网（www.ccgp.gov.cn）列入失信被执行人名单、</w:t>
      </w:r>
      <w:r>
        <w:rPr>
          <w:rFonts w:hint="eastAsia" w:ascii="新宋体" w:hAnsi="新宋体" w:eastAsia="新宋体" w:cs="新宋体"/>
          <w:color w:val="auto"/>
          <w:kern w:val="0"/>
          <w:sz w:val="22"/>
          <w:szCs w:val="22"/>
          <w:highlight w:val="none"/>
          <w:lang w:eastAsia="zh-CN"/>
        </w:rPr>
        <w:t>重大税收违法失信主体名单</w:t>
      </w:r>
      <w:r>
        <w:rPr>
          <w:rFonts w:hint="eastAsia" w:ascii="新宋体" w:hAnsi="新宋体" w:eastAsia="新宋体" w:cs="新宋体"/>
          <w:color w:val="auto"/>
          <w:kern w:val="0"/>
          <w:sz w:val="22"/>
          <w:szCs w:val="22"/>
          <w:highlight w:val="none"/>
        </w:rPr>
        <w:t>、政府采购严重违法失信行为记录名单。</w:t>
      </w:r>
    </w:p>
    <w:p w14:paraId="03AC0767">
      <w:pPr>
        <w:widowControl/>
        <w:snapToGrid w:val="0"/>
        <w:spacing w:line="440" w:lineRule="exact"/>
        <w:ind w:firstLine="440" w:firstLineChars="200"/>
        <w:jc w:val="left"/>
        <w:rPr>
          <w:rFonts w:hint="eastAsia" w:ascii="新宋体" w:hAnsi="新宋体" w:eastAsia="新宋体" w:cs="新宋体"/>
          <w:color w:val="auto"/>
          <w:highlight w:val="none"/>
        </w:rPr>
      </w:pPr>
      <w:r>
        <w:rPr>
          <w:rFonts w:hint="eastAsia" w:ascii="新宋体" w:hAnsi="新宋体" w:eastAsia="新宋体" w:cs="新宋体"/>
          <w:color w:val="auto"/>
          <w:kern w:val="0"/>
          <w:sz w:val="22"/>
          <w:szCs w:val="22"/>
          <w:highlight w:val="none"/>
        </w:rPr>
        <w:t>3.</w:t>
      </w:r>
      <w:r>
        <w:rPr>
          <w:rFonts w:hint="eastAsia" w:ascii="新宋体" w:hAnsi="新宋体" w:eastAsia="新宋体" w:cs="新宋体"/>
          <w:snapToGrid w:val="0"/>
          <w:color w:val="auto"/>
          <w:sz w:val="22"/>
          <w:szCs w:val="22"/>
          <w:highlight w:val="none"/>
        </w:rPr>
        <w:t>我方不存在单位负责人为同一人或者存在直接控股、管理关系的不同供应商，参加同一合同项下的国企采购活动。</w:t>
      </w:r>
    </w:p>
    <w:p w14:paraId="25D93662">
      <w:pPr>
        <w:widowControl/>
        <w:snapToGrid w:val="0"/>
        <w:spacing w:line="440" w:lineRule="exact"/>
        <w:ind w:firstLine="440" w:firstLineChars="200"/>
        <w:jc w:val="left"/>
        <w:rPr>
          <w:rFonts w:hint="eastAsia" w:ascii="新宋体" w:hAnsi="新宋体" w:eastAsia="新宋体" w:cs="新宋体"/>
          <w:color w:val="auto"/>
          <w:kern w:val="0"/>
          <w:sz w:val="22"/>
          <w:szCs w:val="22"/>
          <w:highlight w:val="none"/>
        </w:rPr>
      </w:pPr>
    </w:p>
    <w:p w14:paraId="3464647D">
      <w:pPr>
        <w:widowControl/>
        <w:snapToGrid w:val="0"/>
        <w:spacing w:line="440" w:lineRule="exact"/>
        <w:ind w:left="210" w:leftChars="100"/>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以上承诺如有虚假，</w:t>
      </w:r>
      <w:r>
        <w:rPr>
          <w:rFonts w:hint="eastAsia" w:ascii="新宋体" w:hAnsi="新宋体" w:eastAsia="新宋体" w:cs="新宋体"/>
          <w:color w:val="auto"/>
          <w:sz w:val="22"/>
          <w:szCs w:val="22"/>
          <w:highlight w:val="none"/>
        </w:rPr>
        <w:t>愿接受取消</w:t>
      </w:r>
      <w:r>
        <w:rPr>
          <w:rFonts w:hint="eastAsia" w:ascii="新宋体" w:hAnsi="新宋体" w:eastAsia="新宋体" w:cs="新宋体"/>
          <w:color w:val="auto"/>
          <w:kern w:val="0"/>
          <w:sz w:val="22"/>
          <w:szCs w:val="22"/>
          <w:highlight w:val="none"/>
        </w:rPr>
        <w:t>我方任何资格（投标/中标/签订合同）</w:t>
      </w:r>
      <w:r>
        <w:rPr>
          <w:rFonts w:hint="eastAsia" w:ascii="新宋体" w:hAnsi="新宋体" w:eastAsia="新宋体" w:cs="新宋体"/>
          <w:color w:val="auto"/>
          <w:sz w:val="22"/>
          <w:szCs w:val="22"/>
          <w:highlight w:val="none"/>
        </w:rPr>
        <w:t>及其他任何形式的处理。</w:t>
      </w:r>
    </w:p>
    <w:p w14:paraId="114262DA">
      <w:pPr>
        <w:pStyle w:val="14"/>
        <w:spacing w:line="600" w:lineRule="exact"/>
        <w:ind w:firstLine="4840" w:firstLineChars="2200"/>
        <w:rPr>
          <w:rFonts w:hint="eastAsia" w:ascii="新宋体" w:hAnsi="新宋体" w:eastAsia="新宋体" w:cs="新宋体"/>
          <w:color w:val="auto"/>
          <w:sz w:val="22"/>
          <w:szCs w:val="22"/>
          <w:highlight w:val="none"/>
        </w:rPr>
      </w:pPr>
    </w:p>
    <w:p w14:paraId="33E75B75">
      <w:pPr>
        <w:spacing w:line="400" w:lineRule="exact"/>
        <w:rPr>
          <w:rFonts w:hint="eastAsia" w:ascii="新宋体" w:hAnsi="新宋体" w:eastAsia="新宋体" w:cs="新宋体"/>
          <w:color w:val="auto"/>
          <w:sz w:val="22"/>
          <w:szCs w:val="22"/>
          <w:highlight w:val="none"/>
        </w:rPr>
      </w:pPr>
    </w:p>
    <w:p w14:paraId="2B68E2A5">
      <w:pPr>
        <w:tabs>
          <w:tab w:val="left" w:pos="840"/>
        </w:tabs>
        <w:adjustRightInd w:val="0"/>
        <w:snapToGrid w:val="0"/>
        <w:spacing w:line="360" w:lineRule="auto"/>
        <w:ind w:left="420" w:leftChars="200" w:firstLine="330" w:firstLineChars="1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投标供应商全称（盖章）：</w:t>
      </w:r>
    </w:p>
    <w:p w14:paraId="5708763B">
      <w:pPr>
        <w:tabs>
          <w:tab w:val="left" w:pos="840"/>
        </w:tabs>
        <w:adjustRightInd w:val="0"/>
        <w:snapToGrid w:val="0"/>
        <w:spacing w:line="360" w:lineRule="auto"/>
        <w:ind w:left="420" w:leftChars="200" w:firstLine="330" w:firstLineChars="1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法定代表人（负责人）</w:t>
      </w:r>
      <w:r>
        <w:rPr>
          <w:rFonts w:hint="eastAsia" w:ascii="新宋体" w:hAnsi="新宋体" w:eastAsia="新宋体" w:cs="新宋体"/>
          <w:color w:val="auto"/>
          <w:sz w:val="22"/>
          <w:szCs w:val="22"/>
          <w:highlight w:val="none"/>
        </w:rPr>
        <w:t>或授权代表（签字或盖章）：</w:t>
      </w:r>
    </w:p>
    <w:p w14:paraId="085ECFB5">
      <w:pPr>
        <w:spacing w:line="400" w:lineRule="exact"/>
        <w:ind w:firstLine="770" w:firstLineChars="3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14:paraId="5C0F91C6">
      <w:pPr>
        <w:spacing w:line="380" w:lineRule="exact"/>
        <w:rPr>
          <w:rFonts w:hint="eastAsia" w:ascii="新宋体" w:hAnsi="新宋体" w:eastAsia="新宋体" w:cs="新宋体"/>
          <w:bCs/>
          <w:color w:val="auto"/>
          <w:sz w:val="22"/>
          <w:szCs w:val="22"/>
          <w:highlight w:val="none"/>
        </w:rPr>
      </w:pPr>
    </w:p>
    <w:p w14:paraId="63276BE9">
      <w:pPr>
        <w:spacing w:line="380" w:lineRule="exact"/>
        <w:ind w:left="-358" w:leftChars="-171" w:hanging="1"/>
        <w:jc w:val="center"/>
        <w:rPr>
          <w:rFonts w:hint="eastAsia" w:ascii="新宋体" w:hAnsi="新宋体" w:eastAsia="新宋体" w:cs="新宋体"/>
          <w:bCs/>
          <w:color w:val="auto"/>
          <w:sz w:val="22"/>
          <w:szCs w:val="22"/>
          <w:highlight w:val="none"/>
        </w:rPr>
      </w:pPr>
    </w:p>
    <w:p w14:paraId="6143DC0B">
      <w:pPr>
        <w:spacing w:line="380" w:lineRule="exact"/>
        <w:ind w:left="-359" w:leftChars="-171"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rPr>
        <w:t>注：</w:t>
      </w:r>
      <w:r>
        <w:rPr>
          <w:rFonts w:hint="eastAsia" w:ascii="新宋体" w:hAnsi="新宋体" w:eastAsia="新宋体" w:cs="新宋体"/>
          <w:color w:val="auto"/>
          <w:sz w:val="22"/>
          <w:szCs w:val="22"/>
          <w:highlight w:val="none"/>
          <w:u w:val="single"/>
        </w:rPr>
        <w:t>▲不提交本承诺书按无效标处理。</w:t>
      </w:r>
    </w:p>
    <w:p w14:paraId="31912A06">
      <w:pPr>
        <w:widowControl/>
        <w:adjustRightInd w:val="0"/>
        <w:snapToGrid w:val="0"/>
        <w:spacing w:line="360" w:lineRule="auto"/>
        <w:rPr>
          <w:rFonts w:hint="eastAsia" w:ascii="新宋体" w:hAnsi="新宋体" w:eastAsia="新宋体" w:cs="新宋体"/>
          <w:b/>
          <w:bCs/>
          <w:color w:val="auto"/>
          <w:sz w:val="22"/>
          <w:szCs w:val="22"/>
          <w:highlight w:val="none"/>
        </w:rPr>
      </w:pPr>
    </w:p>
    <w:p w14:paraId="6046E22D">
      <w:pPr>
        <w:widowControl/>
        <w:adjustRightInd w:val="0"/>
        <w:snapToGrid w:val="0"/>
        <w:spacing w:line="360" w:lineRule="auto"/>
        <w:rPr>
          <w:rFonts w:hint="eastAsia" w:ascii="新宋体" w:hAnsi="新宋体" w:eastAsia="新宋体" w:cs="新宋体"/>
          <w:b/>
          <w:bCs/>
          <w:color w:val="auto"/>
          <w:sz w:val="22"/>
          <w:szCs w:val="22"/>
          <w:highlight w:val="none"/>
        </w:rPr>
      </w:pPr>
    </w:p>
    <w:p w14:paraId="626FA65A">
      <w:pPr>
        <w:widowControl/>
        <w:adjustRightInd w:val="0"/>
        <w:snapToGrid w:val="0"/>
        <w:spacing w:line="360" w:lineRule="auto"/>
        <w:rPr>
          <w:rFonts w:hint="eastAsia" w:ascii="新宋体" w:hAnsi="新宋体" w:eastAsia="新宋体" w:cs="新宋体"/>
          <w:b/>
          <w:bCs/>
          <w:color w:val="auto"/>
          <w:sz w:val="22"/>
          <w:szCs w:val="22"/>
          <w:highlight w:val="none"/>
        </w:rPr>
      </w:pPr>
    </w:p>
    <w:p w14:paraId="6FFA8472">
      <w:pPr>
        <w:widowControl/>
        <w:adjustRightInd w:val="0"/>
        <w:snapToGrid w:val="0"/>
        <w:spacing w:line="360" w:lineRule="auto"/>
        <w:rPr>
          <w:rFonts w:hint="eastAsia" w:ascii="新宋体" w:hAnsi="新宋体" w:eastAsia="新宋体" w:cs="新宋体"/>
          <w:b/>
          <w:bCs/>
          <w:color w:val="auto"/>
          <w:sz w:val="22"/>
          <w:szCs w:val="22"/>
          <w:highlight w:val="none"/>
        </w:rPr>
      </w:pPr>
    </w:p>
    <w:p w14:paraId="3463591F">
      <w:pPr>
        <w:widowControl/>
        <w:adjustRightInd w:val="0"/>
        <w:snapToGrid w:val="0"/>
        <w:spacing w:line="360" w:lineRule="auto"/>
        <w:rPr>
          <w:rFonts w:hint="eastAsia" w:ascii="新宋体" w:hAnsi="新宋体" w:eastAsia="新宋体" w:cs="新宋体"/>
          <w:b/>
          <w:bCs/>
          <w:color w:val="auto"/>
          <w:sz w:val="22"/>
          <w:szCs w:val="22"/>
          <w:highlight w:val="none"/>
        </w:rPr>
      </w:pPr>
    </w:p>
    <w:p w14:paraId="2106CBF7">
      <w:pPr>
        <w:widowControl/>
        <w:adjustRightInd w:val="0"/>
        <w:snapToGrid w:val="0"/>
        <w:spacing w:line="360" w:lineRule="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附件三：</w:t>
      </w:r>
    </w:p>
    <w:p w14:paraId="33BCA591">
      <w:pPr>
        <w:pStyle w:val="11"/>
        <w:ind w:left="-420" w:leftChars="-200" w:firstLine="482" w:firstLineChars="200"/>
        <w:jc w:val="center"/>
        <w:rPr>
          <w:rFonts w:hint="eastAsia" w:ascii="新宋体" w:hAnsi="新宋体" w:eastAsia="新宋体" w:cs="新宋体"/>
          <w:color w:val="auto"/>
          <w:highlight w:val="none"/>
        </w:rPr>
      </w:pPr>
      <w:r>
        <w:rPr>
          <w:rFonts w:hint="eastAsia" w:ascii="新宋体" w:hAnsi="新宋体" w:eastAsia="新宋体" w:cs="新宋体"/>
          <w:b/>
          <w:bCs/>
          <w:color w:val="auto"/>
          <w:highlight w:val="none"/>
        </w:rPr>
        <w:t>非联合体声明书</w:t>
      </w:r>
    </w:p>
    <w:p w14:paraId="7F1DED66">
      <w:pPr>
        <w:pStyle w:val="11"/>
        <w:ind w:left="-420" w:leftChars="-200" w:firstLine="0" w:firstLineChars="0"/>
        <w:rPr>
          <w:rFonts w:hint="eastAsia" w:ascii="新宋体" w:hAnsi="新宋体" w:eastAsia="新宋体" w:cs="新宋体"/>
          <w:b/>
          <w:bCs/>
          <w:color w:val="auto"/>
          <w:highlight w:val="none"/>
        </w:rPr>
      </w:pPr>
    </w:p>
    <w:p w14:paraId="4C0C9829">
      <w:pPr>
        <w:spacing w:line="42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温州市数据集团有限公司</w:t>
      </w:r>
      <w:r>
        <w:rPr>
          <w:rFonts w:hint="eastAsia" w:ascii="新宋体" w:hAnsi="新宋体" w:eastAsia="新宋体" w:cs="新宋体"/>
          <w:color w:val="auto"/>
          <w:sz w:val="22"/>
          <w:szCs w:val="22"/>
          <w:highlight w:val="none"/>
        </w:rPr>
        <w:t>：</w:t>
      </w:r>
    </w:p>
    <w:p w14:paraId="794DB27C">
      <w:pPr>
        <w:spacing w:line="42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温州品立项目管理有限公司</w:t>
      </w:r>
      <w:r>
        <w:rPr>
          <w:rFonts w:hint="eastAsia" w:ascii="新宋体" w:hAnsi="新宋体" w:eastAsia="新宋体" w:cs="新宋体"/>
          <w:color w:val="auto"/>
          <w:sz w:val="22"/>
          <w:szCs w:val="22"/>
          <w:highlight w:val="none"/>
        </w:rPr>
        <w:t>：</w:t>
      </w:r>
    </w:p>
    <w:p w14:paraId="147193FC">
      <w:pPr>
        <w:pStyle w:val="11"/>
        <w:spacing w:line="360" w:lineRule="auto"/>
        <w:ind w:left="440" w:hanging="440"/>
        <w:rPr>
          <w:rFonts w:hint="eastAsia" w:ascii="新宋体" w:hAnsi="新宋体" w:eastAsia="新宋体" w:cs="新宋体"/>
          <w:color w:val="auto"/>
          <w:sz w:val="22"/>
          <w:szCs w:val="22"/>
          <w:highlight w:val="none"/>
        </w:rPr>
      </w:pPr>
      <w:r>
        <w:rPr>
          <w:rFonts w:hint="eastAsia" w:ascii="新宋体" w:hAnsi="新宋体" w:eastAsia="新宋体" w:cs="新宋体"/>
          <w:b/>
          <w:color w:val="auto"/>
          <w:kern w:val="0"/>
          <w:sz w:val="22"/>
          <w:szCs w:val="22"/>
          <w:highlight w:val="none"/>
          <w:lang w:bidi="ar"/>
        </w:rPr>
        <w:t xml:space="preserve"> </w:t>
      </w:r>
    </w:p>
    <w:p w14:paraId="3AFA9283">
      <w:pPr>
        <w:widowControl/>
        <w:spacing w:line="360" w:lineRule="auto"/>
        <w:ind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我方参加</w:t>
      </w:r>
      <w:r>
        <w:rPr>
          <w:rFonts w:hint="eastAsia" w:ascii="新宋体" w:hAnsi="新宋体" w:eastAsia="新宋体" w:cs="新宋体"/>
          <w:color w:val="auto"/>
          <w:kern w:val="0"/>
          <w:sz w:val="22"/>
          <w:szCs w:val="22"/>
          <w:highlight w:val="none"/>
          <w:u w:val="single"/>
          <w:lang w:eastAsia="zh-CN" w:bidi="ar"/>
        </w:rPr>
        <w:t>医疗专区智慧医疗数据综合流通平台-区域医疗综合管理系统及多元数据治理</w:t>
      </w:r>
      <w:r>
        <w:rPr>
          <w:rFonts w:hint="eastAsia" w:ascii="新宋体" w:hAnsi="新宋体" w:eastAsia="新宋体" w:cs="新宋体"/>
          <w:color w:val="auto"/>
          <w:kern w:val="0"/>
          <w:sz w:val="22"/>
          <w:szCs w:val="22"/>
          <w:highlight w:val="none"/>
          <w:lang w:bidi="ar"/>
        </w:rPr>
        <w:t>项目的采购活动，未与其他单位组成联合体</w:t>
      </w:r>
      <w:r>
        <w:rPr>
          <w:rFonts w:hint="eastAsia" w:ascii="新宋体" w:hAnsi="新宋体" w:eastAsia="新宋体" w:cs="新宋体"/>
          <w:b/>
          <w:color w:val="auto"/>
          <w:kern w:val="0"/>
          <w:sz w:val="22"/>
          <w:szCs w:val="22"/>
          <w:highlight w:val="none"/>
          <w:lang w:bidi="ar"/>
        </w:rPr>
        <w:t xml:space="preserve">。 </w:t>
      </w:r>
    </w:p>
    <w:p w14:paraId="05441B4E">
      <w:pPr>
        <w:widowControl/>
        <w:spacing w:line="360" w:lineRule="auto"/>
        <w:ind w:firstLine="440" w:firstLineChars="200"/>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 xml:space="preserve">我方上述声明的真实性负责，如有虚假或隐瞒，采购人可取消我方任何资格（投标/谈判/中标（成交）/签订合同），我方对此无任何异议， </w:t>
      </w:r>
    </w:p>
    <w:p w14:paraId="3FC82C86">
      <w:pPr>
        <w:widowControl/>
        <w:spacing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并愿意承担一切后果和责任。</w:t>
      </w:r>
      <w:r>
        <w:rPr>
          <w:rFonts w:hint="eastAsia" w:ascii="新宋体" w:hAnsi="新宋体" w:eastAsia="新宋体" w:cs="新宋体"/>
          <w:b/>
          <w:color w:val="auto"/>
          <w:kern w:val="0"/>
          <w:sz w:val="22"/>
          <w:szCs w:val="22"/>
          <w:highlight w:val="none"/>
          <w:lang w:bidi="ar"/>
        </w:rPr>
        <w:t xml:space="preserve"> </w:t>
      </w:r>
    </w:p>
    <w:p w14:paraId="737C2122">
      <w:pPr>
        <w:spacing w:before="120" w:beforeLines="50" w:after="120" w:afterLines="50"/>
        <w:rPr>
          <w:rFonts w:hint="eastAsia" w:ascii="新宋体" w:hAnsi="新宋体" w:eastAsia="新宋体" w:cs="新宋体"/>
          <w:color w:val="auto"/>
          <w:sz w:val="22"/>
          <w:szCs w:val="22"/>
          <w:highlight w:val="none"/>
        </w:rPr>
      </w:pPr>
    </w:p>
    <w:p w14:paraId="6EB73226">
      <w:pPr>
        <w:tabs>
          <w:tab w:val="left" w:pos="840"/>
        </w:tabs>
        <w:adjustRightInd w:val="0"/>
        <w:snapToGrid w:val="0"/>
        <w:spacing w:line="360" w:lineRule="auto"/>
        <w:ind w:left="420" w:leftChars="200" w:firstLine="330" w:firstLineChars="1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投标供应商全称（盖章）：</w:t>
      </w:r>
    </w:p>
    <w:p w14:paraId="7E40FE91">
      <w:pPr>
        <w:tabs>
          <w:tab w:val="left" w:pos="840"/>
        </w:tabs>
        <w:adjustRightInd w:val="0"/>
        <w:snapToGrid w:val="0"/>
        <w:spacing w:line="360" w:lineRule="auto"/>
        <w:ind w:left="420" w:leftChars="200" w:firstLine="330" w:firstLineChars="1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法定代表人（负责人）</w:t>
      </w:r>
      <w:r>
        <w:rPr>
          <w:rFonts w:hint="eastAsia" w:ascii="新宋体" w:hAnsi="新宋体" w:eastAsia="新宋体" w:cs="新宋体"/>
          <w:color w:val="auto"/>
          <w:sz w:val="22"/>
          <w:szCs w:val="22"/>
          <w:highlight w:val="none"/>
        </w:rPr>
        <w:t>或授权代表（签字或盖章）：</w:t>
      </w:r>
    </w:p>
    <w:p w14:paraId="70C36C7C">
      <w:pPr>
        <w:spacing w:line="400" w:lineRule="exact"/>
        <w:ind w:firstLine="770" w:firstLineChars="3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14:paraId="0B4AAE81">
      <w:pPr>
        <w:pStyle w:val="29"/>
        <w:ind w:firstLine="220"/>
        <w:rPr>
          <w:rFonts w:hint="eastAsia" w:ascii="新宋体" w:hAnsi="新宋体" w:eastAsia="新宋体" w:cs="新宋体"/>
          <w:color w:val="auto"/>
          <w:sz w:val="22"/>
          <w:szCs w:val="22"/>
          <w:highlight w:val="none"/>
          <w:u w:val="single"/>
        </w:rPr>
      </w:pPr>
    </w:p>
    <w:p w14:paraId="57FD122C">
      <w:pPr>
        <w:spacing w:line="360" w:lineRule="auto"/>
        <w:rPr>
          <w:rFonts w:hint="eastAsia" w:ascii="新宋体" w:hAnsi="新宋体" w:eastAsia="新宋体" w:cs="新宋体"/>
          <w:color w:val="auto"/>
          <w:sz w:val="22"/>
          <w:szCs w:val="22"/>
          <w:highlight w:val="none"/>
        </w:rPr>
      </w:pPr>
    </w:p>
    <w:p w14:paraId="59133E07">
      <w:pPr>
        <w:spacing w:line="380" w:lineRule="exact"/>
        <w:rPr>
          <w:rFonts w:hint="eastAsia" w:ascii="新宋体" w:hAnsi="新宋体" w:eastAsia="新宋体" w:cs="新宋体"/>
          <w:color w:val="auto"/>
          <w:sz w:val="22"/>
          <w:szCs w:val="22"/>
          <w:highlight w:val="none"/>
        </w:rPr>
      </w:pPr>
    </w:p>
    <w:p w14:paraId="37CFAAF5">
      <w:pPr>
        <w:spacing w:line="440" w:lineRule="exact"/>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rPr>
        <w:t>注：</w:t>
      </w:r>
      <w:r>
        <w:rPr>
          <w:rFonts w:hint="eastAsia" w:ascii="新宋体" w:hAnsi="新宋体" w:eastAsia="新宋体" w:cs="新宋体"/>
          <w:color w:val="auto"/>
          <w:sz w:val="22"/>
          <w:szCs w:val="22"/>
          <w:highlight w:val="none"/>
          <w:u w:val="single"/>
        </w:rPr>
        <w:t>▲不提交本承诺书按无效标处理。</w:t>
      </w:r>
    </w:p>
    <w:p w14:paraId="524C1D00">
      <w:pPr>
        <w:pStyle w:val="2"/>
        <w:rPr>
          <w:rFonts w:hint="eastAsia"/>
          <w:color w:val="auto"/>
          <w:highlight w:val="none"/>
        </w:rPr>
      </w:pPr>
    </w:p>
    <w:p w14:paraId="22936181">
      <w:pPr>
        <w:spacing w:line="360" w:lineRule="auto"/>
        <w:rPr>
          <w:rFonts w:hint="eastAsia" w:ascii="新宋体" w:hAnsi="新宋体" w:eastAsia="新宋体" w:cs="新宋体"/>
          <w:color w:val="auto"/>
          <w:sz w:val="22"/>
          <w:szCs w:val="22"/>
          <w:highlight w:val="none"/>
        </w:rPr>
      </w:pPr>
    </w:p>
    <w:p w14:paraId="2810810E">
      <w:pPr>
        <w:spacing w:before="120" w:beforeLines="50" w:after="120" w:afterLines="50"/>
        <w:rPr>
          <w:rFonts w:hint="eastAsia" w:ascii="新宋体" w:hAnsi="新宋体" w:eastAsia="新宋体" w:cs="新宋体"/>
          <w:color w:val="auto"/>
          <w:sz w:val="22"/>
          <w:szCs w:val="22"/>
          <w:highlight w:val="none"/>
        </w:rPr>
      </w:pPr>
    </w:p>
    <w:p w14:paraId="70DA2A96">
      <w:pPr>
        <w:spacing w:before="120" w:beforeLines="50" w:after="120" w:afterLines="50"/>
        <w:rPr>
          <w:rFonts w:hint="eastAsia" w:ascii="新宋体" w:hAnsi="新宋体" w:eastAsia="新宋体" w:cs="新宋体"/>
          <w:color w:val="auto"/>
          <w:sz w:val="22"/>
          <w:szCs w:val="22"/>
          <w:highlight w:val="none"/>
        </w:rPr>
      </w:pPr>
    </w:p>
    <w:p w14:paraId="3A2E9352">
      <w:pPr>
        <w:spacing w:before="120" w:beforeLines="50" w:after="120" w:afterLines="50"/>
        <w:rPr>
          <w:rFonts w:hint="eastAsia" w:ascii="新宋体" w:hAnsi="新宋体" w:eastAsia="新宋体" w:cs="新宋体"/>
          <w:color w:val="auto"/>
          <w:sz w:val="22"/>
          <w:szCs w:val="22"/>
          <w:highlight w:val="none"/>
        </w:rPr>
      </w:pPr>
    </w:p>
    <w:p w14:paraId="2F7467A6">
      <w:pPr>
        <w:spacing w:before="120" w:beforeLines="50" w:after="120" w:afterLines="50"/>
        <w:rPr>
          <w:rFonts w:hint="eastAsia" w:ascii="新宋体" w:hAnsi="新宋体" w:eastAsia="新宋体" w:cs="新宋体"/>
          <w:color w:val="auto"/>
          <w:sz w:val="22"/>
          <w:szCs w:val="22"/>
          <w:highlight w:val="none"/>
        </w:rPr>
      </w:pPr>
    </w:p>
    <w:p w14:paraId="04A93A5E">
      <w:pPr>
        <w:spacing w:before="120" w:beforeLines="50" w:after="120" w:afterLines="50"/>
        <w:rPr>
          <w:rFonts w:hint="eastAsia" w:ascii="新宋体" w:hAnsi="新宋体" w:eastAsia="新宋体" w:cs="新宋体"/>
          <w:color w:val="auto"/>
          <w:sz w:val="22"/>
          <w:szCs w:val="22"/>
          <w:highlight w:val="none"/>
        </w:rPr>
      </w:pPr>
    </w:p>
    <w:p w14:paraId="15E654DB">
      <w:pPr>
        <w:spacing w:before="120" w:beforeLines="50" w:after="120" w:afterLines="50"/>
        <w:rPr>
          <w:rFonts w:hint="eastAsia" w:ascii="新宋体" w:hAnsi="新宋体" w:eastAsia="新宋体" w:cs="新宋体"/>
          <w:color w:val="auto"/>
          <w:sz w:val="22"/>
          <w:szCs w:val="22"/>
          <w:highlight w:val="none"/>
        </w:rPr>
      </w:pPr>
    </w:p>
    <w:p w14:paraId="321D0B3B">
      <w:pPr>
        <w:spacing w:before="120" w:beforeLines="50" w:after="120" w:afterLines="50"/>
        <w:rPr>
          <w:rFonts w:hint="eastAsia" w:ascii="新宋体" w:hAnsi="新宋体" w:eastAsia="新宋体" w:cs="新宋体"/>
          <w:color w:val="auto"/>
          <w:sz w:val="22"/>
          <w:szCs w:val="22"/>
          <w:highlight w:val="none"/>
        </w:rPr>
      </w:pPr>
    </w:p>
    <w:p w14:paraId="113251C4">
      <w:pPr>
        <w:spacing w:before="120" w:beforeLines="50" w:after="120" w:afterLines="50"/>
        <w:rPr>
          <w:rFonts w:hint="eastAsia" w:ascii="新宋体" w:hAnsi="新宋体" w:eastAsia="新宋体" w:cs="新宋体"/>
          <w:color w:val="auto"/>
          <w:sz w:val="22"/>
          <w:szCs w:val="22"/>
          <w:highlight w:val="none"/>
        </w:rPr>
      </w:pPr>
    </w:p>
    <w:p w14:paraId="0A575D90">
      <w:pPr>
        <w:spacing w:before="120" w:beforeLines="50" w:after="120" w:afterLines="50"/>
        <w:rPr>
          <w:rFonts w:hint="eastAsia" w:ascii="新宋体" w:hAnsi="新宋体" w:eastAsia="新宋体" w:cs="新宋体"/>
          <w:color w:val="auto"/>
          <w:sz w:val="22"/>
          <w:szCs w:val="22"/>
          <w:highlight w:val="none"/>
        </w:rPr>
      </w:pPr>
    </w:p>
    <w:p w14:paraId="58A7D487">
      <w:pPr>
        <w:spacing w:before="120" w:beforeLines="50" w:after="120" w:afterLines="50"/>
        <w:rPr>
          <w:rFonts w:hint="eastAsia" w:ascii="新宋体" w:hAnsi="新宋体" w:eastAsia="新宋体" w:cs="新宋体"/>
          <w:color w:val="auto"/>
          <w:sz w:val="22"/>
          <w:szCs w:val="22"/>
          <w:highlight w:val="none"/>
        </w:rPr>
      </w:pPr>
    </w:p>
    <w:p w14:paraId="12B20B06">
      <w:pPr>
        <w:spacing w:before="120" w:beforeLines="50" w:after="120" w:afterLines="50"/>
        <w:rPr>
          <w:rFonts w:hint="eastAsia" w:ascii="新宋体" w:hAnsi="新宋体" w:eastAsia="新宋体" w:cs="新宋体"/>
          <w:color w:val="auto"/>
          <w:sz w:val="22"/>
          <w:szCs w:val="22"/>
          <w:highlight w:val="none"/>
        </w:rPr>
      </w:pPr>
    </w:p>
    <w:p w14:paraId="086A1D4F">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br w:type="page"/>
      </w:r>
    </w:p>
    <w:p w14:paraId="711C2DDB">
      <w:pPr>
        <w:spacing w:before="120" w:beforeLines="50" w:after="120" w:afterLine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（技术资信标封面，供参考）</w:t>
      </w:r>
    </w:p>
    <w:p w14:paraId="057385FE">
      <w:pPr>
        <w:rPr>
          <w:rFonts w:hint="eastAsia" w:ascii="新宋体" w:hAnsi="新宋体" w:eastAsia="新宋体" w:cs="新宋体"/>
          <w:color w:val="auto"/>
          <w:highlight w:val="none"/>
        </w:rPr>
      </w:pPr>
    </w:p>
    <w:p w14:paraId="2BA9AF06">
      <w:pPr>
        <w:rPr>
          <w:rFonts w:hint="eastAsia" w:ascii="新宋体" w:hAnsi="新宋体" w:eastAsia="新宋体" w:cs="新宋体"/>
          <w:color w:val="auto"/>
          <w:highlight w:val="none"/>
        </w:rPr>
      </w:pPr>
    </w:p>
    <w:p w14:paraId="18ED1555">
      <w:pPr>
        <w:rPr>
          <w:rFonts w:hint="eastAsia" w:ascii="新宋体" w:hAnsi="新宋体" w:eastAsia="新宋体" w:cs="新宋体"/>
          <w:color w:val="auto"/>
          <w:highlight w:val="none"/>
        </w:rPr>
      </w:pPr>
    </w:p>
    <w:p w14:paraId="0420E21C">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u w:val="single"/>
        </w:rPr>
        <w:t xml:space="preserve">                 （项目名称）              </w:t>
      </w:r>
      <w:r>
        <w:rPr>
          <w:rFonts w:hint="eastAsia" w:ascii="新宋体" w:hAnsi="新宋体" w:eastAsia="新宋体" w:cs="新宋体"/>
          <w:color w:val="auto"/>
          <w:sz w:val="28"/>
          <w:szCs w:val="28"/>
          <w:highlight w:val="none"/>
        </w:rPr>
        <w:t>投标文件</w:t>
      </w:r>
    </w:p>
    <w:p w14:paraId="196981B9">
      <w:pPr>
        <w:rPr>
          <w:rFonts w:hint="eastAsia" w:ascii="新宋体" w:hAnsi="新宋体" w:eastAsia="新宋体" w:cs="新宋体"/>
          <w:color w:val="auto"/>
          <w:sz w:val="28"/>
          <w:szCs w:val="28"/>
          <w:highlight w:val="none"/>
        </w:rPr>
      </w:pPr>
    </w:p>
    <w:p w14:paraId="0A91C85C">
      <w:pPr>
        <w:rPr>
          <w:rFonts w:hint="eastAsia" w:ascii="新宋体" w:hAnsi="新宋体" w:eastAsia="新宋体" w:cs="新宋体"/>
          <w:color w:val="auto"/>
          <w:sz w:val="28"/>
          <w:szCs w:val="28"/>
          <w:highlight w:val="none"/>
        </w:rPr>
      </w:pPr>
    </w:p>
    <w:p w14:paraId="0F160F6C">
      <w:pPr>
        <w:pStyle w:val="29"/>
        <w:ind w:firstLine="280"/>
        <w:rPr>
          <w:rFonts w:hint="eastAsia" w:ascii="新宋体" w:hAnsi="新宋体" w:eastAsia="新宋体" w:cs="新宋体"/>
          <w:color w:val="auto"/>
          <w:sz w:val="28"/>
          <w:szCs w:val="28"/>
          <w:highlight w:val="none"/>
        </w:rPr>
      </w:pPr>
    </w:p>
    <w:p w14:paraId="4FCDBE70">
      <w:pPr>
        <w:pStyle w:val="29"/>
        <w:ind w:firstLine="280"/>
        <w:rPr>
          <w:rFonts w:hint="eastAsia" w:ascii="新宋体" w:hAnsi="新宋体" w:eastAsia="新宋体" w:cs="新宋体"/>
          <w:color w:val="auto"/>
          <w:sz w:val="28"/>
          <w:szCs w:val="28"/>
          <w:highlight w:val="none"/>
        </w:rPr>
      </w:pPr>
    </w:p>
    <w:p w14:paraId="4A9FB8D4">
      <w:pPr>
        <w:rPr>
          <w:rFonts w:hint="eastAsia" w:ascii="新宋体" w:hAnsi="新宋体" w:eastAsia="新宋体" w:cs="新宋体"/>
          <w:color w:val="auto"/>
          <w:sz w:val="28"/>
          <w:szCs w:val="28"/>
          <w:highlight w:val="none"/>
        </w:rPr>
      </w:pPr>
    </w:p>
    <w:p w14:paraId="27AA8A3A">
      <w:pPr>
        <w:rPr>
          <w:rFonts w:hint="eastAsia" w:ascii="新宋体" w:hAnsi="新宋体" w:eastAsia="新宋体" w:cs="新宋体"/>
          <w:color w:val="auto"/>
          <w:sz w:val="28"/>
          <w:szCs w:val="28"/>
          <w:highlight w:val="none"/>
        </w:rPr>
      </w:pPr>
    </w:p>
    <w:p w14:paraId="304405BC">
      <w:pPr>
        <w:jc w:val="center"/>
        <w:rPr>
          <w:rFonts w:hint="eastAsia" w:ascii="新宋体" w:hAnsi="新宋体" w:eastAsia="新宋体" w:cs="新宋体"/>
          <w:color w:val="auto"/>
          <w:sz w:val="52"/>
          <w:szCs w:val="52"/>
          <w:highlight w:val="none"/>
        </w:rPr>
      </w:pPr>
      <w:r>
        <w:rPr>
          <w:rFonts w:hint="eastAsia" w:ascii="新宋体" w:hAnsi="新宋体" w:eastAsia="新宋体" w:cs="新宋体"/>
          <w:color w:val="auto"/>
          <w:sz w:val="52"/>
          <w:szCs w:val="52"/>
          <w:highlight w:val="none"/>
        </w:rPr>
        <w:t>技 术 资 信 标</w:t>
      </w:r>
    </w:p>
    <w:p w14:paraId="7E380B4D">
      <w:pPr>
        <w:spacing w:line="360" w:lineRule="auto"/>
        <w:rPr>
          <w:rFonts w:hint="eastAsia" w:ascii="新宋体" w:hAnsi="新宋体" w:eastAsia="新宋体" w:cs="新宋体"/>
          <w:color w:val="auto"/>
          <w:szCs w:val="21"/>
          <w:highlight w:val="none"/>
        </w:rPr>
      </w:pPr>
    </w:p>
    <w:p w14:paraId="0037F864">
      <w:pPr>
        <w:spacing w:line="360" w:lineRule="auto"/>
        <w:rPr>
          <w:rFonts w:hint="eastAsia" w:ascii="新宋体" w:hAnsi="新宋体" w:eastAsia="新宋体" w:cs="新宋体"/>
          <w:color w:val="auto"/>
          <w:szCs w:val="21"/>
          <w:highlight w:val="none"/>
        </w:rPr>
      </w:pPr>
    </w:p>
    <w:p w14:paraId="2BB3126B">
      <w:pPr>
        <w:spacing w:line="360" w:lineRule="auto"/>
        <w:rPr>
          <w:rFonts w:hint="eastAsia" w:ascii="新宋体" w:hAnsi="新宋体" w:eastAsia="新宋体" w:cs="新宋体"/>
          <w:color w:val="auto"/>
          <w:szCs w:val="21"/>
          <w:highlight w:val="none"/>
        </w:rPr>
      </w:pPr>
    </w:p>
    <w:p w14:paraId="4E0D8137">
      <w:pPr>
        <w:spacing w:line="360" w:lineRule="auto"/>
        <w:rPr>
          <w:rFonts w:hint="eastAsia" w:ascii="新宋体" w:hAnsi="新宋体" w:eastAsia="新宋体" w:cs="新宋体"/>
          <w:color w:val="auto"/>
          <w:szCs w:val="21"/>
          <w:highlight w:val="none"/>
        </w:rPr>
      </w:pPr>
    </w:p>
    <w:p w14:paraId="5ABFBED8">
      <w:pPr>
        <w:pStyle w:val="29"/>
        <w:ind w:firstLine="200"/>
        <w:rPr>
          <w:rFonts w:hint="eastAsia" w:ascii="新宋体" w:hAnsi="新宋体" w:eastAsia="新宋体" w:cs="新宋体"/>
          <w:color w:val="auto"/>
          <w:highlight w:val="none"/>
        </w:rPr>
      </w:pPr>
    </w:p>
    <w:p w14:paraId="569342D1">
      <w:pPr>
        <w:spacing w:line="360" w:lineRule="auto"/>
        <w:rPr>
          <w:rFonts w:hint="eastAsia" w:ascii="新宋体" w:hAnsi="新宋体" w:eastAsia="新宋体" w:cs="新宋体"/>
          <w:color w:val="auto"/>
          <w:szCs w:val="21"/>
          <w:highlight w:val="none"/>
        </w:rPr>
      </w:pPr>
    </w:p>
    <w:p w14:paraId="2F2B7054">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rPr>
        <w:t>投标供应商：</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（盖单位章）</w:t>
      </w:r>
    </w:p>
    <w:p w14:paraId="2A9684AE">
      <w:pPr>
        <w:rPr>
          <w:rFonts w:hint="eastAsia" w:ascii="新宋体" w:hAnsi="新宋体" w:eastAsia="新宋体" w:cs="新宋体"/>
          <w:color w:val="auto"/>
          <w:sz w:val="28"/>
          <w:szCs w:val="28"/>
          <w:highlight w:val="none"/>
          <w:u w:val="single"/>
        </w:rPr>
      </w:pPr>
    </w:p>
    <w:p w14:paraId="2C869B56">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lang w:eastAsia="zh-CN"/>
        </w:rPr>
        <w:t>法定代表人（负责人）</w:t>
      </w:r>
      <w:r>
        <w:rPr>
          <w:rFonts w:hint="eastAsia" w:ascii="新宋体" w:hAnsi="新宋体" w:eastAsia="新宋体" w:cs="新宋体"/>
          <w:color w:val="auto"/>
          <w:sz w:val="28"/>
          <w:szCs w:val="28"/>
          <w:highlight w:val="none"/>
        </w:rPr>
        <w:t>或其委托代理人：</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（签字或盖章）</w:t>
      </w:r>
    </w:p>
    <w:p w14:paraId="73532F56">
      <w:pPr>
        <w:rPr>
          <w:rFonts w:hint="eastAsia" w:ascii="新宋体" w:hAnsi="新宋体" w:eastAsia="新宋体" w:cs="新宋体"/>
          <w:color w:val="auto"/>
          <w:sz w:val="28"/>
          <w:szCs w:val="28"/>
          <w:highlight w:val="none"/>
        </w:rPr>
      </w:pPr>
    </w:p>
    <w:p w14:paraId="3696DEA1">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年</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月</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日</w:t>
      </w:r>
    </w:p>
    <w:p w14:paraId="08757381">
      <w:pPr>
        <w:jc w:val="center"/>
        <w:rPr>
          <w:rFonts w:hint="eastAsia" w:ascii="新宋体" w:hAnsi="新宋体" w:eastAsia="新宋体" w:cs="新宋体"/>
          <w:b/>
          <w:bCs/>
          <w:color w:val="auto"/>
          <w:sz w:val="28"/>
          <w:szCs w:val="28"/>
          <w:highlight w:val="none"/>
        </w:rPr>
      </w:pPr>
      <w:r>
        <w:rPr>
          <w:rFonts w:hint="eastAsia" w:ascii="新宋体" w:hAnsi="新宋体" w:eastAsia="新宋体" w:cs="新宋体"/>
          <w:color w:val="auto"/>
          <w:highlight w:val="none"/>
        </w:rPr>
        <w:br w:type="page"/>
      </w:r>
      <w:r>
        <w:rPr>
          <w:rFonts w:hint="eastAsia" w:ascii="新宋体" w:hAnsi="新宋体" w:eastAsia="新宋体" w:cs="新宋体"/>
          <w:b/>
          <w:bCs/>
          <w:color w:val="auto"/>
          <w:sz w:val="52"/>
          <w:szCs w:val="52"/>
          <w:highlight w:val="none"/>
        </w:rPr>
        <w:t>目  录</w:t>
      </w:r>
    </w:p>
    <w:tbl>
      <w:tblPr>
        <w:tblStyle w:val="31"/>
        <w:tblW w:w="499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7403"/>
        <w:gridCol w:w="1323"/>
      </w:tblGrid>
      <w:tr w14:paraId="3E936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81" w:type="pct"/>
            <w:tcBorders>
              <w:top w:val="single" w:color="auto" w:sz="4" w:space="0"/>
              <w:left w:val="single" w:color="auto" w:sz="4" w:space="0"/>
              <w:bottom w:val="single" w:color="auto" w:sz="4" w:space="0"/>
              <w:right w:val="single" w:color="auto" w:sz="4" w:space="0"/>
            </w:tcBorders>
            <w:vAlign w:val="center"/>
          </w:tcPr>
          <w:p w14:paraId="6545EFF1">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序号</w:t>
            </w:r>
          </w:p>
        </w:tc>
        <w:tc>
          <w:tcPr>
            <w:tcW w:w="3918" w:type="pct"/>
            <w:tcBorders>
              <w:top w:val="single" w:color="auto" w:sz="4" w:space="0"/>
              <w:left w:val="single" w:color="auto" w:sz="4" w:space="0"/>
              <w:bottom w:val="single" w:color="auto" w:sz="4" w:space="0"/>
              <w:right w:val="single" w:color="auto" w:sz="4" w:space="0"/>
            </w:tcBorders>
            <w:vAlign w:val="center"/>
          </w:tcPr>
          <w:p w14:paraId="2D00DC86">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内容</w:t>
            </w:r>
          </w:p>
        </w:tc>
        <w:tc>
          <w:tcPr>
            <w:tcW w:w="700" w:type="pct"/>
            <w:tcBorders>
              <w:top w:val="single" w:color="auto" w:sz="4" w:space="0"/>
              <w:left w:val="single" w:color="auto" w:sz="4" w:space="0"/>
              <w:bottom w:val="single" w:color="auto" w:sz="4" w:space="0"/>
              <w:right w:val="single" w:color="auto" w:sz="4" w:space="0"/>
            </w:tcBorders>
            <w:vAlign w:val="center"/>
          </w:tcPr>
          <w:p w14:paraId="08F9202E">
            <w:pPr>
              <w:jc w:val="center"/>
              <w:rPr>
                <w:rFonts w:hint="default" w:ascii="新宋体" w:hAnsi="新宋体" w:eastAsia="新宋体" w:cs="新宋体"/>
                <w:b/>
                <w:color w:val="auto"/>
                <w:sz w:val="22"/>
                <w:szCs w:val="22"/>
                <w:highlight w:val="none"/>
                <w:lang w:val="en-US" w:eastAsia="zh-CN"/>
              </w:rPr>
            </w:pPr>
            <w:r>
              <w:rPr>
                <w:rFonts w:hint="eastAsia" w:ascii="新宋体" w:hAnsi="新宋体" w:eastAsia="新宋体" w:cs="新宋体"/>
                <w:b/>
                <w:color w:val="auto"/>
                <w:sz w:val="22"/>
                <w:szCs w:val="22"/>
                <w:highlight w:val="none"/>
                <w:lang w:val="en-US" w:eastAsia="zh-CN"/>
              </w:rPr>
              <w:t>备注</w:t>
            </w:r>
          </w:p>
        </w:tc>
      </w:tr>
      <w:tr w14:paraId="0864E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81" w:type="pct"/>
            <w:tcBorders>
              <w:top w:val="single" w:color="auto" w:sz="4" w:space="0"/>
              <w:left w:val="single" w:color="auto" w:sz="4" w:space="0"/>
              <w:bottom w:val="single" w:color="auto" w:sz="4" w:space="0"/>
              <w:right w:val="single" w:color="auto" w:sz="4" w:space="0"/>
            </w:tcBorders>
            <w:vAlign w:val="center"/>
          </w:tcPr>
          <w:p w14:paraId="1B4FF3DC">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w:t>
            </w:r>
          </w:p>
        </w:tc>
        <w:tc>
          <w:tcPr>
            <w:tcW w:w="3918" w:type="pct"/>
            <w:tcBorders>
              <w:top w:val="single" w:color="auto" w:sz="4" w:space="0"/>
              <w:left w:val="single" w:color="auto" w:sz="4" w:space="0"/>
              <w:bottom w:val="single" w:color="auto" w:sz="4" w:space="0"/>
              <w:right w:val="single" w:color="auto" w:sz="4" w:space="0"/>
            </w:tcBorders>
            <w:vAlign w:val="center"/>
          </w:tcPr>
          <w:p w14:paraId="77CCF328">
            <w:pPr>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
                <w:bCs w:val="0"/>
                <w:color w:val="auto"/>
                <w:sz w:val="22"/>
                <w:szCs w:val="22"/>
                <w:highlight w:val="none"/>
              </w:rPr>
              <w:t>针对评分细则，编制目录索引，注明评标细则项目所在投标文件页码，本文件“第三部分  投标文件格式”未提供格式的，请各投标</w:t>
            </w:r>
            <w:r>
              <w:rPr>
                <w:rFonts w:hint="eastAsia" w:ascii="新宋体" w:hAnsi="新宋体" w:eastAsia="新宋体" w:cs="新宋体"/>
                <w:b/>
                <w:bCs w:val="0"/>
                <w:color w:val="auto"/>
                <w:sz w:val="22"/>
                <w:szCs w:val="22"/>
                <w:highlight w:val="none"/>
                <w:lang w:val="en-US" w:eastAsia="zh-CN"/>
              </w:rPr>
              <w:t>供应商</w:t>
            </w:r>
            <w:r>
              <w:rPr>
                <w:rFonts w:hint="eastAsia" w:ascii="新宋体" w:hAnsi="新宋体" w:eastAsia="新宋体" w:cs="新宋体"/>
                <w:b/>
                <w:bCs w:val="0"/>
                <w:color w:val="auto"/>
                <w:sz w:val="22"/>
                <w:szCs w:val="22"/>
                <w:highlight w:val="none"/>
              </w:rPr>
              <w:t>自行拟定格式</w:t>
            </w:r>
            <w:r>
              <w:rPr>
                <w:rFonts w:hint="eastAsia" w:ascii="新宋体" w:hAnsi="新宋体" w:eastAsia="新宋体" w:cs="新宋体"/>
                <w:b/>
                <w:bCs w:val="0"/>
                <w:color w:val="auto"/>
                <w:sz w:val="22"/>
                <w:szCs w:val="22"/>
                <w:highlight w:val="none"/>
                <w:lang w:eastAsia="zh-CN"/>
              </w:rPr>
              <w:t>。</w:t>
            </w:r>
          </w:p>
        </w:tc>
        <w:tc>
          <w:tcPr>
            <w:tcW w:w="700" w:type="pct"/>
            <w:tcBorders>
              <w:top w:val="single" w:color="auto" w:sz="4" w:space="0"/>
              <w:left w:val="single" w:color="auto" w:sz="4" w:space="0"/>
              <w:bottom w:val="single" w:color="auto" w:sz="4" w:space="0"/>
              <w:right w:val="single" w:color="auto" w:sz="4" w:space="0"/>
            </w:tcBorders>
            <w:vAlign w:val="center"/>
          </w:tcPr>
          <w:p w14:paraId="5CBD989B">
            <w:pPr>
              <w:rPr>
                <w:rFonts w:hint="eastAsia" w:ascii="新宋体" w:hAnsi="新宋体" w:eastAsia="新宋体" w:cs="新宋体"/>
                <w:b/>
                <w:bCs w:val="0"/>
                <w:color w:val="auto"/>
                <w:sz w:val="22"/>
                <w:szCs w:val="22"/>
                <w:highlight w:val="none"/>
              </w:rPr>
            </w:pPr>
          </w:p>
        </w:tc>
      </w:tr>
      <w:tr w14:paraId="17907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81" w:type="pct"/>
            <w:tcBorders>
              <w:top w:val="single" w:color="auto" w:sz="4" w:space="0"/>
              <w:left w:val="single" w:color="auto" w:sz="4" w:space="0"/>
              <w:bottom w:val="single" w:color="auto" w:sz="4" w:space="0"/>
              <w:right w:val="single" w:color="auto" w:sz="4" w:space="0"/>
            </w:tcBorders>
            <w:vAlign w:val="center"/>
          </w:tcPr>
          <w:p w14:paraId="0564D018">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3918" w:type="pct"/>
            <w:tcBorders>
              <w:top w:val="single" w:color="auto" w:sz="4" w:space="0"/>
              <w:left w:val="single" w:color="auto" w:sz="4" w:space="0"/>
              <w:bottom w:val="single" w:color="auto" w:sz="4" w:space="0"/>
              <w:right w:val="single" w:color="auto" w:sz="4" w:space="0"/>
            </w:tcBorders>
            <w:vAlign w:val="center"/>
          </w:tcPr>
          <w:p w14:paraId="207AEF44">
            <w:pP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投标函</w:t>
            </w:r>
          </w:p>
        </w:tc>
        <w:tc>
          <w:tcPr>
            <w:tcW w:w="700" w:type="pct"/>
            <w:tcBorders>
              <w:top w:val="single" w:color="auto" w:sz="4" w:space="0"/>
              <w:left w:val="single" w:color="auto" w:sz="4" w:space="0"/>
              <w:bottom w:val="single" w:color="auto" w:sz="4" w:space="0"/>
              <w:right w:val="single" w:color="auto" w:sz="4" w:space="0"/>
            </w:tcBorders>
            <w:vAlign w:val="center"/>
          </w:tcPr>
          <w:p w14:paraId="42E3A31A">
            <w:pPr>
              <w:jc w:val="center"/>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lang w:val="en-US" w:eastAsia="zh-CN"/>
              </w:rPr>
              <w:t>附件一</w:t>
            </w:r>
          </w:p>
        </w:tc>
      </w:tr>
      <w:tr w14:paraId="6F088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81" w:type="pct"/>
            <w:tcBorders>
              <w:top w:val="single" w:color="auto" w:sz="4" w:space="0"/>
              <w:left w:val="single" w:color="auto" w:sz="4" w:space="0"/>
              <w:bottom w:val="single" w:color="auto" w:sz="4" w:space="0"/>
              <w:right w:val="single" w:color="auto" w:sz="4" w:space="0"/>
            </w:tcBorders>
            <w:vAlign w:val="center"/>
          </w:tcPr>
          <w:p w14:paraId="5DF60D07">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3</w:t>
            </w:r>
          </w:p>
        </w:tc>
        <w:tc>
          <w:tcPr>
            <w:tcW w:w="3918" w:type="pct"/>
            <w:tcBorders>
              <w:top w:val="single" w:color="auto" w:sz="4" w:space="0"/>
              <w:left w:val="single" w:color="auto" w:sz="4" w:space="0"/>
              <w:bottom w:val="single" w:color="auto" w:sz="4" w:space="0"/>
              <w:right w:val="single" w:color="auto" w:sz="4" w:space="0"/>
            </w:tcBorders>
            <w:vAlign w:val="center"/>
          </w:tcPr>
          <w:p w14:paraId="6FA4C546">
            <w:pP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法定代表人（负责人）声明书或法定代表人（负责人）授权书</w:t>
            </w:r>
          </w:p>
        </w:tc>
        <w:tc>
          <w:tcPr>
            <w:tcW w:w="700" w:type="pct"/>
            <w:tcBorders>
              <w:top w:val="single" w:color="auto" w:sz="4" w:space="0"/>
              <w:left w:val="single" w:color="auto" w:sz="4" w:space="0"/>
              <w:bottom w:val="single" w:color="auto" w:sz="4" w:space="0"/>
              <w:right w:val="single" w:color="auto" w:sz="4" w:space="0"/>
            </w:tcBorders>
            <w:vAlign w:val="center"/>
          </w:tcPr>
          <w:p w14:paraId="79119794">
            <w:pPr>
              <w:jc w:val="center"/>
              <w:rPr>
                <w:rFonts w:hint="default" w:ascii="新宋体" w:hAnsi="新宋体" w:eastAsia="新宋体" w:cs="新宋体"/>
                <w:bCs/>
                <w:color w:val="auto"/>
                <w:sz w:val="22"/>
                <w:szCs w:val="22"/>
                <w:highlight w:val="none"/>
                <w:lang w:val="en-US"/>
              </w:rPr>
            </w:pPr>
            <w:r>
              <w:rPr>
                <w:rFonts w:hint="eastAsia" w:ascii="新宋体" w:hAnsi="新宋体" w:eastAsia="新宋体" w:cs="新宋体"/>
                <w:color w:val="auto"/>
                <w:sz w:val="22"/>
                <w:szCs w:val="22"/>
                <w:highlight w:val="none"/>
                <w:lang w:val="en-US" w:eastAsia="zh-CN"/>
              </w:rPr>
              <w:t>附件二</w:t>
            </w:r>
          </w:p>
        </w:tc>
      </w:tr>
      <w:tr w14:paraId="539EA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81" w:type="pct"/>
            <w:tcBorders>
              <w:top w:val="single" w:color="auto" w:sz="4" w:space="0"/>
              <w:left w:val="single" w:color="auto" w:sz="4" w:space="0"/>
              <w:bottom w:val="single" w:color="auto" w:sz="4" w:space="0"/>
              <w:right w:val="single" w:color="auto" w:sz="4" w:space="0"/>
            </w:tcBorders>
            <w:vAlign w:val="center"/>
          </w:tcPr>
          <w:p w14:paraId="555E1408">
            <w:pPr>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4</w:t>
            </w:r>
          </w:p>
        </w:tc>
        <w:tc>
          <w:tcPr>
            <w:tcW w:w="3918" w:type="pct"/>
            <w:tcBorders>
              <w:top w:val="single" w:color="auto" w:sz="4" w:space="0"/>
              <w:left w:val="single" w:color="auto" w:sz="4" w:space="0"/>
              <w:bottom w:val="single" w:color="auto" w:sz="4" w:space="0"/>
              <w:right w:val="single" w:color="auto" w:sz="4" w:space="0"/>
            </w:tcBorders>
            <w:vAlign w:val="center"/>
          </w:tcPr>
          <w:p w14:paraId="64C7E450">
            <w:pP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eastAsia="zh-CN"/>
              </w:rPr>
              <w:t>技术/服务条款偏离表</w:t>
            </w:r>
            <w:r>
              <w:rPr>
                <w:rFonts w:hint="eastAsia" w:ascii="新宋体" w:hAnsi="新宋体" w:eastAsia="新宋体" w:cs="新宋体"/>
                <w:bCs/>
                <w:color w:val="auto"/>
                <w:sz w:val="22"/>
                <w:szCs w:val="22"/>
                <w:highlight w:val="none"/>
              </w:rPr>
              <w:t>、商务条款偏离表</w:t>
            </w:r>
          </w:p>
        </w:tc>
        <w:tc>
          <w:tcPr>
            <w:tcW w:w="700" w:type="pct"/>
            <w:tcBorders>
              <w:top w:val="single" w:color="auto" w:sz="4" w:space="0"/>
              <w:left w:val="single" w:color="auto" w:sz="4" w:space="0"/>
              <w:bottom w:val="single" w:color="auto" w:sz="4" w:space="0"/>
              <w:right w:val="single" w:color="auto" w:sz="4" w:space="0"/>
            </w:tcBorders>
            <w:vAlign w:val="center"/>
          </w:tcPr>
          <w:p w14:paraId="6B3C6346">
            <w:pPr>
              <w:jc w:val="center"/>
              <w:rPr>
                <w:rFonts w:hint="default" w:ascii="新宋体" w:hAnsi="新宋体" w:eastAsia="新宋体" w:cs="新宋体"/>
                <w:bCs/>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附件三、四</w:t>
            </w:r>
          </w:p>
        </w:tc>
      </w:tr>
      <w:tr w14:paraId="3CAAC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81" w:type="pct"/>
            <w:tcBorders>
              <w:top w:val="single" w:color="auto" w:sz="4" w:space="0"/>
              <w:left w:val="single" w:color="auto" w:sz="4" w:space="0"/>
              <w:bottom w:val="single" w:color="auto" w:sz="4" w:space="0"/>
              <w:right w:val="single" w:color="auto" w:sz="4" w:space="0"/>
            </w:tcBorders>
            <w:vAlign w:val="center"/>
          </w:tcPr>
          <w:p w14:paraId="287C38E5">
            <w:pPr>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5</w:t>
            </w:r>
          </w:p>
        </w:tc>
        <w:tc>
          <w:tcPr>
            <w:tcW w:w="3918" w:type="pct"/>
            <w:tcBorders>
              <w:top w:val="single" w:color="auto" w:sz="4" w:space="0"/>
              <w:left w:val="single" w:color="auto" w:sz="4" w:space="0"/>
              <w:bottom w:val="single" w:color="auto" w:sz="4" w:space="0"/>
              <w:right w:val="single" w:color="auto" w:sz="4" w:space="0"/>
            </w:tcBorders>
            <w:vAlign w:val="center"/>
          </w:tcPr>
          <w:p w14:paraId="7AF7B7AA">
            <w:pPr>
              <w:rPr>
                <w:rFonts w:hint="eastAsia" w:ascii="新宋体" w:hAnsi="新宋体" w:eastAsia="新宋体" w:cs="新宋体"/>
                <w:bCs/>
                <w:color w:val="auto"/>
                <w:sz w:val="22"/>
                <w:szCs w:val="22"/>
                <w:highlight w:val="none"/>
              </w:rPr>
            </w:pPr>
            <w:r>
              <w:rPr>
                <w:rFonts w:hint="eastAsia" w:ascii="新宋体" w:hAnsi="新宋体" w:eastAsia="新宋体" w:cs="新宋体"/>
                <w:b/>
                <w:color w:val="auto"/>
                <w:kern w:val="1"/>
                <w:sz w:val="22"/>
                <w:szCs w:val="22"/>
                <w:highlight w:val="none"/>
              </w:rPr>
              <w:t>资信证明文件（本项为评分量化内容，非强制性要求）</w:t>
            </w:r>
          </w:p>
        </w:tc>
        <w:tc>
          <w:tcPr>
            <w:tcW w:w="700" w:type="pct"/>
            <w:tcBorders>
              <w:top w:val="single" w:color="auto" w:sz="4" w:space="0"/>
              <w:left w:val="single" w:color="auto" w:sz="4" w:space="0"/>
              <w:bottom w:val="single" w:color="auto" w:sz="4" w:space="0"/>
              <w:right w:val="single" w:color="auto" w:sz="4" w:space="0"/>
            </w:tcBorders>
            <w:vAlign w:val="center"/>
          </w:tcPr>
          <w:p w14:paraId="49E4FB0E">
            <w:pPr>
              <w:jc w:val="center"/>
              <w:rPr>
                <w:rFonts w:hint="eastAsia" w:ascii="新宋体" w:hAnsi="新宋体" w:eastAsia="新宋体" w:cs="新宋体"/>
                <w:b/>
                <w:color w:val="auto"/>
                <w:kern w:val="1"/>
                <w:sz w:val="22"/>
                <w:szCs w:val="22"/>
                <w:highlight w:val="none"/>
              </w:rPr>
            </w:pPr>
          </w:p>
        </w:tc>
      </w:tr>
      <w:tr w14:paraId="74C04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34168DA4">
            <w:pPr>
              <w:jc w:val="center"/>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6</w:t>
            </w:r>
          </w:p>
        </w:tc>
        <w:tc>
          <w:tcPr>
            <w:tcW w:w="3918" w:type="pct"/>
            <w:tcBorders>
              <w:top w:val="single" w:color="auto" w:sz="4" w:space="0"/>
              <w:left w:val="single" w:color="auto" w:sz="4" w:space="0"/>
              <w:bottom w:val="single" w:color="auto" w:sz="4" w:space="0"/>
              <w:right w:val="single" w:color="auto" w:sz="4" w:space="0"/>
            </w:tcBorders>
            <w:vAlign w:val="top"/>
          </w:tcPr>
          <w:p w14:paraId="1D41A56F">
            <w:pPr>
              <w:spacing w:line="440" w:lineRule="exact"/>
              <w:rPr>
                <w:rFonts w:hint="eastAsia" w:ascii="新宋体" w:hAnsi="新宋体" w:eastAsia="新宋体" w:cs="新宋体"/>
                <w:color w:val="auto"/>
                <w:kern w:val="1"/>
                <w:sz w:val="22"/>
                <w:szCs w:val="22"/>
                <w:highlight w:val="none"/>
                <w:lang w:eastAsia="zh-CN"/>
              </w:rPr>
            </w:pPr>
            <w:r>
              <w:rPr>
                <w:rFonts w:hint="eastAsia" w:ascii="新宋体" w:hAnsi="新宋体" w:eastAsia="新宋体" w:cs="新宋体"/>
                <w:color w:val="auto"/>
                <w:kern w:val="1"/>
                <w:sz w:val="22"/>
                <w:szCs w:val="22"/>
                <w:highlight w:val="none"/>
              </w:rPr>
              <w:t>其它资信证明文件</w:t>
            </w:r>
            <w:r>
              <w:rPr>
                <w:rFonts w:hint="eastAsia" w:ascii="新宋体" w:hAnsi="新宋体" w:eastAsia="新宋体" w:cs="新宋体"/>
                <w:color w:val="auto"/>
                <w:kern w:val="1"/>
                <w:sz w:val="22"/>
                <w:szCs w:val="22"/>
                <w:highlight w:val="none"/>
                <w:lang w:eastAsia="zh-CN"/>
              </w:rPr>
              <w:t>（</w:t>
            </w:r>
            <w:r>
              <w:rPr>
                <w:rFonts w:hint="eastAsia" w:ascii="新宋体" w:hAnsi="新宋体" w:eastAsia="新宋体" w:cs="新宋体"/>
                <w:color w:val="auto"/>
                <w:kern w:val="1"/>
                <w:sz w:val="22"/>
                <w:szCs w:val="22"/>
                <w:highlight w:val="none"/>
                <w:lang w:val="en-US" w:eastAsia="zh-CN"/>
              </w:rPr>
              <w:t>包括但不限于体系认证证书、</w:t>
            </w:r>
            <w:r>
              <w:rPr>
                <w:rFonts w:hint="eastAsia" w:ascii="新宋体" w:hAnsi="新宋体" w:eastAsia="新宋体" w:cs="新宋体"/>
                <w:bCs/>
                <w:color w:val="auto"/>
                <w:sz w:val="22"/>
                <w:szCs w:val="22"/>
                <w:highlight w:val="none"/>
              </w:rPr>
              <w:t>实施保障和安全运营能力</w:t>
            </w:r>
            <w:r>
              <w:rPr>
                <w:rFonts w:hint="eastAsia" w:ascii="新宋体" w:hAnsi="新宋体" w:eastAsia="新宋体" w:cs="新宋体"/>
                <w:bCs/>
                <w:color w:val="auto"/>
                <w:sz w:val="22"/>
                <w:szCs w:val="22"/>
                <w:highlight w:val="none"/>
                <w:lang w:val="en-US" w:eastAsia="zh-CN"/>
              </w:rPr>
              <w:t>证明文件</w:t>
            </w:r>
            <w:r>
              <w:rPr>
                <w:rFonts w:hint="eastAsia" w:ascii="新宋体" w:hAnsi="新宋体" w:eastAsia="新宋体" w:cs="新宋体"/>
                <w:color w:val="auto"/>
                <w:kern w:val="1"/>
                <w:sz w:val="22"/>
                <w:szCs w:val="22"/>
                <w:highlight w:val="none"/>
                <w:lang w:val="en-US" w:eastAsia="zh-CN"/>
              </w:rPr>
              <w:t>等</w:t>
            </w:r>
            <w:r>
              <w:rPr>
                <w:rFonts w:hint="eastAsia" w:ascii="新宋体" w:hAnsi="新宋体" w:eastAsia="新宋体" w:cs="新宋体"/>
                <w:color w:val="auto"/>
                <w:kern w:val="1"/>
                <w:sz w:val="22"/>
                <w:szCs w:val="22"/>
                <w:highlight w:val="none"/>
                <w:lang w:eastAsia="zh-CN"/>
              </w:rPr>
              <w:t>）</w:t>
            </w:r>
          </w:p>
        </w:tc>
        <w:tc>
          <w:tcPr>
            <w:tcW w:w="700" w:type="pct"/>
            <w:tcBorders>
              <w:top w:val="single" w:color="auto" w:sz="4" w:space="0"/>
              <w:left w:val="single" w:color="auto" w:sz="4" w:space="0"/>
              <w:bottom w:val="single" w:color="auto" w:sz="4" w:space="0"/>
              <w:right w:val="single" w:color="auto" w:sz="4" w:space="0"/>
            </w:tcBorders>
            <w:vAlign w:val="top"/>
          </w:tcPr>
          <w:p w14:paraId="14917928">
            <w:pPr>
              <w:spacing w:line="440" w:lineRule="exact"/>
              <w:jc w:val="center"/>
              <w:rPr>
                <w:rFonts w:hint="eastAsia" w:ascii="新宋体" w:hAnsi="新宋体" w:eastAsia="新宋体" w:cs="新宋体"/>
                <w:color w:val="auto"/>
                <w:kern w:val="1"/>
                <w:sz w:val="22"/>
                <w:szCs w:val="22"/>
                <w:highlight w:val="none"/>
              </w:rPr>
            </w:pPr>
            <w:r>
              <w:rPr>
                <w:rFonts w:hint="eastAsia" w:ascii="新宋体" w:hAnsi="新宋体" w:eastAsia="新宋体" w:cs="新宋体"/>
                <w:bCs/>
                <w:color w:val="auto"/>
                <w:sz w:val="22"/>
                <w:szCs w:val="22"/>
                <w:highlight w:val="none"/>
                <w:lang w:val="en-US" w:eastAsia="zh-CN"/>
              </w:rPr>
              <w:t>格式自拟</w:t>
            </w:r>
          </w:p>
        </w:tc>
      </w:tr>
      <w:tr w14:paraId="761EE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7C0E6268">
            <w:pPr>
              <w:jc w:val="center"/>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7</w:t>
            </w:r>
          </w:p>
        </w:tc>
        <w:tc>
          <w:tcPr>
            <w:tcW w:w="3918" w:type="pct"/>
            <w:tcBorders>
              <w:top w:val="single" w:color="auto" w:sz="4" w:space="0"/>
              <w:left w:val="single" w:color="auto" w:sz="4" w:space="0"/>
              <w:bottom w:val="single" w:color="auto" w:sz="4" w:space="0"/>
              <w:right w:val="single" w:color="auto" w:sz="4" w:space="0"/>
            </w:tcBorders>
            <w:vAlign w:val="top"/>
          </w:tcPr>
          <w:p w14:paraId="1825CE3F">
            <w:pPr>
              <w:spacing w:line="440" w:lineRule="exact"/>
              <w:rPr>
                <w:rFonts w:hint="default" w:ascii="新宋体" w:hAnsi="新宋体" w:eastAsia="新宋体" w:cs="新宋体"/>
                <w:color w:val="auto"/>
                <w:kern w:val="1"/>
                <w:sz w:val="22"/>
                <w:szCs w:val="22"/>
                <w:highlight w:val="none"/>
                <w:lang w:val="en-US" w:eastAsia="zh-CN"/>
              </w:rPr>
            </w:pPr>
            <w:r>
              <w:rPr>
                <w:rFonts w:hint="eastAsia" w:ascii="新宋体" w:hAnsi="新宋体" w:eastAsia="新宋体" w:cs="新宋体"/>
                <w:color w:val="auto"/>
                <w:kern w:val="1"/>
                <w:sz w:val="22"/>
                <w:szCs w:val="22"/>
                <w:highlight w:val="none"/>
              </w:rPr>
              <w:t>投标供应商项目业绩情况一览表</w:t>
            </w:r>
            <w:r>
              <w:rPr>
                <w:rFonts w:hint="eastAsia" w:ascii="新宋体" w:hAnsi="新宋体" w:eastAsia="新宋体" w:cs="新宋体"/>
                <w:color w:val="auto"/>
                <w:kern w:val="1"/>
                <w:sz w:val="22"/>
                <w:szCs w:val="22"/>
                <w:highlight w:val="none"/>
                <w:lang w:val="en-US" w:eastAsia="zh-CN"/>
              </w:rPr>
              <w:t>及证明材料</w:t>
            </w:r>
          </w:p>
        </w:tc>
        <w:tc>
          <w:tcPr>
            <w:tcW w:w="700" w:type="pct"/>
            <w:tcBorders>
              <w:top w:val="single" w:color="auto" w:sz="4" w:space="0"/>
              <w:left w:val="single" w:color="auto" w:sz="4" w:space="0"/>
              <w:bottom w:val="single" w:color="auto" w:sz="4" w:space="0"/>
              <w:right w:val="single" w:color="auto" w:sz="4" w:space="0"/>
            </w:tcBorders>
            <w:vAlign w:val="top"/>
          </w:tcPr>
          <w:p w14:paraId="0C1C7822">
            <w:pPr>
              <w:spacing w:line="440" w:lineRule="exact"/>
              <w:jc w:val="center"/>
              <w:rPr>
                <w:rFonts w:hint="default" w:ascii="新宋体" w:hAnsi="新宋体" w:eastAsia="新宋体" w:cs="新宋体"/>
                <w:color w:val="auto"/>
                <w:kern w:val="1"/>
                <w:sz w:val="22"/>
                <w:szCs w:val="22"/>
                <w:highlight w:val="none"/>
                <w:lang w:val="en-US" w:eastAsia="zh-CN"/>
              </w:rPr>
            </w:pPr>
            <w:r>
              <w:rPr>
                <w:rFonts w:hint="eastAsia" w:ascii="新宋体" w:hAnsi="新宋体" w:eastAsia="新宋体" w:cs="新宋体"/>
                <w:color w:val="auto"/>
                <w:kern w:val="1"/>
                <w:sz w:val="22"/>
                <w:szCs w:val="22"/>
                <w:highlight w:val="none"/>
                <w:lang w:val="en-US" w:eastAsia="zh-CN"/>
              </w:rPr>
              <w:t>附件五</w:t>
            </w:r>
          </w:p>
        </w:tc>
      </w:tr>
      <w:tr w14:paraId="62C40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49E86E1A">
            <w:pPr>
              <w:jc w:val="center"/>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8</w:t>
            </w:r>
          </w:p>
        </w:tc>
        <w:tc>
          <w:tcPr>
            <w:tcW w:w="3918" w:type="pct"/>
            <w:tcBorders>
              <w:top w:val="single" w:color="auto" w:sz="4" w:space="0"/>
              <w:left w:val="single" w:color="auto" w:sz="4" w:space="0"/>
              <w:bottom w:val="single" w:color="auto" w:sz="4" w:space="0"/>
              <w:right w:val="single" w:color="auto" w:sz="4" w:space="0"/>
            </w:tcBorders>
            <w:vAlign w:val="top"/>
          </w:tcPr>
          <w:p w14:paraId="70228B0D">
            <w:pPr>
              <w:spacing w:line="440" w:lineRule="exact"/>
              <w:rPr>
                <w:rFonts w:hint="eastAsia" w:ascii="新宋体" w:hAnsi="新宋体" w:eastAsia="新宋体" w:cs="新宋体"/>
                <w:color w:val="auto"/>
                <w:kern w:val="1"/>
                <w:sz w:val="22"/>
                <w:szCs w:val="22"/>
                <w:highlight w:val="none"/>
              </w:rPr>
            </w:pPr>
            <w:r>
              <w:rPr>
                <w:rFonts w:hint="eastAsia" w:ascii="新宋体" w:hAnsi="新宋体" w:eastAsia="新宋体" w:cs="新宋体"/>
                <w:color w:val="auto"/>
                <w:sz w:val="22"/>
                <w:szCs w:val="22"/>
                <w:highlight w:val="none"/>
              </w:rPr>
              <w:t>投标供应商为完成本项目组建的工作小组名单</w:t>
            </w:r>
            <w:r>
              <w:rPr>
                <w:rFonts w:hint="eastAsia" w:ascii="新宋体" w:hAnsi="新宋体" w:eastAsia="新宋体" w:cs="新宋体"/>
                <w:color w:val="auto"/>
                <w:sz w:val="22"/>
                <w:szCs w:val="22"/>
                <w:highlight w:val="none"/>
                <w:lang w:val="en-US" w:eastAsia="zh-CN"/>
              </w:rPr>
              <w:t>及</w:t>
            </w:r>
            <w:r>
              <w:rPr>
                <w:rFonts w:hint="eastAsia" w:ascii="新宋体" w:hAnsi="新宋体" w:eastAsia="新宋体" w:cs="新宋体"/>
                <w:color w:val="auto"/>
                <w:sz w:val="22"/>
                <w:szCs w:val="22"/>
                <w:highlight w:val="none"/>
              </w:rPr>
              <w:t>证明材料</w:t>
            </w:r>
          </w:p>
        </w:tc>
        <w:tc>
          <w:tcPr>
            <w:tcW w:w="700" w:type="pct"/>
            <w:tcBorders>
              <w:top w:val="single" w:color="auto" w:sz="4" w:space="0"/>
              <w:left w:val="single" w:color="auto" w:sz="4" w:space="0"/>
              <w:bottom w:val="single" w:color="auto" w:sz="4" w:space="0"/>
              <w:right w:val="single" w:color="auto" w:sz="4" w:space="0"/>
            </w:tcBorders>
            <w:vAlign w:val="top"/>
          </w:tcPr>
          <w:p w14:paraId="10DFCA13">
            <w:pPr>
              <w:spacing w:line="440" w:lineRule="exact"/>
              <w:jc w:val="center"/>
              <w:rPr>
                <w:rFonts w:hint="default" w:ascii="新宋体" w:hAnsi="新宋体" w:eastAsia="新宋体" w:cs="新宋体"/>
                <w:color w:val="auto"/>
                <w:sz w:val="22"/>
                <w:szCs w:val="22"/>
                <w:highlight w:val="none"/>
                <w:lang w:val="en-US"/>
              </w:rPr>
            </w:pPr>
            <w:r>
              <w:rPr>
                <w:rFonts w:hint="eastAsia" w:ascii="新宋体" w:hAnsi="新宋体" w:eastAsia="新宋体" w:cs="新宋体"/>
                <w:color w:val="auto"/>
                <w:kern w:val="1"/>
                <w:sz w:val="22"/>
                <w:szCs w:val="22"/>
                <w:highlight w:val="none"/>
                <w:lang w:val="en-US" w:eastAsia="zh-CN"/>
              </w:rPr>
              <w:t>附件六</w:t>
            </w:r>
          </w:p>
        </w:tc>
      </w:tr>
      <w:tr w14:paraId="4B7F7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63D96094">
            <w:pPr>
              <w:jc w:val="center"/>
              <w:rPr>
                <w:rFonts w:hint="default" w:ascii="新宋体" w:hAnsi="新宋体" w:eastAsia="新宋体" w:cs="新宋体"/>
                <w:color w:val="auto"/>
                <w:kern w:val="1"/>
                <w:sz w:val="22"/>
                <w:szCs w:val="22"/>
                <w:highlight w:val="none"/>
                <w:lang w:val="en-US" w:eastAsia="zh-CN" w:bidi="ar-SA"/>
              </w:rPr>
            </w:pPr>
            <w:r>
              <w:rPr>
                <w:rFonts w:hint="eastAsia" w:ascii="新宋体" w:hAnsi="新宋体" w:eastAsia="新宋体" w:cs="新宋体"/>
                <w:color w:val="auto"/>
                <w:kern w:val="1"/>
                <w:sz w:val="22"/>
                <w:szCs w:val="22"/>
                <w:highlight w:val="none"/>
                <w:lang w:val="en-US" w:eastAsia="zh-CN"/>
              </w:rPr>
              <w:t>9</w:t>
            </w:r>
          </w:p>
        </w:tc>
        <w:tc>
          <w:tcPr>
            <w:tcW w:w="3918" w:type="pct"/>
            <w:tcBorders>
              <w:top w:val="single" w:color="auto" w:sz="4" w:space="0"/>
              <w:left w:val="single" w:color="auto" w:sz="4" w:space="0"/>
              <w:bottom w:val="single" w:color="auto" w:sz="4" w:space="0"/>
              <w:right w:val="single" w:color="auto" w:sz="4" w:space="0"/>
            </w:tcBorders>
            <w:vAlign w:val="top"/>
          </w:tcPr>
          <w:p w14:paraId="136DEEA0">
            <w:pPr>
              <w:autoSpaceDE w:val="0"/>
              <w:autoSpaceDN w:val="0"/>
              <w:adjustRightInd w:val="0"/>
              <w:snapToGrid w:val="0"/>
              <w:spacing w:line="430" w:lineRule="atLeast"/>
              <w:rPr>
                <w:rFonts w:hint="eastAsia" w:ascii="新宋体" w:hAnsi="新宋体" w:eastAsia="新宋体" w:cs="新宋体"/>
                <w:color w:val="auto"/>
                <w:kern w:val="1"/>
                <w:sz w:val="22"/>
                <w:szCs w:val="22"/>
                <w:highlight w:val="none"/>
              </w:rPr>
            </w:pPr>
            <w:r>
              <w:rPr>
                <w:rFonts w:hint="eastAsia" w:ascii="新宋体" w:hAnsi="新宋体" w:eastAsia="新宋体" w:cs="新宋体"/>
                <w:color w:val="auto"/>
                <w:sz w:val="22"/>
                <w:szCs w:val="22"/>
                <w:highlight w:val="none"/>
                <w:lang w:bidi="ar"/>
              </w:rPr>
              <w:t>实施组织方案</w:t>
            </w:r>
          </w:p>
        </w:tc>
        <w:tc>
          <w:tcPr>
            <w:tcW w:w="700" w:type="pct"/>
            <w:tcBorders>
              <w:top w:val="single" w:color="auto" w:sz="4" w:space="0"/>
              <w:left w:val="single" w:color="auto" w:sz="4" w:space="0"/>
              <w:bottom w:val="single" w:color="auto" w:sz="4" w:space="0"/>
              <w:right w:val="single" w:color="auto" w:sz="4" w:space="0"/>
            </w:tcBorders>
            <w:vAlign w:val="top"/>
          </w:tcPr>
          <w:p w14:paraId="75B13773">
            <w:pPr>
              <w:autoSpaceDE w:val="0"/>
              <w:autoSpaceDN w:val="0"/>
              <w:adjustRightInd w:val="0"/>
              <w:snapToGrid w:val="0"/>
              <w:spacing w:line="430" w:lineRule="atLeast"/>
              <w:jc w:val="center"/>
              <w:rPr>
                <w:rFonts w:hint="eastAsia" w:ascii="新宋体" w:hAnsi="新宋体" w:eastAsia="新宋体" w:cs="新宋体"/>
                <w:color w:val="auto"/>
                <w:kern w:val="1"/>
                <w:sz w:val="22"/>
                <w:szCs w:val="22"/>
                <w:highlight w:val="none"/>
              </w:rPr>
            </w:pPr>
            <w:r>
              <w:rPr>
                <w:rFonts w:hint="eastAsia" w:ascii="新宋体" w:hAnsi="新宋体" w:eastAsia="新宋体" w:cs="新宋体"/>
                <w:bCs/>
                <w:color w:val="auto"/>
                <w:sz w:val="22"/>
                <w:szCs w:val="22"/>
                <w:highlight w:val="none"/>
                <w:lang w:val="en-US" w:eastAsia="zh-CN"/>
              </w:rPr>
              <w:t>格式自拟</w:t>
            </w:r>
          </w:p>
        </w:tc>
      </w:tr>
      <w:tr w14:paraId="6AF0D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6C328889">
            <w:pPr>
              <w:jc w:val="center"/>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10</w:t>
            </w:r>
          </w:p>
        </w:tc>
        <w:tc>
          <w:tcPr>
            <w:tcW w:w="3918" w:type="pct"/>
            <w:tcBorders>
              <w:top w:val="single" w:color="auto" w:sz="4" w:space="0"/>
              <w:left w:val="single" w:color="auto" w:sz="4" w:space="0"/>
              <w:bottom w:val="single" w:color="auto" w:sz="4" w:space="0"/>
              <w:right w:val="single" w:color="auto" w:sz="4" w:space="0"/>
            </w:tcBorders>
            <w:vAlign w:val="top"/>
          </w:tcPr>
          <w:p w14:paraId="74463F99">
            <w:pPr>
              <w:autoSpaceDE w:val="0"/>
              <w:autoSpaceDN w:val="0"/>
              <w:adjustRightInd w:val="0"/>
              <w:snapToGrid w:val="0"/>
              <w:spacing w:line="430" w:lineRule="atLeast"/>
              <w:rPr>
                <w:rFonts w:hint="eastAsia" w:ascii="新宋体" w:hAnsi="新宋体" w:eastAsia="新宋体" w:cs="新宋体"/>
                <w:color w:val="auto"/>
                <w:kern w:val="1"/>
                <w:sz w:val="22"/>
                <w:szCs w:val="22"/>
                <w:highlight w:val="none"/>
                <w:lang w:val="en-US" w:eastAsia="zh-CN"/>
              </w:rPr>
            </w:pPr>
            <w:r>
              <w:rPr>
                <w:rFonts w:hint="eastAsia" w:ascii="新宋体" w:hAnsi="新宋体" w:eastAsia="新宋体" w:cs="新宋体"/>
                <w:bCs/>
                <w:color w:val="auto"/>
                <w:sz w:val="22"/>
                <w:szCs w:val="22"/>
                <w:highlight w:val="none"/>
              </w:rPr>
              <w:t>售后服务</w:t>
            </w:r>
            <w:r>
              <w:rPr>
                <w:rFonts w:hint="eastAsia" w:ascii="新宋体" w:hAnsi="新宋体" w:eastAsia="新宋体" w:cs="新宋体"/>
                <w:bCs/>
                <w:color w:val="auto"/>
                <w:sz w:val="22"/>
                <w:szCs w:val="22"/>
                <w:highlight w:val="none"/>
                <w:lang w:val="en-US" w:eastAsia="zh-CN"/>
              </w:rPr>
              <w:t>方案</w:t>
            </w:r>
          </w:p>
        </w:tc>
        <w:tc>
          <w:tcPr>
            <w:tcW w:w="700" w:type="pct"/>
            <w:tcBorders>
              <w:top w:val="single" w:color="auto" w:sz="4" w:space="0"/>
              <w:left w:val="single" w:color="auto" w:sz="4" w:space="0"/>
              <w:bottom w:val="single" w:color="auto" w:sz="4" w:space="0"/>
              <w:right w:val="single" w:color="auto" w:sz="4" w:space="0"/>
            </w:tcBorders>
            <w:vAlign w:val="top"/>
          </w:tcPr>
          <w:p w14:paraId="5207E8B4">
            <w:pPr>
              <w:autoSpaceDE w:val="0"/>
              <w:autoSpaceDN w:val="0"/>
              <w:adjustRightInd w:val="0"/>
              <w:snapToGrid w:val="0"/>
              <w:spacing w:line="430" w:lineRule="atLeast"/>
              <w:jc w:val="center"/>
              <w:rPr>
                <w:rFonts w:hint="eastAsia" w:ascii="新宋体" w:hAnsi="新宋体" w:eastAsia="新宋体" w:cs="新宋体"/>
                <w:color w:val="auto"/>
                <w:kern w:val="1"/>
                <w:sz w:val="22"/>
                <w:szCs w:val="22"/>
                <w:highlight w:val="none"/>
                <w:lang w:eastAsia="zh-CN"/>
              </w:rPr>
            </w:pPr>
            <w:r>
              <w:rPr>
                <w:rFonts w:hint="eastAsia" w:ascii="新宋体" w:hAnsi="新宋体" w:eastAsia="新宋体" w:cs="新宋体"/>
                <w:bCs/>
                <w:color w:val="auto"/>
                <w:sz w:val="22"/>
                <w:szCs w:val="22"/>
                <w:highlight w:val="none"/>
                <w:lang w:val="en-US" w:eastAsia="zh-CN"/>
              </w:rPr>
              <w:t>格式自拟</w:t>
            </w:r>
          </w:p>
        </w:tc>
      </w:tr>
      <w:tr w14:paraId="08EB5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7C97E1E0">
            <w:pPr>
              <w:jc w:val="center"/>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11</w:t>
            </w:r>
          </w:p>
        </w:tc>
        <w:tc>
          <w:tcPr>
            <w:tcW w:w="3918" w:type="pct"/>
            <w:tcBorders>
              <w:top w:val="single" w:color="auto" w:sz="4" w:space="0"/>
              <w:left w:val="single" w:color="auto" w:sz="4" w:space="0"/>
              <w:bottom w:val="single" w:color="auto" w:sz="4" w:space="0"/>
              <w:right w:val="single" w:color="auto" w:sz="4" w:space="0"/>
            </w:tcBorders>
            <w:vAlign w:val="top"/>
          </w:tcPr>
          <w:p w14:paraId="73923905">
            <w:pPr>
              <w:autoSpaceDE w:val="0"/>
              <w:autoSpaceDN w:val="0"/>
              <w:adjustRightInd w:val="0"/>
              <w:snapToGrid w:val="0"/>
              <w:spacing w:line="430" w:lineRule="atLeast"/>
              <w:rPr>
                <w:rFonts w:hint="default" w:ascii="新宋体" w:hAnsi="新宋体" w:eastAsia="新宋体" w:cs="新宋体"/>
                <w:color w:val="auto"/>
                <w:kern w:val="1"/>
                <w:sz w:val="22"/>
                <w:szCs w:val="22"/>
                <w:highlight w:val="none"/>
                <w:lang w:val="en-US" w:eastAsia="zh-CN"/>
              </w:rPr>
            </w:pPr>
            <w:r>
              <w:rPr>
                <w:rFonts w:hint="eastAsia" w:ascii="新宋体" w:hAnsi="新宋体" w:eastAsia="新宋体" w:cs="新宋体"/>
                <w:color w:val="auto"/>
                <w:kern w:val="1"/>
                <w:sz w:val="22"/>
                <w:szCs w:val="22"/>
                <w:highlight w:val="none"/>
                <w:lang w:val="en-US" w:eastAsia="zh-CN"/>
              </w:rPr>
              <w:t>培训方案</w:t>
            </w:r>
          </w:p>
        </w:tc>
        <w:tc>
          <w:tcPr>
            <w:tcW w:w="700" w:type="pct"/>
            <w:tcBorders>
              <w:top w:val="single" w:color="auto" w:sz="4" w:space="0"/>
              <w:left w:val="single" w:color="auto" w:sz="4" w:space="0"/>
              <w:bottom w:val="single" w:color="auto" w:sz="4" w:space="0"/>
              <w:right w:val="single" w:color="auto" w:sz="4" w:space="0"/>
            </w:tcBorders>
            <w:vAlign w:val="top"/>
          </w:tcPr>
          <w:p w14:paraId="7A614F92">
            <w:pPr>
              <w:autoSpaceDE w:val="0"/>
              <w:autoSpaceDN w:val="0"/>
              <w:adjustRightInd w:val="0"/>
              <w:snapToGrid w:val="0"/>
              <w:spacing w:line="430" w:lineRule="atLeast"/>
              <w:jc w:val="center"/>
              <w:rPr>
                <w:rFonts w:hint="eastAsia" w:ascii="新宋体" w:hAnsi="新宋体" w:eastAsia="新宋体" w:cs="新宋体"/>
                <w:color w:val="auto"/>
                <w:kern w:val="1"/>
                <w:sz w:val="22"/>
                <w:szCs w:val="22"/>
                <w:highlight w:val="none"/>
              </w:rPr>
            </w:pPr>
            <w:r>
              <w:rPr>
                <w:rFonts w:hint="eastAsia" w:ascii="新宋体" w:hAnsi="新宋体" w:eastAsia="新宋体" w:cs="新宋体"/>
                <w:bCs/>
                <w:color w:val="auto"/>
                <w:sz w:val="22"/>
                <w:szCs w:val="22"/>
                <w:highlight w:val="none"/>
                <w:lang w:val="en-US" w:eastAsia="zh-CN"/>
              </w:rPr>
              <w:t>格式自拟</w:t>
            </w:r>
          </w:p>
        </w:tc>
      </w:tr>
      <w:tr w14:paraId="225A2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0C942ACF">
            <w:pPr>
              <w:jc w:val="center"/>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12</w:t>
            </w:r>
          </w:p>
        </w:tc>
        <w:tc>
          <w:tcPr>
            <w:tcW w:w="3918" w:type="pct"/>
            <w:tcBorders>
              <w:top w:val="single" w:color="auto" w:sz="4" w:space="0"/>
              <w:left w:val="single" w:color="auto" w:sz="4" w:space="0"/>
              <w:bottom w:val="single" w:color="auto" w:sz="4" w:space="0"/>
              <w:right w:val="single" w:color="auto" w:sz="4" w:space="0"/>
            </w:tcBorders>
            <w:vAlign w:val="top"/>
          </w:tcPr>
          <w:p w14:paraId="18FB8941">
            <w:pPr>
              <w:autoSpaceDE w:val="0"/>
              <w:autoSpaceDN w:val="0"/>
              <w:adjustRightInd w:val="0"/>
              <w:snapToGrid w:val="0"/>
              <w:spacing w:line="430" w:lineRule="atLeas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系统能力</w:t>
            </w:r>
            <w:r>
              <w:rPr>
                <w:rFonts w:hint="eastAsia" w:ascii="新宋体" w:hAnsi="新宋体" w:eastAsia="新宋体" w:cs="新宋体"/>
                <w:bCs/>
                <w:color w:val="auto"/>
                <w:sz w:val="22"/>
                <w:szCs w:val="22"/>
                <w:highlight w:val="none"/>
                <w:lang w:val="en-US" w:eastAsia="zh-CN"/>
              </w:rPr>
              <w:t>视频</w:t>
            </w:r>
            <w:r>
              <w:rPr>
                <w:rFonts w:hint="eastAsia" w:ascii="新宋体" w:hAnsi="新宋体" w:eastAsia="新宋体" w:cs="新宋体"/>
                <w:bCs/>
                <w:color w:val="auto"/>
                <w:sz w:val="22"/>
                <w:szCs w:val="22"/>
                <w:highlight w:val="none"/>
              </w:rPr>
              <w:t>演示（存储于可读U盘中，包含技术</w:t>
            </w:r>
            <w:r>
              <w:rPr>
                <w:rFonts w:hint="eastAsia" w:ascii="新宋体" w:hAnsi="新宋体" w:eastAsia="新宋体" w:cs="新宋体"/>
                <w:bCs/>
                <w:color w:val="auto"/>
                <w:sz w:val="22"/>
                <w:szCs w:val="22"/>
                <w:highlight w:val="none"/>
                <w:lang w:val="en-US" w:eastAsia="zh-CN"/>
              </w:rPr>
              <w:t>资信评分表</w:t>
            </w:r>
            <w:r>
              <w:rPr>
                <w:rFonts w:hint="eastAsia" w:ascii="新宋体" w:hAnsi="新宋体" w:eastAsia="新宋体" w:cs="新宋体"/>
                <w:bCs/>
                <w:color w:val="auto"/>
                <w:sz w:val="22"/>
                <w:szCs w:val="22"/>
                <w:highlight w:val="none"/>
              </w:rPr>
              <w:t>中要求的演示内容）</w:t>
            </w:r>
          </w:p>
        </w:tc>
        <w:tc>
          <w:tcPr>
            <w:tcW w:w="700" w:type="pct"/>
            <w:tcBorders>
              <w:top w:val="single" w:color="auto" w:sz="4" w:space="0"/>
              <w:left w:val="single" w:color="auto" w:sz="4" w:space="0"/>
              <w:bottom w:val="single" w:color="auto" w:sz="4" w:space="0"/>
              <w:right w:val="single" w:color="auto" w:sz="4" w:space="0"/>
            </w:tcBorders>
            <w:vAlign w:val="top"/>
          </w:tcPr>
          <w:p w14:paraId="3653BE7E">
            <w:pPr>
              <w:autoSpaceDE w:val="0"/>
              <w:autoSpaceDN w:val="0"/>
              <w:adjustRightInd w:val="0"/>
              <w:snapToGrid w:val="0"/>
              <w:spacing w:line="430" w:lineRule="atLeast"/>
              <w:jc w:val="center"/>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rPr>
              <w:t>附件</w:t>
            </w:r>
            <w:r>
              <w:rPr>
                <w:rFonts w:hint="eastAsia" w:ascii="新宋体" w:hAnsi="新宋体" w:eastAsia="新宋体" w:cs="新宋体"/>
                <w:bCs/>
                <w:color w:val="auto"/>
                <w:sz w:val="22"/>
                <w:szCs w:val="22"/>
                <w:highlight w:val="none"/>
                <w:lang w:val="en-US" w:eastAsia="zh-CN"/>
              </w:rPr>
              <w:t>七</w:t>
            </w:r>
          </w:p>
        </w:tc>
      </w:tr>
      <w:tr w14:paraId="21C7B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81" w:type="pct"/>
            <w:tcBorders>
              <w:top w:val="single" w:color="auto" w:sz="4" w:space="0"/>
              <w:left w:val="single" w:color="auto" w:sz="4" w:space="0"/>
              <w:bottom w:val="single" w:color="auto" w:sz="4" w:space="0"/>
              <w:right w:val="single" w:color="auto" w:sz="4" w:space="0"/>
            </w:tcBorders>
            <w:shd w:val="clear" w:color="auto" w:fill="auto"/>
            <w:vAlign w:val="center"/>
          </w:tcPr>
          <w:p w14:paraId="5868B87C">
            <w:pPr>
              <w:jc w:val="center"/>
              <w:rPr>
                <w:rFonts w:hint="default" w:ascii="新宋体" w:hAnsi="新宋体" w:eastAsia="新宋体" w:cs="新宋体"/>
                <w:color w:val="auto"/>
                <w:kern w:val="1"/>
                <w:sz w:val="22"/>
                <w:szCs w:val="22"/>
                <w:highlight w:val="none"/>
                <w:lang w:val="en-US" w:eastAsia="zh-CN"/>
              </w:rPr>
            </w:pPr>
            <w:r>
              <w:rPr>
                <w:rFonts w:hint="eastAsia" w:ascii="新宋体" w:hAnsi="新宋体" w:eastAsia="新宋体" w:cs="新宋体"/>
                <w:color w:val="auto"/>
                <w:kern w:val="1"/>
                <w:sz w:val="22"/>
                <w:szCs w:val="22"/>
                <w:highlight w:val="none"/>
                <w:lang w:val="en-US" w:eastAsia="zh-CN"/>
              </w:rPr>
              <w:t>13</w:t>
            </w:r>
          </w:p>
        </w:tc>
        <w:tc>
          <w:tcPr>
            <w:tcW w:w="3918" w:type="pct"/>
            <w:tcBorders>
              <w:top w:val="single" w:color="auto" w:sz="4" w:space="0"/>
              <w:left w:val="single" w:color="auto" w:sz="4" w:space="0"/>
              <w:bottom w:val="single" w:color="auto" w:sz="4" w:space="0"/>
              <w:right w:val="single" w:color="auto" w:sz="4" w:space="0"/>
            </w:tcBorders>
            <w:vAlign w:val="center"/>
          </w:tcPr>
          <w:p w14:paraId="2A43251F">
            <w:pPr>
              <w:rPr>
                <w:rFonts w:hint="eastAsia" w:ascii="新宋体" w:hAnsi="新宋体" w:eastAsia="新宋体" w:cs="新宋体"/>
                <w:color w:val="auto"/>
                <w:kern w:val="1"/>
                <w:sz w:val="22"/>
                <w:szCs w:val="22"/>
                <w:highlight w:val="none"/>
              </w:rPr>
            </w:pPr>
            <w:r>
              <w:rPr>
                <w:rFonts w:hint="eastAsia" w:ascii="新宋体" w:hAnsi="新宋体" w:eastAsia="新宋体" w:cs="新宋体"/>
                <w:color w:val="auto"/>
                <w:kern w:val="1"/>
                <w:sz w:val="22"/>
                <w:szCs w:val="22"/>
                <w:highlight w:val="none"/>
              </w:rPr>
              <w:t>结合评分细则内容，投标</w:t>
            </w:r>
            <w:r>
              <w:rPr>
                <w:rFonts w:hint="eastAsia" w:ascii="新宋体" w:hAnsi="新宋体" w:eastAsia="新宋体" w:cs="新宋体"/>
                <w:color w:val="auto"/>
                <w:kern w:val="1"/>
                <w:sz w:val="22"/>
                <w:szCs w:val="22"/>
                <w:highlight w:val="none"/>
                <w:lang w:val="en-US" w:eastAsia="zh-CN"/>
              </w:rPr>
              <w:t>供应商</w:t>
            </w:r>
            <w:r>
              <w:rPr>
                <w:rFonts w:hint="eastAsia" w:ascii="新宋体" w:hAnsi="新宋体" w:eastAsia="新宋体" w:cs="新宋体"/>
                <w:color w:val="auto"/>
                <w:kern w:val="1"/>
                <w:sz w:val="22"/>
                <w:szCs w:val="22"/>
                <w:highlight w:val="none"/>
              </w:rPr>
              <w:t>认为需要提供的其他相关资料</w:t>
            </w:r>
          </w:p>
        </w:tc>
        <w:tc>
          <w:tcPr>
            <w:tcW w:w="700" w:type="pct"/>
            <w:tcBorders>
              <w:top w:val="single" w:color="auto" w:sz="4" w:space="0"/>
              <w:left w:val="single" w:color="auto" w:sz="4" w:space="0"/>
              <w:bottom w:val="single" w:color="auto" w:sz="4" w:space="0"/>
              <w:right w:val="single" w:color="auto" w:sz="4" w:space="0"/>
            </w:tcBorders>
            <w:vAlign w:val="center"/>
          </w:tcPr>
          <w:p w14:paraId="586C0676">
            <w:pPr>
              <w:jc w:val="center"/>
              <w:rPr>
                <w:rFonts w:hint="eastAsia" w:ascii="新宋体" w:hAnsi="新宋体" w:eastAsia="新宋体" w:cs="新宋体"/>
                <w:color w:val="auto"/>
                <w:kern w:val="1"/>
                <w:sz w:val="22"/>
                <w:szCs w:val="22"/>
                <w:highlight w:val="none"/>
              </w:rPr>
            </w:pPr>
          </w:p>
        </w:tc>
      </w:tr>
    </w:tbl>
    <w:p w14:paraId="20FC0A34">
      <w:pPr>
        <w:spacing w:line="430" w:lineRule="exact"/>
        <w:ind w:left="187" w:leftChars="85" w:hanging="9" w:hangingChars="4"/>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说明：</w:t>
      </w:r>
    </w:p>
    <w:p w14:paraId="27AD7C69">
      <w:pPr>
        <w:numPr>
          <w:ilvl w:val="0"/>
          <w:numId w:val="16"/>
        </w:numPr>
        <w:tabs>
          <w:tab w:val="left" w:pos="5355"/>
        </w:tabs>
        <w:spacing w:line="43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投标供应商可根据采购文件中的技术规格书以及技术资信评分表，提供投标供应商认为需要提供的文件和资料。</w:t>
      </w:r>
    </w:p>
    <w:p w14:paraId="44A016E6">
      <w:pPr>
        <w:numPr>
          <w:ilvl w:val="0"/>
          <w:numId w:val="16"/>
        </w:numPr>
        <w:tabs>
          <w:tab w:val="left" w:pos="5355"/>
        </w:tabs>
        <w:spacing w:line="43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供应商可在投标文件中对采购文件中的技术要求选用替代标准、补充或更改，但这些替代标准及补充更改必须相当于或优于采购文件中提出的相应技术要求，并使采购人满意。同时在技术偏离表中作出详细说明。</w:t>
      </w:r>
    </w:p>
    <w:p w14:paraId="25AAB8CA">
      <w:pPr>
        <w:numPr>
          <w:ilvl w:val="0"/>
          <w:numId w:val="16"/>
        </w:numPr>
        <w:tabs>
          <w:tab w:val="left" w:pos="5355"/>
        </w:tabs>
        <w:spacing w:line="430" w:lineRule="exact"/>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以上所需的各种证书、证件、证明、执照若系复印件，须在复印件上加盖投标供应商有效的公章。</w:t>
      </w:r>
    </w:p>
    <w:p w14:paraId="3B2EF62C">
      <w:pPr>
        <w:spacing w:line="460" w:lineRule="exact"/>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2"/>
          <w:szCs w:val="22"/>
          <w:highlight w:val="none"/>
        </w:rPr>
        <w:t>附件一</w:t>
      </w:r>
      <w:r>
        <w:rPr>
          <w:rFonts w:hint="eastAsia" w:ascii="新宋体" w:hAnsi="新宋体" w:eastAsia="新宋体" w:cs="新宋体"/>
          <w:b/>
          <w:bCs/>
          <w:color w:val="auto"/>
          <w:sz w:val="22"/>
          <w:szCs w:val="22"/>
          <w:highlight w:val="none"/>
          <w:lang w:eastAsia="zh-CN"/>
        </w:rPr>
        <w:t>：</w:t>
      </w:r>
    </w:p>
    <w:p w14:paraId="4D9552FF">
      <w:pPr>
        <w:spacing w:line="460" w:lineRule="exact"/>
        <w:jc w:val="center"/>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投 标 函</w:t>
      </w:r>
    </w:p>
    <w:p w14:paraId="611A099F">
      <w:pPr>
        <w:spacing w:line="42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温州市数据集团有限公司</w:t>
      </w:r>
      <w:r>
        <w:rPr>
          <w:rFonts w:hint="eastAsia" w:ascii="新宋体" w:hAnsi="新宋体" w:eastAsia="新宋体" w:cs="新宋体"/>
          <w:color w:val="auto"/>
          <w:sz w:val="22"/>
          <w:szCs w:val="22"/>
          <w:highlight w:val="none"/>
        </w:rPr>
        <w:t>：</w:t>
      </w:r>
    </w:p>
    <w:p w14:paraId="5F9C7DFB">
      <w:pPr>
        <w:spacing w:line="42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温州品立项目管理有限公司</w:t>
      </w:r>
      <w:r>
        <w:rPr>
          <w:rFonts w:hint="eastAsia" w:ascii="新宋体" w:hAnsi="新宋体" w:eastAsia="新宋体" w:cs="新宋体"/>
          <w:color w:val="auto"/>
          <w:sz w:val="22"/>
          <w:szCs w:val="22"/>
          <w:highlight w:val="none"/>
        </w:rPr>
        <w:t>：</w:t>
      </w:r>
    </w:p>
    <w:p w14:paraId="73B3C34E">
      <w:pPr>
        <w:spacing w:line="42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根据贵方为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w:t>
      </w:r>
      <w:r>
        <w:rPr>
          <w:rFonts w:hint="eastAsia" w:ascii="新宋体" w:hAnsi="新宋体" w:eastAsia="新宋体" w:cs="新宋体"/>
          <w:color w:val="auto"/>
          <w:sz w:val="22"/>
          <w:szCs w:val="22"/>
          <w:highlight w:val="none"/>
          <w:lang w:eastAsia="zh-CN"/>
        </w:rPr>
        <w:t>项目编号</w:t>
      </w:r>
      <w:r>
        <w:rPr>
          <w:rFonts w:hint="eastAsia" w:ascii="新宋体" w:hAnsi="新宋体" w:eastAsia="新宋体" w:cs="新宋体"/>
          <w:color w:val="auto"/>
          <w:sz w:val="22"/>
          <w:szCs w:val="22"/>
          <w:highlight w:val="none"/>
        </w:rPr>
        <w:t>：</w:t>
      </w:r>
      <w:r>
        <w:rPr>
          <w:rFonts w:hint="eastAsia" w:ascii="新宋体" w:hAnsi="新宋体" w:eastAsia="新宋体" w:cs="新宋体"/>
          <w:b/>
          <w:color w:val="auto"/>
          <w:sz w:val="22"/>
          <w:szCs w:val="22"/>
          <w:highlight w:val="none"/>
          <w:u w:val="single"/>
        </w:rPr>
        <w:t xml:space="preserve">               </w:t>
      </w:r>
      <w:r>
        <w:rPr>
          <w:rFonts w:hint="eastAsia" w:ascii="新宋体" w:hAnsi="新宋体" w:eastAsia="新宋体" w:cs="新宋体"/>
          <w:b/>
          <w:color w:val="auto"/>
          <w:sz w:val="22"/>
          <w:szCs w:val="22"/>
          <w:highlight w:val="none"/>
        </w:rPr>
        <w:t xml:space="preserve"> </w:t>
      </w:r>
      <w:r>
        <w:rPr>
          <w:rFonts w:hint="eastAsia" w:ascii="新宋体" w:hAnsi="新宋体" w:eastAsia="新宋体" w:cs="新宋体"/>
          <w:color w:val="auto"/>
          <w:sz w:val="22"/>
          <w:szCs w:val="22"/>
          <w:highlight w:val="none"/>
        </w:rPr>
        <w:t>）的投标邀请，我方</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（投标供应商名称）作为投标供应商正式授权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（授权代表全名，职务）代表我方处理有关本投标的一切事宜。</w:t>
      </w:r>
    </w:p>
    <w:p w14:paraId="43FA70DF">
      <w:pPr>
        <w:autoSpaceDE w:val="0"/>
        <w:autoSpaceDN w:val="0"/>
        <w:adjustRightInd w:val="0"/>
        <w:spacing w:line="420" w:lineRule="atLeast"/>
        <w:ind w:firstLine="440" w:firstLineChars="200"/>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在此</w:t>
      </w:r>
      <w:r>
        <w:rPr>
          <w:rFonts w:hint="eastAsia" w:ascii="新宋体" w:hAnsi="新宋体" w:eastAsia="新宋体" w:cs="新宋体"/>
          <w:color w:val="auto"/>
          <w:kern w:val="0"/>
          <w:sz w:val="22"/>
          <w:szCs w:val="22"/>
          <w:highlight w:val="none"/>
        </w:rPr>
        <w:t>分别</w:t>
      </w:r>
      <w:r>
        <w:rPr>
          <w:rFonts w:hint="eastAsia" w:ascii="新宋体" w:hAnsi="新宋体" w:eastAsia="新宋体" w:cs="新宋体"/>
          <w:color w:val="auto"/>
          <w:kern w:val="0"/>
          <w:sz w:val="22"/>
          <w:szCs w:val="22"/>
          <w:highlight w:val="none"/>
          <w:lang w:val="zh-CN"/>
        </w:rPr>
        <w:t>提交的投标文件中，包括如下内容，并已分别单独密封装袋：</w:t>
      </w:r>
    </w:p>
    <w:p w14:paraId="45223581">
      <w:pPr>
        <w:numPr>
          <w:ilvl w:val="0"/>
          <w:numId w:val="17"/>
        </w:numPr>
        <w:spacing w:line="420" w:lineRule="exact"/>
        <w:rPr>
          <w:rFonts w:hint="eastAsia" w:ascii="新宋体" w:hAnsi="新宋体" w:eastAsia="新宋体" w:cs="新宋体"/>
          <w:color w:val="auto"/>
          <w:szCs w:val="21"/>
          <w:highlight w:val="none"/>
        </w:rPr>
      </w:pPr>
      <w:r>
        <w:rPr>
          <w:rFonts w:hint="eastAsia" w:ascii="新宋体" w:hAnsi="新宋体" w:eastAsia="新宋体" w:cs="新宋体"/>
          <w:color w:val="auto"/>
          <w:sz w:val="22"/>
          <w:highlight w:val="none"/>
        </w:rPr>
        <w:t>按“投标供应商须知”要求编制的投标文件</w:t>
      </w:r>
      <w:r>
        <w:rPr>
          <w:rFonts w:hint="eastAsia" w:ascii="新宋体" w:hAnsi="新宋体" w:eastAsia="新宋体" w:cs="新宋体"/>
          <w:color w:val="auto"/>
          <w:sz w:val="22"/>
          <w:highlight w:val="none"/>
          <w:lang w:eastAsia="zh-CN"/>
        </w:rPr>
        <w:t>资格文件</w:t>
      </w:r>
      <w:r>
        <w:rPr>
          <w:rFonts w:hint="eastAsia" w:ascii="新宋体" w:hAnsi="新宋体" w:eastAsia="新宋体" w:cs="新宋体"/>
          <w:color w:val="auto"/>
          <w:sz w:val="22"/>
          <w:highlight w:val="none"/>
        </w:rPr>
        <w:t>；</w:t>
      </w:r>
    </w:p>
    <w:p w14:paraId="72B0CCDE">
      <w:pPr>
        <w:numPr>
          <w:ilvl w:val="0"/>
          <w:numId w:val="17"/>
        </w:numPr>
        <w:spacing w:line="420" w:lineRule="exact"/>
        <w:rPr>
          <w:rFonts w:hint="eastAsia" w:ascii="新宋体" w:hAnsi="新宋体" w:eastAsia="新宋体" w:cs="新宋体"/>
          <w:color w:val="auto"/>
          <w:szCs w:val="21"/>
          <w:highlight w:val="none"/>
        </w:rPr>
      </w:pPr>
      <w:r>
        <w:rPr>
          <w:rFonts w:hint="eastAsia" w:ascii="新宋体" w:hAnsi="新宋体" w:eastAsia="新宋体" w:cs="新宋体"/>
          <w:color w:val="auto"/>
          <w:sz w:val="22"/>
          <w:highlight w:val="none"/>
        </w:rPr>
        <w:t>按“投标供应商须知”要求编制的投标文件</w:t>
      </w:r>
      <w:r>
        <w:rPr>
          <w:rFonts w:hint="eastAsia" w:ascii="新宋体" w:hAnsi="新宋体" w:eastAsia="新宋体" w:cs="新宋体"/>
          <w:color w:val="auto"/>
          <w:sz w:val="22"/>
          <w:highlight w:val="none"/>
          <w:lang w:val="en-US" w:eastAsia="zh-CN"/>
        </w:rPr>
        <w:t>商务技术文件</w:t>
      </w:r>
      <w:r>
        <w:rPr>
          <w:rFonts w:hint="eastAsia" w:ascii="新宋体" w:hAnsi="新宋体" w:eastAsia="新宋体" w:cs="新宋体"/>
          <w:color w:val="auto"/>
          <w:sz w:val="22"/>
          <w:highlight w:val="none"/>
        </w:rPr>
        <w:t>；</w:t>
      </w:r>
    </w:p>
    <w:p w14:paraId="0D32865C">
      <w:pPr>
        <w:numPr>
          <w:ilvl w:val="0"/>
          <w:numId w:val="17"/>
        </w:numPr>
        <w:spacing w:line="420" w:lineRule="exact"/>
        <w:rPr>
          <w:rFonts w:hint="eastAsia" w:ascii="新宋体" w:hAnsi="新宋体" w:eastAsia="新宋体" w:cs="新宋体"/>
          <w:color w:val="auto"/>
          <w:szCs w:val="21"/>
          <w:highlight w:val="none"/>
        </w:rPr>
      </w:pPr>
      <w:r>
        <w:rPr>
          <w:rFonts w:hint="eastAsia" w:ascii="新宋体" w:hAnsi="新宋体" w:eastAsia="新宋体" w:cs="新宋体"/>
          <w:color w:val="auto"/>
          <w:sz w:val="22"/>
          <w:highlight w:val="none"/>
        </w:rPr>
        <w:t>按“投标供应商须知”要求编制的投标文件报价</w:t>
      </w:r>
      <w:r>
        <w:rPr>
          <w:rFonts w:hint="eastAsia" w:ascii="新宋体" w:hAnsi="新宋体" w:eastAsia="新宋体" w:cs="新宋体"/>
          <w:color w:val="auto"/>
          <w:sz w:val="22"/>
          <w:highlight w:val="none"/>
          <w:lang w:val="en-US" w:eastAsia="zh-CN"/>
        </w:rPr>
        <w:t>文件</w:t>
      </w:r>
      <w:r>
        <w:rPr>
          <w:rFonts w:hint="eastAsia" w:ascii="新宋体" w:hAnsi="新宋体" w:eastAsia="新宋体" w:cs="新宋体"/>
          <w:color w:val="auto"/>
          <w:sz w:val="22"/>
          <w:highlight w:val="none"/>
        </w:rPr>
        <w:t>。</w:t>
      </w:r>
    </w:p>
    <w:p w14:paraId="7D3E529E">
      <w:pPr>
        <w:tabs>
          <w:tab w:val="left" w:pos="8124"/>
        </w:tabs>
        <w:autoSpaceDE w:val="0"/>
        <w:autoSpaceDN w:val="0"/>
        <w:adjustRightInd w:val="0"/>
        <w:spacing w:line="420" w:lineRule="atLeast"/>
        <w:ind w:firstLine="440"/>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我方已完全明白采购文件的所有条款要求，并重申以下几点：</w:t>
      </w:r>
      <w:r>
        <w:rPr>
          <w:rFonts w:hint="eastAsia" w:ascii="新宋体" w:hAnsi="新宋体" w:eastAsia="新宋体" w:cs="新宋体"/>
          <w:color w:val="auto"/>
          <w:kern w:val="0"/>
          <w:sz w:val="22"/>
          <w:szCs w:val="22"/>
          <w:highlight w:val="none"/>
          <w:lang w:val="zh-CN"/>
        </w:rPr>
        <w:tab/>
      </w:r>
    </w:p>
    <w:p w14:paraId="613E6E12">
      <w:pPr>
        <w:numPr>
          <w:ilvl w:val="0"/>
          <w:numId w:val="18"/>
        </w:numPr>
        <w:spacing w:line="42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已详细阅读全部采购文件，包括采购文件补充文件（如果有，包括相关的补充、更正、澄清公告和文件）、参考资料及有关附件，确认无误。我方完全理解并接受采购文件的各项规定和要求。</w:t>
      </w:r>
    </w:p>
    <w:p w14:paraId="60B79982">
      <w:pPr>
        <w:numPr>
          <w:ilvl w:val="0"/>
          <w:numId w:val="18"/>
        </w:numPr>
        <w:spacing w:line="42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同意提供按照贵方可能要求的与投标有关的一切数据或资料等。若贵方需要，我方愿意提供我方作出的一切承诺的证明材料。</w:t>
      </w:r>
    </w:p>
    <w:p w14:paraId="4236D471">
      <w:pPr>
        <w:numPr>
          <w:ilvl w:val="0"/>
          <w:numId w:val="18"/>
        </w:numPr>
        <w:spacing w:line="42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如中标，保证按照采购文件要求及投标文件的承诺与采购人签订合同，保证履行合同条款。</w:t>
      </w:r>
    </w:p>
    <w:p w14:paraId="4DBF27FA">
      <w:pPr>
        <w:numPr>
          <w:ilvl w:val="0"/>
          <w:numId w:val="18"/>
        </w:numPr>
        <w:spacing w:line="42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同意在采购文件中投标供应商须知规定的开标日期起遵守本投标书中的承诺且在投标有效期满之前均具有约束力。</w:t>
      </w:r>
    </w:p>
    <w:p w14:paraId="517E5738">
      <w:pPr>
        <w:numPr>
          <w:ilvl w:val="0"/>
          <w:numId w:val="18"/>
        </w:numPr>
        <w:spacing w:line="42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如果在开标后规定的投标有效期内撤回投标，按采购预算金额的2%赔偿对采购组织机构造成的损失。</w:t>
      </w:r>
    </w:p>
    <w:p w14:paraId="1A08BE04">
      <w:pPr>
        <w:numPr>
          <w:ilvl w:val="0"/>
          <w:numId w:val="18"/>
        </w:numPr>
        <w:spacing w:line="42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完全理解贵方不一定要接受最低价的投标。</w:t>
      </w:r>
    </w:p>
    <w:p w14:paraId="23DFD31C">
      <w:pPr>
        <w:numPr>
          <w:ilvl w:val="0"/>
          <w:numId w:val="18"/>
        </w:numPr>
        <w:spacing w:line="42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在参加本项目前三年内（被通报或者处罚的违法行为有：</w:t>
      </w:r>
      <w:r>
        <w:rPr>
          <w:rFonts w:hint="eastAsia" w:ascii="新宋体" w:hAnsi="新宋体" w:eastAsia="新宋体" w:cs="新宋体"/>
          <w:color w:val="auto"/>
          <w:sz w:val="22"/>
          <w:highlight w:val="none"/>
          <w:u w:val="single"/>
        </w:rPr>
        <w:t xml:space="preserve">                  </w:t>
      </w:r>
      <w:r>
        <w:rPr>
          <w:rFonts w:hint="eastAsia" w:ascii="新宋体" w:hAnsi="新宋体" w:eastAsia="新宋体" w:cs="新宋体"/>
          <w:color w:val="auto"/>
          <w:sz w:val="22"/>
          <w:highlight w:val="none"/>
        </w:rPr>
        <w:t>）或（没有因违法经营受到刑事处罚或者责令停产停业、吊销许可证或者执照、较大数额罚款等行政处罚或处罚）或（在</w:t>
      </w:r>
      <w:r>
        <w:rPr>
          <w:rFonts w:hint="eastAsia" w:ascii="新宋体" w:hAnsi="新宋体" w:eastAsia="新宋体" w:cs="新宋体"/>
          <w:color w:val="auto"/>
          <w:sz w:val="22"/>
          <w:highlight w:val="none"/>
          <w:u w:val="single"/>
        </w:rPr>
        <w:t xml:space="preserve">  </w:t>
      </w:r>
      <w:r>
        <w:rPr>
          <w:rFonts w:hint="eastAsia" w:ascii="新宋体" w:hAnsi="新宋体" w:eastAsia="新宋体" w:cs="新宋体"/>
          <w:color w:val="auto"/>
          <w:sz w:val="22"/>
          <w:highlight w:val="none"/>
        </w:rPr>
        <w:t>至</w:t>
      </w:r>
      <w:r>
        <w:rPr>
          <w:rFonts w:hint="eastAsia" w:ascii="新宋体" w:hAnsi="新宋体" w:eastAsia="新宋体" w:cs="新宋体"/>
          <w:color w:val="auto"/>
          <w:sz w:val="22"/>
          <w:highlight w:val="none"/>
          <w:u w:val="single"/>
        </w:rPr>
        <w:t xml:space="preserve">  </w:t>
      </w:r>
      <w:r>
        <w:rPr>
          <w:rFonts w:hint="eastAsia" w:ascii="新宋体" w:hAnsi="新宋体" w:eastAsia="新宋体" w:cs="新宋体"/>
          <w:color w:val="auto"/>
          <w:sz w:val="22"/>
          <w:highlight w:val="none"/>
        </w:rPr>
        <w:t>期间禁止参加采购活动但是期限届满，须附相关证明文件）</w:t>
      </w:r>
    </w:p>
    <w:p w14:paraId="5F459676">
      <w:pPr>
        <w:numPr>
          <w:ilvl w:val="0"/>
          <w:numId w:val="18"/>
        </w:numPr>
        <w:spacing w:line="42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单位、</w:t>
      </w:r>
      <w:r>
        <w:rPr>
          <w:rFonts w:hint="eastAsia" w:ascii="新宋体" w:hAnsi="新宋体" w:eastAsia="新宋体" w:cs="新宋体"/>
          <w:color w:val="auto"/>
          <w:sz w:val="22"/>
          <w:highlight w:val="none"/>
          <w:lang w:eastAsia="zh-CN"/>
        </w:rPr>
        <w:t>法定代表人（负责人）</w:t>
      </w:r>
      <w:r>
        <w:rPr>
          <w:rFonts w:hint="eastAsia" w:ascii="新宋体" w:hAnsi="新宋体" w:eastAsia="新宋体" w:cs="新宋体"/>
          <w:color w:val="auto"/>
          <w:sz w:val="22"/>
          <w:highlight w:val="none"/>
        </w:rPr>
        <w:t>、本项目授权代表及本项目负责人在参加本项目前三年内（以法院判决书生效日期为准）均无行贿犯罪记录。</w:t>
      </w:r>
    </w:p>
    <w:p w14:paraId="024D067A">
      <w:pPr>
        <w:numPr>
          <w:ilvl w:val="0"/>
          <w:numId w:val="18"/>
        </w:numPr>
        <w:spacing w:line="42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如有列情形之一的，我方愿意被取消中标资格（如中标），并按采购预算金额的2%赔偿对采购组织机构造成的损失，同时继续承担其他一切法律后果，并不再寻求任何旨在减轻或免除法律责任的解释：</w:t>
      </w:r>
    </w:p>
    <w:p w14:paraId="5EAF9817">
      <w:pPr>
        <w:spacing w:line="42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(1)提供虚假材料（承诺）谋取中标、成交的；</w:t>
      </w:r>
    </w:p>
    <w:p w14:paraId="017F07A4">
      <w:pPr>
        <w:spacing w:line="42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(2)采取不正当手段诋毁、排挤其他投标供应商的；</w:t>
      </w:r>
    </w:p>
    <w:p w14:paraId="1F3DD9F6">
      <w:pPr>
        <w:spacing w:line="42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(3)与采购人、其它投标供应商或者采购代理机构恶意串通的；</w:t>
      </w:r>
    </w:p>
    <w:p w14:paraId="1DAC1174">
      <w:pPr>
        <w:spacing w:line="42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(4)向采购人、采购代理机构行贿或者提供其他不正当利益的；</w:t>
      </w:r>
    </w:p>
    <w:p w14:paraId="5D84DE01">
      <w:pPr>
        <w:spacing w:line="42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(5)在采购过程中与采购人进行协商谈判的；</w:t>
      </w:r>
    </w:p>
    <w:p w14:paraId="73B7B472">
      <w:pPr>
        <w:spacing w:line="42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(6)拒绝有关部门监督检查或提供虚假情况的。</w:t>
      </w:r>
    </w:p>
    <w:p w14:paraId="1E7CBDA3">
      <w:pPr>
        <w:numPr>
          <w:ilvl w:val="0"/>
          <w:numId w:val="18"/>
        </w:numPr>
        <w:spacing w:line="42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如中标，保证按照采购文件要求</w:t>
      </w:r>
      <w:r>
        <w:rPr>
          <w:rFonts w:hint="eastAsia" w:ascii="新宋体" w:hAnsi="新宋体" w:eastAsia="新宋体" w:cs="新宋体"/>
          <w:color w:val="auto"/>
          <w:sz w:val="22"/>
          <w:highlight w:val="none"/>
          <w:lang w:val="en-US" w:eastAsia="zh-CN"/>
        </w:rPr>
        <w:t>向采购代理机构支付采购代理服务费。</w:t>
      </w:r>
    </w:p>
    <w:p w14:paraId="4FF6E1AC">
      <w:pPr>
        <w:numPr>
          <w:ilvl w:val="0"/>
          <w:numId w:val="18"/>
        </w:numPr>
        <w:spacing w:line="42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所有与本投标有关的函件请发往下列地址：</w:t>
      </w:r>
    </w:p>
    <w:p w14:paraId="0D82678A">
      <w:pPr>
        <w:spacing w:line="420" w:lineRule="exact"/>
        <w:ind w:firstLine="43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地址</w:t>
      </w:r>
      <w:r>
        <w:rPr>
          <w:rFonts w:hint="eastAsia" w:ascii="新宋体" w:hAnsi="新宋体" w:eastAsia="新宋体" w:cs="新宋体"/>
          <w:color w:val="auto"/>
          <w:sz w:val="22"/>
          <w:szCs w:val="22"/>
          <w:highlight w:val="none"/>
          <w:u w:val="single"/>
        </w:rPr>
        <w:t xml:space="preserve">                           </w:t>
      </w:r>
    </w:p>
    <w:p w14:paraId="7A96054E">
      <w:pPr>
        <w:spacing w:line="420" w:lineRule="exact"/>
        <w:ind w:firstLine="43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电话</w:t>
      </w:r>
      <w:r>
        <w:rPr>
          <w:rFonts w:hint="eastAsia" w:ascii="新宋体" w:hAnsi="新宋体" w:eastAsia="新宋体" w:cs="新宋体"/>
          <w:color w:val="auto"/>
          <w:sz w:val="22"/>
          <w:szCs w:val="22"/>
          <w:highlight w:val="none"/>
          <w:u w:val="single"/>
        </w:rPr>
        <w:t xml:space="preserve">                           </w:t>
      </w:r>
    </w:p>
    <w:p w14:paraId="0168E41E">
      <w:pPr>
        <w:spacing w:line="420" w:lineRule="exact"/>
        <w:ind w:firstLine="435"/>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rPr>
        <w:t xml:space="preserve">   传真</w:t>
      </w:r>
      <w:r>
        <w:rPr>
          <w:rFonts w:hint="eastAsia" w:ascii="新宋体" w:hAnsi="新宋体" w:eastAsia="新宋体" w:cs="新宋体"/>
          <w:color w:val="auto"/>
          <w:sz w:val="22"/>
          <w:szCs w:val="22"/>
          <w:highlight w:val="none"/>
          <w:u w:val="single"/>
        </w:rPr>
        <w:t xml:space="preserve">                           </w:t>
      </w:r>
    </w:p>
    <w:p w14:paraId="3668801A">
      <w:pPr>
        <w:spacing w:line="420" w:lineRule="exact"/>
        <w:ind w:firstLine="770" w:firstLineChars="3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电子邮件</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 xml:space="preserve">                       </w:t>
      </w:r>
    </w:p>
    <w:p w14:paraId="221D747F">
      <w:pPr>
        <w:spacing w:line="420" w:lineRule="exact"/>
        <w:ind w:firstLine="435"/>
        <w:rPr>
          <w:rFonts w:hint="eastAsia" w:ascii="新宋体" w:hAnsi="新宋体" w:eastAsia="新宋体" w:cs="新宋体"/>
          <w:color w:val="auto"/>
          <w:sz w:val="22"/>
          <w:szCs w:val="22"/>
          <w:highlight w:val="none"/>
        </w:rPr>
      </w:pPr>
    </w:p>
    <w:p w14:paraId="1C8C5205">
      <w:pPr>
        <w:spacing w:line="420" w:lineRule="exact"/>
        <w:ind w:firstLine="462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投标供应商名称（盖章）</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u w:val="single"/>
        </w:rPr>
        <w:t xml:space="preserve">                  </w:t>
      </w:r>
    </w:p>
    <w:p w14:paraId="75BEF994">
      <w:pPr>
        <w:spacing w:line="420" w:lineRule="exact"/>
        <w:ind w:firstLine="3300" w:firstLineChars="15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法定代表人（负责人）</w:t>
      </w:r>
      <w:r>
        <w:rPr>
          <w:rFonts w:hint="eastAsia" w:ascii="新宋体" w:hAnsi="新宋体" w:eastAsia="新宋体" w:cs="新宋体"/>
          <w:color w:val="auto"/>
          <w:sz w:val="22"/>
          <w:szCs w:val="22"/>
          <w:highlight w:val="none"/>
        </w:rPr>
        <w:t>或授权代表（签字或盖章）</w:t>
      </w:r>
      <w:r>
        <w:rPr>
          <w:rFonts w:hint="eastAsia" w:ascii="新宋体" w:hAnsi="新宋体" w:eastAsia="新宋体" w:cs="新宋体"/>
          <w:color w:val="auto"/>
          <w:sz w:val="22"/>
          <w:szCs w:val="22"/>
          <w:highlight w:val="none"/>
          <w:u w:val="none"/>
          <w:lang w:eastAsia="zh-CN"/>
        </w:rPr>
        <w:t>：</w:t>
      </w:r>
      <w:r>
        <w:rPr>
          <w:rFonts w:hint="eastAsia" w:ascii="新宋体" w:hAnsi="新宋体" w:eastAsia="新宋体" w:cs="新宋体"/>
          <w:color w:val="auto"/>
          <w:sz w:val="22"/>
          <w:szCs w:val="22"/>
          <w:highlight w:val="none"/>
          <w:u w:val="single"/>
        </w:rPr>
        <w:t xml:space="preserve">                 </w:t>
      </w:r>
    </w:p>
    <w:p w14:paraId="2B17B46F">
      <w:pPr>
        <w:spacing w:line="460" w:lineRule="exact"/>
        <w:ind w:firstLine="462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rPr>
        <w:t>日    期</w:t>
      </w:r>
      <w:r>
        <w:rPr>
          <w:rFonts w:hint="eastAsia" w:ascii="新宋体" w:hAnsi="新宋体" w:eastAsia="新宋体" w:cs="新宋体"/>
          <w:color w:val="auto"/>
          <w:sz w:val="22"/>
          <w:szCs w:val="22"/>
          <w:highlight w:val="none"/>
          <w:u w:val="single"/>
        </w:rPr>
        <w:t xml:space="preserve">           </w:t>
      </w:r>
    </w:p>
    <w:p w14:paraId="7E3AF42D">
      <w:pPr>
        <w:spacing w:line="460" w:lineRule="exact"/>
        <w:ind w:firstLine="4620"/>
        <w:rPr>
          <w:rFonts w:hint="eastAsia" w:ascii="新宋体" w:hAnsi="新宋体" w:eastAsia="新宋体" w:cs="新宋体"/>
          <w:color w:val="auto"/>
          <w:sz w:val="22"/>
          <w:szCs w:val="22"/>
          <w:highlight w:val="none"/>
          <w:u w:val="single"/>
        </w:rPr>
      </w:pPr>
    </w:p>
    <w:p w14:paraId="46BB1EDA">
      <w:pPr>
        <w:spacing w:line="420" w:lineRule="exact"/>
        <w:ind w:firstLine="442" w:firstLineChars="200"/>
        <w:rPr>
          <w:rFonts w:hint="eastAsia" w:ascii="新宋体" w:hAnsi="新宋体" w:eastAsia="新宋体" w:cs="新宋体"/>
          <w:color w:val="auto"/>
          <w:sz w:val="22"/>
          <w:highlight w:val="none"/>
        </w:rPr>
      </w:pPr>
      <w:r>
        <w:rPr>
          <w:rFonts w:hint="eastAsia" w:ascii="新宋体" w:hAnsi="新宋体" w:eastAsia="新宋体" w:cs="新宋体"/>
          <w:b/>
          <w:color w:val="auto"/>
          <w:sz w:val="22"/>
          <w:szCs w:val="22"/>
          <w:highlight w:val="none"/>
          <w:u w:val="none"/>
          <w:lang w:val="en-US" w:eastAsia="zh-CN"/>
        </w:rPr>
        <w:t>注：</w:t>
      </w:r>
      <w:r>
        <w:rPr>
          <w:rFonts w:hint="eastAsia" w:ascii="新宋体" w:hAnsi="新宋体" w:eastAsia="新宋体" w:cs="新宋体"/>
          <w:b/>
          <w:color w:val="auto"/>
          <w:sz w:val="22"/>
          <w:szCs w:val="22"/>
          <w:highlight w:val="none"/>
          <w:u w:val="single"/>
        </w:rPr>
        <w:t>▲不提供投标函的投标文件将被视为未实质性响应采购文件。</w:t>
      </w:r>
    </w:p>
    <w:p w14:paraId="32EFFA72">
      <w:pPr>
        <w:spacing w:line="380" w:lineRule="exact"/>
        <w:rPr>
          <w:rFonts w:hint="eastAsia" w:ascii="新宋体" w:hAnsi="新宋体" w:eastAsia="新宋体" w:cs="新宋体"/>
          <w:b/>
          <w:bCs/>
          <w:color w:val="auto"/>
          <w:sz w:val="22"/>
          <w:szCs w:val="22"/>
          <w:highlight w:val="none"/>
        </w:rPr>
      </w:pPr>
    </w:p>
    <w:p w14:paraId="5AF5A1A7">
      <w:pPr>
        <w:spacing w:line="380" w:lineRule="exact"/>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2"/>
          <w:szCs w:val="22"/>
          <w:highlight w:val="none"/>
        </w:rPr>
        <w:t>附件</w:t>
      </w:r>
      <w:r>
        <w:rPr>
          <w:rFonts w:hint="eastAsia" w:ascii="新宋体" w:hAnsi="新宋体" w:eastAsia="新宋体" w:cs="新宋体"/>
          <w:b/>
          <w:bCs/>
          <w:color w:val="auto"/>
          <w:sz w:val="22"/>
          <w:szCs w:val="22"/>
          <w:highlight w:val="none"/>
          <w:lang w:val="en-US" w:eastAsia="zh-CN"/>
        </w:rPr>
        <w:t>二：</w:t>
      </w:r>
    </w:p>
    <w:p w14:paraId="6375FD6F">
      <w:pPr>
        <w:spacing w:line="380" w:lineRule="exact"/>
        <w:ind w:firstLine="2871" w:firstLineChars="13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（1）法定代表人（负责人）声明书</w:t>
      </w:r>
    </w:p>
    <w:p w14:paraId="414742D5">
      <w:pPr>
        <w:spacing w:line="400" w:lineRule="exact"/>
        <w:rPr>
          <w:rFonts w:hint="eastAsia" w:ascii="新宋体" w:hAnsi="新宋体" w:eastAsia="新宋体" w:cs="新宋体"/>
          <w:color w:val="auto"/>
          <w:sz w:val="22"/>
          <w:szCs w:val="22"/>
          <w:highlight w:val="none"/>
        </w:rPr>
      </w:pPr>
    </w:p>
    <w:p w14:paraId="52833C61">
      <w:pPr>
        <w:spacing w:line="42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温州市数据集团有限公司</w:t>
      </w:r>
      <w:r>
        <w:rPr>
          <w:rFonts w:hint="eastAsia" w:ascii="新宋体" w:hAnsi="新宋体" w:eastAsia="新宋体" w:cs="新宋体"/>
          <w:color w:val="auto"/>
          <w:sz w:val="22"/>
          <w:szCs w:val="22"/>
          <w:highlight w:val="none"/>
        </w:rPr>
        <w:t>：</w:t>
      </w:r>
    </w:p>
    <w:p w14:paraId="3FBA2E21">
      <w:pPr>
        <w:spacing w:line="42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温州品立项目管理有限公司</w:t>
      </w:r>
      <w:r>
        <w:rPr>
          <w:rFonts w:hint="eastAsia" w:ascii="新宋体" w:hAnsi="新宋体" w:eastAsia="新宋体" w:cs="新宋体"/>
          <w:color w:val="auto"/>
          <w:sz w:val="22"/>
          <w:szCs w:val="22"/>
          <w:highlight w:val="none"/>
        </w:rPr>
        <w:t>：</w:t>
      </w:r>
    </w:p>
    <w:p w14:paraId="4278D198">
      <w:pPr>
        <w:spacing w:line="460" w:lineRule="exact"/>
        <w:rPr>
          <w:rFonts w:hint="eastAsia" w:ascii="新宋体" w:hAnsi="新宋体" w:eastAsia="新宋体" w:cs="新宋体"/>
          <w:color w:val="auto"/>
          <w:sz w:val="22"/>
          <w:szCs w:val="22"/>
          <w:highlight w:val="none"/>
          <w:u w:val="single"/>
        </w:rPr>
      </w:pPr>
    </w:p>
    <w:p w14:paraId="7F88DD3D">
      <w:pPr>
        <w:spacing w:line="460" w:lineRule="exact"/>
        <w:ind w:firstLine="220" w:firstLineChars="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本人</w:t>
      </w:r>
      <w:r>
        <w:rPr>
          <w:rFonts w:hint="eastAsia" w:ascii="新宋体" w:hAnsi="新宋体" w:eastAsia="新宋体" w:cs="新宋体"/>
          <w:color w:val="auto"/>
          <w:sz w:val="22"/>
          <w:szCs w:val="22"/>
          <w:highlight w:val="none"/>
          <w:u w:val="single"/>
        </w:rPr>
        <w:t>（法定代表人（负责人）姓名）</w:t>
      </w:r>
      <w:r>
        <w:rPr>
          <w:rFonts w:hint="eastAsia" w:ascii="新宋体" w:hAnsi="新宋体" w:eastAsia="新宋体" w:cs="新宋体"/>
          <w:color w:val="auto"/>
          <w:sz w:val="22"/>
          <w:szCs w:val="22"/>
          <w:highlight w:val="none"/>
        </w:rPr>
        <w:t>为</w:t>
      </w:r>
      <w:r>
        <w:rPr>
          <w:rFonts w:hint="eastAsia" w:ascii="新宋体" w:hAnsi="新宋体" w:eastAsia="新宋体" w:cs="新宋体"/>
          <w:color w:val="auto"/>
          <w:sz w:val="22"/>
          <w:szCs w:val="22"/>
          <w:highlight w:val="none"/>
          <w:u w:val="single"/>
        </w:rPr>
        <w:t>（供应商全称）</w:t>
      </w:r>
      <w:r>
        <w:rPr>
          <w:rFonts w:hint="eastAsia" w:ascii="新宋体" w:hAnsi="新宋体" w:eastAsia="新宋体" w:cs="新宋体"/>
          <w:color w:val="auto"/>
          <w:sz w:val="22"/>
          <w:szCs w:val="22"/>
          <w:highlight w:val="none"/>
        </w:rPr>
        <w:t>的法定代表人（负责人）。我公司参加贵处组织的</w:t>
      </w:r>
      <w:r>
        <w:rPr>
          <w:rFonts w:hint="eastAsia" w:ascii="新宋体" w:hAnsi="新宋体" w:eastAsia="新宋体" w:cs="新宋体"/>
          <w:color w:val="auto"/>
          <w:sz w:val="22"/>
          <w:szCs w:val="22"/>
          <w:highlight w:val="none"/>
          <w:u w:val="single"/>
        </w:rPr>
        <w:t>（项目名称、项目编号）</w:t>
      </w:r>
      <w:r>
        <w:rPr>
          <w:rFonts w:hint="eastAsia" w:ascii="新宋体" w:hAnsi="新宋体" w:eastAsia="新宋体" w:cs="新宋体"/>
          <w:color w:val="auto"/>
          <w:sz w:val="22"/>
          <w:szCs w:val="22"/>
          <w:highlight w:val="none"/>
        </w:rPr>
        <w:t>的采购活动，由我本人全权代表我方处理采购活动中的一切事宜。联系方式如下：</w:t>
      </w:r>
      <w:r>
        <w:rPr>
          <w:rFonts w:hint="eastAsia" w:ascii="新宋体" w:hAnsi="新宋体" w:eastAsia="新宋体" w:cs="新宋体"/>
          <w:color w:val="auto"/>
          <w:sz w:val="22"/>
          <w:szCs w:val="22"/>
          <w:highlight w:val="none"/>
          <w:u w:val="single"/>
        </w:rPr>
        <w:t xml:space="preserve">手机号码：       联系邮箱:         详细通讯地址：             </w:t>
      </w:r>
      <w:r>
        <w:rPr>
          <w:rFonts w:hint="eastAsia" w:ascii="新宋体" w:hAnsi="新宋体" w:eastAsia="新宋体" w:cs="新宋体"/>
          <w:color w:val="auto"/>
          <w:sz w:val="22"/>
          <w:szCs w:val="22"/>
          <w:highlight w:val="none"/>
        </w:rPr>
        <w:t xml:space="preserve"> 。  </w:t>
      </w:r>
    </w:p>
    <w:p w14:paraId="26CCEB88">
      <w:pPr>
        <w:spacing w:line="400" w:lineRule="exact"/>
        <w:rPr>
          <w:rFonts w:hint="eastAsia" w:ascii="新宋体" w:hAnsi="新宋体" w:eastAsia="新宋体" w:cs="新宋体"/>
          <w:color w:val="auto"/>
          <w:sz w:val="22"/>
          <w:szCs w:val="22"/>
          <w:highlight w:val="none"/>
        </w:rPr>
      </w:pPr>
    </w:p>
    <w:p w14:paraId="50428CBD">
      <w:pPr>
        <w:spacing w:line="400" w:lineRule="exact"/>
        <w:rPr>
          <w:rFonts w:hint="eastAsia" w:ascii="新宋体" w:hAnsi="新宋体" w:eastAsia="新宋体" w:cs="新宋体"/>
          <w:color w:val="auto"/>
          <w:sz w:val="22"/>
          <w:szCs w:val="22"/>
          <w:highlight w:val="none"/>
        </w:rPr>
      </w:pPr>
    </w:p>
    <w:p w14:paraId="506C918B">
      <w:pPr>
        <w:spacing w:line="400" w:lineRule="exact"/>
        <w:rPr>
          <w:rFonts w:hint="eastAsia" w:ascii="新宋体" w:hAnsi="新宋体" w:eastAsia="新宋体" w:cs="新宋体"/>
          <w:color w:val="auto"/>
          <w:sz w:val="22"/>
          <w:szCs w:val="22"/>
          <w:highlight w:val="none"/>
        </w:rPr>
      </w:pPr>
    </w:p>
    <w:p w14:paraId="6EB190F4">
      <w:pPr>
        <w:spacing w:line="460" w:lineRule="exact"/>
        <w:ind w:firstLine="3971" w:firstLineChars="1805"/>
        <w:rPr>
          <w:rFonts w:hint="eastAsia" w:ascii="新宋体" w:hAnsi="新宋体" w:eastAsia="新宋体" w:cs="新宋体"/>
          <w:color w:val="auto"/>
          <w:sz w:val="22"/>
          <w:szCs w:val="22"/>
          <w:highlight w:val="none"/>
        </w:rPr>
      </w:pPr>
    </w:p>
    <w:p w14:paraId="1B869FA6">
      <w:pPr>
        <w:spacing w:line="460" w:lineRule="exact"/>
        <w:ind w:firstLine="295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en-US" w:eastAsia="zh-CN"/>
        </w:rPr>
        <w:t>投标</w:t>
      </w:r>
      <w:r>
        <w:rPr>
          <w:rFonts w:hint="eastAsia" w:ascii="新宋体" w:hAnsi="新宋体" w:eastAsia="新宋体" w:cs="新宋体"/>
          <w:color w:val="auto"/>
          <w:sz w:val="22"/>
          <w:szCs w:val="22"/>
          <w:highlight w:val="none"/>
        </w:rPr>
        <w:t>供应商全称（</w:t>
      </w:r>
      <w:r>
        <w:rPr>
          <w:rFonts w:hint="eastAsia" w:ascii="新宋体" w:hAnsi="新宋体" w:eastAsia="新宋体" w:cs="新宋体"/>
          <w:color w:val="auto"/>
          <w:sz w:val="22"/>
          <w:szCs w:val="22"/>
          <w:highlight w:val="none"/>
          <w:lang w:val="en-US" w:eastAsia="zh-CN"/>
        </w:rPr>
        <w:t>盖</w:t>
      </w:r>
      <w:r>
        <w:rPr>
          <w:rFonts w:hint="eastAsia" w:ascii="新宋体" w:hAnsi="新宋体" w:eastAsia="新宋体" w:cs="新宋体"/>
          <w:color w:val="auto"/>
          <w:sz w:val="22"/>
          <w:szCs w:val="22"/>
          <w:highlight w:val="none"/>
        </w:rPr>
        <w:t>章）：</w:t>
      </w:r>
    </w:p>
    <w:p w14:paraId="5E06A5D6">
      <w:pPr>
        <w:spacing w:line="460" w:lineRule="exact"/>
        <w:ind w:firstLine="295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日期：     年    月   日</w:t>
      </w:r>
    </w:p>
    <w:p w14:paraId="6231A114">
      <w:pPr>
        <w:spacing w:line="460" w:lineRule="exact"/>
        <w:rPr>
          <w:rFonts w:hint="eastAsia" w:ascii="新宋体" w:hAnsi="新宋体" w:eastAsia="新宋体" w:cs="新宋体"/>
          <w:color w:val="auto"/>
          <w:sz w:val="22"/>
          <w:szCs w:val="22"/>
          <w:highlight w:val="none"/>
        </w:rPr>
      </w:pPr>
    </w:p>
    <w:p w14:paraId="1CDB2AF6">
      <w:pPr>
        <w:widowControl/>
        <w:jc w:val="left"/>
        <w:rPr>
          <w:rFonts w:hint="eastAsia" w:ascii="新宋体" w:hAnsi="新宋体" w:eastAsia="新宋体" w:cs="新宋体"/>
          <w:color w:val="auto"/>
          <w:sz w:val="22"/>
          <w:szCs w:val="22"/>
          <w:highlight w:val="none"/>
        </w:rPr>
      </w:pPr>
    </w:p>
    <w:p w14:paraId="6D0D9ACD">
      <w:pPr>
        <w:widowControl/>
        <w:jc w:val="left"/>
        <w:rPr>
          <w:rFonts w:hint="eastAsia" w:ascii="新宋体" w:hAnsi="新宋体" w:eastAsia="新宋体" w:cs="新宋体"/>
          <w:color w:val="auto"/>
          <w:sz w:val="22"/>
          <w:szCs w:val="22"/>
          <w:highlight w:val="none"/>
        </w:rPr>
      </w:pPr>
    </w:p>
    <w:p w14:paraId="674A9F8F">
      <w:pPr>
        <w:widowControl/>
        <w:jc w:val="left"/>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附：法定代表人（负责人）身份证正反面复印件</w:t>
      </w:r>
      <w:r>
        <w:rPr>
          <w:rFonts w:hint="eastAsia" w:ascii="新宋体" w:hAnsi="新宋体" w:eastAsia="新宋体" w:cs="新宋体"/>
          <w:color w:val="auto"/>
          <w:sz w:val="22"/>
          <w:szCs w:val="22"/>
          <w:highlight w:val="none"/>
        </w:rPr>
        <w:br w:type="page"/>
      </w:r>
    </w:p>
    <w:p w14:paraId="0ED4899B">
      <w:pPr>
        <w:spacing w:line="38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（2）法定代表人（负责人）授权书</w:t>
      </w:r>
    </w:p>
    <w:p w14:paraId="6A4ECD43">
      <w:pPr>
        <w:spacing w:line="400" w:lineRule="exact"/>
        <w:jc w:val="center"/>
        <w:rPr>
          <w:rFonts w:hint="eastAsia" w:ascii="新宋体" w:hAnsi="新宋体" w:eastAsia="新宋体" w:cs="新宋体"/>
          <w:b/>
          <w:bCs/>
          <w:color w:val="auto"/>
          <w:sz w:val="22"/>
          <w:szCs w:val="22"/>
          <w:highlight w:val="none"/>
        </w:rPr>
      </w:pPr>
    </w:p>
    <w:p w14:paraId="14CB6841">
      <w:pPr>
        <w:spacing w:line="42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温州市数据集团有限公司</w:t>
      </w:r>
      <w:r>
        <w:rPr>
          <w:rFonts w:hint="eastAsia" w:ascii="新宋体" w:hAnsi="新宋体" w:eastAsia="新宋体" w:cs="新宋体"/>
          <w:color w:val="auto"/>
          <w:sz w:val="22"/>
          <w:szCs w:val="22"/>
          <w:highlight w:val="none"/>
        </w:rPr>
        <w:t>：</w:t>
      </w:r>
    </w:p>
    <w:p w14:paraId="71C1EFB9">
      <w:pPr>
        <w:spacing w:line="42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温州品立项目管理有限公司</w:t>
      </w:r>
      <w:r>
        <w:rPr>
          <w:rFonts w:hint="eastAsia" w:ascii="新宋体" w:hAnsi="新宋体" w:eastAsia="新宋体" w:cs="新宋体"/>
          <w:color w:val="auto"/>
          <w:sz w:val="22"/>
          <w:szCs w:val="22"/>
          <w:highlight w:val="none"/>
        </w:rPr>
        <w:t>：</w:t>
      </w:r>
    </w:p>
    <w:p w14:paraId="3B74A742">
      <w:pPr>
        <w:spacing w:line="460" w:lineRule="exact"/>
        <w:rPr>
          <w:rFonts w:hint="eastAsia" w:ascii="新宋体" w:hAnsi="新宋体" w:eastAsia="新宋体" w:cs="新宋体"/>
          <w:color w:val="auto"/>
          <w:sz w:val="22"/>
          <w:szCs w:val="22"/>
          <w:highlight w:val="none"/>
          <w:u w:val="single"/>
        </w:rPr>
      </w:pPr>
    </w:p>
    <w:p w14:paraId="195912AB">
      <w:pPr>
        <w:spacing w:line="460" w:lineRule="exact"/>
        <w:ind w:firstLine="220" w:firstLineChars="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（供应商全称）</w:t>
      </w:r>
      <w:r>
        <w:rPr>
          <w:rFonts w:hint="eastAsia" w:ascii="新宋体" w:hAnsi="新宋体" w:eastAsia="新宋体" w:cs="新宋体"/>
          <w:color w:val="auto"/>
          <w:sz w:val="22"/>
          <w:szCs w:val="22"/>
          <w:highlight w:val="none"/>
        </w:rPr>
        <w:t xml:space="preserve">法定代表人（负责人） </w:t>
      </w:r>
      <w:r>
        <w:rPr>
          <w:rFonts w:hint="eastAsia" w:ascii="新宋体" w:hAnsi="新宋体" w:eastAsia="新宋体" w:cs="新宋体"/>
          <w:color w:val="auto"/>
          <w:sz w:val="22"/>
          <w:szCs w:val="22"/>
          <w:highlight w:val="none"/>
          <w:u w:val="single"/>
        </w:rPr>
        <w:t>（法定代表人（负责人）姓名）</w:t>
      </w:r>
      <w:r>
        <w:rPr>
          <w:rFonts w:hint="eastAsia" w:ascii="新宋体" w:hAnsi="新宋体" w:eastAsia="新宋体" w:cs="新宋体"/>
          <w:color w:val="auto"/>
          <w:sz w:val="22"/>
          <w:szCs w:val="22"/>
          <w:highlight w:val="none"/>
        </w:rPr>
        <w:t xml:space="preserve"> 授权</w:t>
      </w:r>
      <w:r>
        <w:rPr>
          <w:rFonts w:hint="eastAsia" w:ascii="新宋体" w:hAnsi="新宋体" w:eastAsia="新宋体" w:cs="新宋体"/>
          <w:color w:val="auto"/>
          <w:sz w:val="22"/>
          <w:szCs w:val="22"/>
          <w:highlight w:val="none"/>
          <w:u w:val="single"/>
        </w:rPr>
        <w:t>（全权代表姓名）</w:t>
      </w:r>
      <w:r>
        <w:rPr>
          <w:rFonts w:hint="eastAsia" w:ascii="新宋体" w:hAnsi="新宋体" w:eastAsia="新宋体" w:cs="新宋体"/>
          <w:color w:val="auto"/>
          <w:sz w:val="22"/>
          <w:szCs w:val="22"/>
          <w:highlight w:val="none"/>
        </w:rPr>
        <w:t>为本项目全权代表，参加贵处组织的</w:t>
      </w:r>
      <w:r>
        <w:rPr>
          <w:rFonts w:hint="eastAsia" w:ascii="新宋体" w:hAnsi="新宋体" w:eastAsia="新宋体" w:cs="新宋体"/>
          <w:color w:val="auto"/>
          <w:sz w:val="22"/>
          <w:szCs w:val="22"/>
          <w:highlight w:val="none"/>
          <w:u w:val="single"/>
        </w:rPr>
        <w:t>（项目名称、项目编号）</w:t>
      </w:r>
      <w:r>
        <w:rPr>
          <w:rFonts w:hint="eastAsia" w:ascii="新宋体" w:hAnsi="新宋体" w:eastAsia="新宋体" w:cs="新宋体"/>
          <w:color w:val="auto"/>
          <w:sz w:val="22"/>
          <w:szCs w:val="22"/>
          <w:highlight w:val="none"/>
        </w:rPr>
        <w:t>的采购活动，全权代表我方处理采购活动中的一切事宜。联系方式如下：</w:t>
      </w:r>
      <w:r>
        <w:rPr>
          <w:rFonts w:hint="eastAsia" w:ascii="新宋体" w:hAnsi="新宋体" w:eastAsia="新宋体" w:cs="新宋体"/>
          <w:color w:val="auto"/>
          <w:sz w:val="22"/>
          <w:szCs w:val="22"/>
          <w:highlight w:val="none"/>
          <w:u w:val="single"/>
        </w:rPr>
        <w:t xml:space="preserve">手机号码：       联系邮箱:         详细通讯地址：             </w:t>
      </w:r>
      <w:r>
        <w:rPr>
          <w:rFonts w:hint="eastAsia" w:ascii="新宋体" w:hAnsi="新宋体" w:eastAsia="新宋体" w:cs="新宋体"/>
          <w:color w:val="auto"/>
          <w:sz w:val="22"/>
          <w:szCs w:val="22"/>
          <w:highlight w:val="none"/>
        </w:rPr>
        <w:t xml:space="preserve"> 。  </w:t>
      </w:r>
    </w:p>
    <w:p w14:paraId="03302300">
      <w:pPr>
        <w:spacing w:line="460" w:lineRule="exact"/>
        <w:ind w:firstLine="220" w:firstLineChars="100"/>
        <w:rPr>
          <w:rFonts w:hint="eastAsia" w:ascii="新宋体" w:hAnsi="新宋体" w:eastAsia="新宋体" w:cs="新宋体"/>
          <w:color w:val="auto"/>
          <w:sz w:val="22"/>
          <w:szCs w:val="22"/>
          <w:highlight w:val="none"/>
        </w:rPr>
      </w:pPr>
    </w:p>
    <w:p w14:paraId="70D0FF4B">
      <w:pPr>
        <w:spacing w:line="460" w:lineRule="exact"/>
        <w:ind w:firstLine="550" w:firstLineChars="250"/>
        <w:rPr>
          <w:rFonts w:hint="eastAsia" w:ascii="新宋体" w:hAnsi="新宋体" w:eastAsia="新宋体" w:cs="新宋体"/>
          <w:color w:val="auto"/>
          <w:sz w:val="22"/>
          <w:szCs w:val="22"/>
          <w:highlight w:val="none"/>
        </w:rPr>
      </w:pPr>
    </w:p>
    <w:p w14:paraId="4864312F">
      <w:pPr>
        <w:spacing w:line="460" w:lineRule="exact"/>
        <w:ind w:firstLine="2955"/>
        <w:rPr>
          <w:rFonts w:hint="eastAsia" w:ascii="新宋体" w:hAnsi="新宋体" w:eastAsia="新宋体" w:cs="新宋体"/>
          <w:color w:val="auto"/>
          <w:sz w:val="22"/>
          <w:szCs w:val="22"/>
          <w:highlight w:val="none"/>
        </w:rPr>
      </w:pPr>
    </w:p>
    <w:p w14:paraId="7C67A5E3">
      <w:pPr>
        <w:spacing w:line="460" w:lineRule="exact"/>
        <w:ind w:firstLine="2955"/>
        <w:rPr>
          <w:rFonts w:hint="eastAsia" w:ascii="新宋体" w:hAnsi="新宋体" w:eastAsia="新宋体" w:cs="新宋体"/>
          <w:color w:val="auto"/>
          <w:sz w:val="22"/>
          <w:szCs w:val="22"/>
          <w:highlight w:val="none"/>
        </w:rPr>
      </w:pPr>
    </w:p>
    <w:p w14:paraId="115934F2">
      <w:pPr>
        <w:spacing w:line="460" w:lineRule="exact"/>
        <w:ind w:firstLine="3971" w:firstLineChars="180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法定代表人（负责人） (签字或盖章)：</w:t>
      </w:r>
    </w:p>
    <w:p w14:paraId="596DFB01">
      <w:pPr>
        <w:spacing w:line="460" w:lineRule="exact"/>
        <w:ind w:firstLine="295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en-US" w:eastAsia="zh-CN"/>
        </w:rPr>
        <w:t>投标</w:t>
      </w:r>
      <w:r>
        <w:rPr>
          <w:rFonts w:hint="eastAsia" w:ascii="新宋体" w:hAnsi="新宋体" w:eastAsia="新宋体" w:cs="新宋体"/>
          <w:color w:val="auto"/>
          <w:sz w:val="22"/>
          <w:szCs w:val="22"/>
          <w:highlight w:val="none"/>
        </w:rPr>
        <w:t>供应商全称（</w:t>
      </w:r>
      <w:r>
        <w:rPr>
          <w:rFonts w:hint="eastAsia" w:ascii="新宋体" w:hAnsi="新宋体" w:eastAsia="新宋体" w:cs="新宋体"/>
          <w:color w:val="auto"/>
          <w:sz w:val="22"/>
          <w:szCs w:val="22"/>
          <w:highlight w:val="none"/>
          <w:lang w:val="en-US" w:eastAsia="zh-CN"/>
        </w:rPr>
        <w:t>盖</w:t>
      </w:r>
      <w:r>
        <w:rPr>
          <w:rFonts w:hint="eastAsia" w:ascii="新宋体" w:hAnsi="新宋体" w:eastAsia="新宋体" w:cs="新宋体"/>
          <w:color w:val="auto"/>
          <w:sz w:val="22"/>
          <w:szCs w:val="22"/>
          <w:highlight w:val="none"/>
        </w:rPr>
        <w:t>章）：</w:t>
      </w:r>
    </w:p>
    <w:p w14:paraId="48A8F5A4">
      <w:pPr>
        <w:spacing w:line="460" w:lineRule="exact"/>
        <w:ind w:firstLine="295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日期：     年    月   日</w:t>
      </w:r>
    </w:p>
    <w:p w14:paraId="4447AD5C">
      <w:pPr>
        <w:spacing w:line="460" w:lineRule="exact"/>
        <w:rPr>
          <w:rFonts w:hint="eastAsia" w:ascii="新宋体" w:hAnsi="新宋体" w:eastAsia="新宋体" w:cs="新宋体"/>
          <w:color w:val="auto"/>
          <w:sz w:val="22"/>
          <w:szCs w:val="22"/>
          <w:highlight w:val="none"/>
        </w:rPr>
      </w:pPr>
    </w:p>
    <w:p w14:paraId="01043717">
      <w:pPr>
        <w:spacing w:line="460" w:lineRule="exact"/>
        <w:rPr>
          <w:rFonts w:hint="eastAsia" w:ascii="新宋体" w:hAnsi="新宋体" w:eastAsia="新宋体" w:cs="新宋体"/>
          <w:color w:val="auto"/>
          <w:sz w:val="22"/>
          <w:szCs w:val="22"/>
          <w:highlight w:val="none"/>
        </w:rPr>
      </w:pPr>
    </w:p>
    <w:p w14:paraId="692B485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附：法定代表人（负责人）及授权代表的身份证正反面复印件</w:t>
      </w:r>
    </w:p>
    <w:p w14:paraId="4E952F81">
      <w:pPr>
        <w:widowControl/>
        <w:jc w:val="left"/>
        <w:rPr>
          <w:rFonts w:hint="eastAsia" w:ascii="新宋体" w:hAnsi="新宋体" w:eastAsia="新宋体" w:cs="新宋体"/>
          <w:b/>
          <w:bCs/>
          <w:color w:val="auto"/>
          <w:sz w:val="22"/>
          <w:szCs w:val="22"/>
          <w:highlight w:val="none"/>
        </w:rPr>
      </w:pPr>
    </w:p>
    <w:p w14:paraId="2BB35A53">
      <w:pPr>
        <w:widowControl/>
        <w:jc w:val="left"/>
        <w:rPr>
          <w:rFonts w:hint="eastAsia" w:ascii="新宋体" w:hAnsi="新宋体" w:eastAsia="新宋体" w:cs="新宋体"/>
          <w:b/>
          <w:bCs/>
          <w:color w:val="auto"/>
          <w:sz w:val="22"/>
          <w:szCs w:val="22"/>
          <w:highlight w:val="none"/>
        </w:rPr>
      </w:pPr>
    </w:p>
    <w:p w14:paraId="4DED0CB6">
      <w:pPr>
        <w:widowControl/>
        <w:jc w:val="left"/>
        <w:rPr>
          <w:rFonts w:hint="eastAsia" w:ascii="新宋体" w:hAnsi="新宋体" w:eastAsia="新宋体" w:cs="新宋体"/>
          <w:b/>
          <w:bCs/>
          <w:color w:val="auto"/>
          <w:sz w:val="22"/>
          <w:szCs w:val="22"/>
          <w:highlight w:val="none"/>
        </w:rPr>
      </w:pPr>
    </w:p>
    <w:p w14:paraId="22DC1DCA">
      <w:pPr>
        <w:widowControl/>
        <w:jc w:val="left"/>
        <w:rPr>
          <w:rFonts w:hint="eastAsia" w:ascii="新宋体" w:hAnsi="新宋体" w:eastAsia="新宋体" w:cs="新宋体"/>
          <w:b/>
          <w:bCs/>
          <w:color w:val="auto"/>
          <w:sz w:val="22"/>
          <w:szCs w:val="22"/>
          <w:highlight w:val="none"/>
        </w:rPr>
      </w:pPr>
    </w:p>
    <w:p w14:paraId="213631C5">
      <w:pPr>
        <w:widowControl/>
        <w:jc w:val="left"/>
        <w:rPr>
          <w:rFonts w:hint="eastAsia" w:ascii="新宋体" w:hAnsi="新宋体" w:eastAsia="新宋体" w:cs="新宋体"/>
          <w:b/>
          <w:bCs/>
          <w:color w:val="auto"/>
          <w:sz w:val="22"/>
          <w:szCs w:val="22"/>
          <w:highlight w:val="none"/>
        </w:rPr>
      </w:pPr>
    </w:p>
    <w:p w14:paraId="7C2CEF55">
      <w:pPr>
        <w:widowControl/>
        <w:jc w:val="left"/>
        <w:rPr>
          <w:rFonts w:hint="eastAsia" w:ascii="新宋体" w:hAnsi="新宋体" w:eastAsia="新宋体" w:cs="新宋体"/>
          <w:b/>
          <w:bCs/>
          <w:color w:val="auto"/>
          <w:sz w:val="22"/>
          <w:szCs w:val="22"/>
          <w:highlight w:val="none"/>
        </w:rPr>
      </w:pPr>
    </w:p>
    <w:p w14:paraId="013D4577">
      <w:pPr>
        <w:widowControl/>
        <w:jc w:val="left"/>
        <w:rPr>
          <w:rFonts w:hint="eastAsia" w:ascii="新宋体" w:hAnsi="新宋体" w:eastAsia="新宋体" w:cs="新宋体"/>
          <w:b/>
          <w:bCs/>
          <w:color w:val="auto"/>
          <w:sz w:val="22"/>
          <w:szCs w:val="22"/>
          <w:highlight w:val="none"/>
        </w:rPr>
      </w:pPr>
    </w:p>
    <w:p w14:paraId="39764282">
      <w:pPr>
        <w:widowControl/>
        <w:jc w:val="left"/>
        <w:rPr>
          <w:rFonts w:hint="eastAsia" w:ascii="新宋体" w:hAnsi="新宋体" w:eastAsia="新宋体" w:cs="新宋体"/>
          <w:b/>
          <w:bCs/>
          <w:color w:val="auto"/>
          <w:sz w:val="22"/>
          <w:szCs w:val="22"/>
          <w:highlight w:val="none"/>
        </w:rPr>
      </w:pPr>
    </w:p>
    <w:p w14:paraId="7CC5DD63">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说明：</w:t>
      </w:r>
    </w:p>
    <w:p w14:paraId="5CA9515C">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1、若供应商代表为法定代表人（负责人），应提供声明书（1-1）并提交法定代表人（负责人）身份证正反面复印件；</w:t>
      </w:r>
    </w:p>
    <w:p w14:paraId="52C760E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2、若供应商代表为法定代表人（负责人）授权的委托代理人，应提供授权书（1-2），并附法定代表人（负责人）及授权代表的身份证正反面复印件。</w:t>
      </w:r>
    </w:p>
    <w:p w14:paraId="051440A5">
      <w:pPr>
        <w:rPr>
          <w:rFonts w:hint="eastAsia" w:ascii="新宋体" w:hAnsi="新宋体" w:eastAsia="新宋体" w:cs="新宋体"/>
          <w:b/>
          <w:bCs/>
          <w:color w:val="auto"/>
          <w:sz w:val="22"/>
          <w:szCs w:val="22"/>
          <w:highlight w:val="none"/>
        </w:rPr>
      </w:pPr>
    </w:p>
    <w:p w14:paraId="4EE53522">
      <w:pP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p>
    <w:p w14:paraId="3E6F0919">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附件</w:t>
      </w:r>
      <w:r>
        <w:rPr>
          <w:rFonts w:hint="eastAsia" w:ascii="新宋体" w:hAnsi="新宋体" w:eastAsia="新宋体" w:cs="新宋体"/>
          <w:b/>
          <w:bCs/>
          <w:color w:val="auto"/>
          <w:sz w:val="22"/>
          <w:szCs w:val="22"/>
          <w:highlight w:val="none"/>
          <w:lang w:val="en-US" w:eastAsia="zh-CN"/>
        </w:rPr>
        <w:t>三</w:t>
      </w:r>
      <w:r>
        <w:rPr>
          <w:rFonts w:hint="eastAsia" w:ascii="新宋体" w:hAnsi="新宋体" w:eastAsia="新宋体" w:cs="新宋体"/>
          <w:b/>
          <w:bCs/>
          <w:color w:val="auto"/>
          <w:sz w:val="22"/>
          <w:szCs w:val="22"/>
          <w:highlight w:val="none"/>
        </w:rPr>
        <w:t>：</w:t>
      </w:r>
    </w:p>
    <w:p w14:paraId="37BEEB66">
      <w:pPr>
        <w:spacing w:line="460" w:lineRule="exact"/>
        <w:jc w:val="center"/>
        <w:rPr>
          <w:rFonts w:hint="eastAsia" w:ascii="新宋体" w:hAnsi="新宋体" w:eastAsia="新宋体" w:cs="新宋体"/>
          <w:b/>
          <w:bCs/>
          <w:color w:val="auto"/>
          <w:sz w:val="28"/>
          <w:szCs w:val="28"/>
          <w:highlight w:val="none"/>
          <w:lang w:eastAsia="zh-CN"/>
        </w:rPr>
      </w:pPr>
      <w:r>
        <w:rPr>
          <w:rFonts w:hint="eastAsia" w:ascii="新宋体" w:hAnsi="新宋体" w:eastAsia="新宋体" w:cs="新宋体"/>
          <w:b/>
          <w:bCs/>
          <w:color w:val="auto"/>
          <w:sz w:val="28"/>
          <w:szCs w:val="28"/>
          <w:highlight w:val="none"/>
          <w:lang w:eastAsia="zh-CN"/>
        </w:rPr>
        <w:t>技术/服务条款偏离表</w:t>
      </w:r>
    </w:p>
    <w:p w14:paraId="28C6BF5D">
      <w:pPr>
        <w:ind w:firstLine="435"/>
        <w:jc w:val="center"/>
        <w:rPr>
          <w:rFonts w:hint="eastAsia" w:ascii="新宋体" w:hAnsi="新宋体" w:eastAsia="新宋体" w:cs="新宋体"/>
          <w:b/>
          <w:color w:val="auto"/>
          <w:sz w:val="44"/>
          <w:highlight w:val="none"/>
        </w:rPr>
      </w:pPr>
    </w:p>
    <w:p w14:paraId="690317F9">
      <w:pPr>
        <w:overflowPunct w:val="0"/>
        <w:spacing w:line="380" w:lineRule="exact"/>
        <w:rPr>
          <w:rFonts w:hint="eastAsia" w:ascii="新宋体" w:hAnsi="新宋体" w:eastAsia="新宋体" w:cs="新宋体"/>
          <w:bCs/>
          <w:color w:val="auto"/>
          <w:sz w:val="22"/>
          <w:szCs w:val="22"/>
          <w:highlight w:val="none"/>
        </w:rPr>
      </w:pPr>
      <w:r>
        <w:rPr>
          <w:rFonts w:hint="eastAsia" w:ascii="新宋体" w:hAnsi="新宋体" w:eastAsia="新宋体" w:cs="新宋体"/>
          <w:b/>
          <w:color w:val="auto"/>
          <w:sz w:val="24"/>
          <w:highlight w:val="none"/>
        </w:rPr>
        <w:t xml:space="preserve">   </w:t>
      </w:r>
      <w:r>
        <w:rPr>
          <w:rFonts w:hint="eastAsia" w:ascii="新宋体" w:hAnsi="新宋体" w:eastAsia="新宋体" w:cs="新宋体"/>
          <w:bCs/>
          <w:color w:val="auto"/>
          <w:sz w:val="22"/>
          <w:szCs w:val="22"/>
          <w:highlight w:val="none"/>
        </w:rPr>
        <w:t xml:space="preserve">项目名称：                                      </w:t>
      </w:r>
      <w:r>
        <w:rPr>
          <w:rFonts w:hint="eastAsia" w:ascii="新宋体" w:hAnsi="新宋体" w:eastAsia="新宋体" w:cs="新宋体"/>
          <w:bCs/>
          <w:color w:val="auto"/>
          <w:sz w:val="22"/>
          <w:szCs w:val="22"/>
          <w:highlight w:val="none"/>
          <w:lang w:eastAsia="zh-CN"/>
        </w:rPr>
        <w:t>项目编号</w:t>
      </w:r>
      <w:r>
        <w:rPr>
          <w:rFonts w:hint="eastAsia" w:ascii="新宋体" w:hAnsi="新宋体" w:eastAsia="新宋体" w:cs="新宋体"/>
          <w:bCs/>
          <w:color w:val="auto"/>
          <w:sz w:val="22"/>
          <w:szCs w:val="22"/>
          <w:highlight w:val="none"/>
        </w:rPr>
        <w:t>：</w:t>
      </w:r>
    </w:p>
    <w:p w14:paraId="3A533170">
      <w:pPr>
        <w:ind w:firstLine="361" w:firstLineChars="150"/>
        <w:rPr>
          <w:rFonts w:hint="eastAsia" w:ascii="新宋体" w:hAnsi="新宋体" w:eastAsia="新宋体" w:cs="新宋体"/>
          <w:b/>
          <w:color w:val="auto"/>
          <w:sz w:val="24"/>
          <w:highlight w:val="none"/>
        </w:rPr>
      </w:pPr>
    </w:p>
    <w:tbl>
      <w:tblPr>
        <w:tblStyle w:val="31"/>
        <w:tblW w:w="0" w:type="auto"/>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973"/>
        <w:gridCol w:w="2538"/>
        <w:gridCol w:w="2326"/>
        <w:gridCol w:w="2115"/>
        <w:gridCol w:w="1902"/>
      </w:tblGrid>
      <w:tr w14:paraId="4CB39D8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040" w:hRule="atLeast"/>
          <w:jc w:val="center"/>
        </w:trPr>
        <w:tc>
          <w:tcPr>
            <w:tcW w:w="973" w:type="dxa"/>
            <w:vAlign w:val="center"/>
          </w:tcPr>
          <w:p w14:paraId="1E178068">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2538" w:type="dxa"/>
            <w:vAlign w:val="center"/>
          </w:tcPr>
          <w:p w14:paraId="0EC74EED">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采购文件技术</w:t>
            </w:r>
            <w:r>
              <w:rPr>
                <w:rFonts w:hint="eastAsia" w:ascii="新宋体" w:hAnsi="新宋体" w:eastAsia="新宋体" w:cs="新宋体"/>
                <w:color w:val="auto"/>
                <w:sz w:val="22"/>
                <w:szCs w:val="22"/>
                <w:highlight w:val="none"/>
                <w:lang w:val="en-US" w:eastAsia="zh-CN"/>
              </w:rPr>
              <w:t>/服务</w:t>
            </w:r>
            <w:r>
              <w:rPr>
                <w:rFonts w:hint="eastAsia" w:ascii="新宋体" w:hAnsi="新宋体" w:eastAsia="新宋体" w:cs="新宋体"/>
                <w:color w:val="auto"/>
                <w:sz w:val="22"/>
                <w:szCs w:val="22"/>
                <w:highlight w:val="none"/>
              </w:rPr>
              <w:t>规格</w:t>
            </w:r>
          </w:p>
        </w:tc>
        <w:tc>
          <w:tcPr>
            <w:tcW w:w="2326" w:type="dxa"/>
            <w:vAlign w:val="center"/>
          </w:tcPr>
          <w:p w14:paraId="497FFF55">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实际技术</w:t>
            </w:r>
            <w:r>
              <w:rPr>
                <w:rFonts w:hint="eastAsia" w:ascii="新宋体" w:hAnsi="新宋体" w:eastAsia="新宋体" w:cs="新宋体"/>
                <w:color w:val="auto"/>
                <w:sz w:val="22"/>
                <w:szCs w:val="22"/>
                <w:highlight w:val="none"/>
                <w:lang w:val="en-US" w:eastAsia="zh-CN"/>
              </w:rPr>
              <w:t>/服务</w:t>
            </w:r>
            <w:r>
              <w:rPr>
                <w:rFonts w:hint="eastAsia" w:ascii="新宋体" w:hAnsi="新宋体" w:eastAsia="新宋体" w:cs="新宋体"/>
                <w:color w:val="auto"/>
                <w:sz w:val="22"/>
                <w:szCs w:val="22"/>
                <w:highlight w:val="none"/>
              </w:rPr>
              <w:t>规格</w:t>
            </w:r>
          </w:p>
        </w:tc>
        <w:tc>
          <w:tcPr>
            <w:tcW w:w="2115" w:type="dxa"/>
            <w:vAlign w:val="center"/>
          </w:tcPr>
          <w:p w14:paraId="16BA78C7">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偏离</w:t>
            </w:r>
          </w:p>
        </w:tc>
        <w:tc>
          <w:tcPr>
            <w:tcW w:w="1902" w:type="dxa"/>
            <w:vAlign w:val="center"/>
          </w:tcPr>
          <w:p w14:paraId="69DB251F">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说  明</w:t>
            </w:r>
          </w:p>
        </w:tc>
      </w:tr>
      <w:tr w14:paraId="07D6293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0" w:hRule="atLeast"/>
          <w:jc w:val="center"/>
        </w:trPr>
        <w:tc>
          <w:tcPr>
            <w:tcW w:w="973" w:type="dxa"/>
            <w:vAlign w:val="center"/>
          </w:tcPr>
          <w:p w14:paraId="7C726A58">
            <w:pPr>
              <w:jc w:val="center"/>
              <w:rPr>
                <w:rFonts w:hint="eastAsia" w:ascii="新宋体" w:hAnsi="新宋体" w:eastAsia="新宋体" w:cs="新宋体"/>
                <w:color w:val="auto"/>
                <w:sz w:val="22"/>
                <w:szCs w:val="22"/>
                <w:highlight w:val="none"/>
              </w:rPr>
            </w:pPr>
          </w:p>
        </w:tc>
        <w:tc>
          <w:tcPr>
            <w:tcW w:w="2538" w:type="dxa"/>
            <w:vAlign w:val="center"/>
          </w:tcPr>
          <w:p w14:paraId="187B12C1">
            <w:pPr>
              <w:jc w:val="center"/>
              <w:rPr>
                <w:rFonts w:hint="eastAsia" w:ascii="新宋体" w:hAnsi="新宋体" w:eastAsia="新宋体" w:cs="新宋体"/>
                <w:color w:val="auto"/>
                <w:sz w:val="22"/>
                <w:szCs w:val="22"/>
                <w:highlight w:val="none"/>
              </w:rPr>
            </w:pPr>
          </w:p>
        </w:tc>
        <w:tc>
          <w:tcPr>
            <w:tcW w:w="2326" w:type="dxa"/>
            <w:vAlign w:val="center"/>
          </w:tcPr>
          <w:p w14:paraId="5DACEF37">
            <w:pPr>
              <w:jc w:val="center"/>
              <w:rPr>
                <w:rFonts w:hint="eastAsia" w:ascii="新宋体" w:hAnsi="新宋体" w:eastAsia="新宋体" w:cs="新宋体"/>
                <w:color w:val="auto"/>
                <w:sz w:val="22"/>
                <w:szCs w:val="22"/>
                <w:highlight w:val="none"/>
              </w:rPr>
            </w:pPr>
          </w:p>
        </w:tc>
        <w:tc>
          <w:tcPr>
            <w:tcW w:w="2115" w:type="dxa"/>
            <w:vAlign w:val="center"/>
          </w:tcPr>
          <w:p w14:paraId="61F9721D">
            <w:pPr>
              <w:jc w:val="center"/>
              <w:rPr>
                <w:rFonts w:hint="eastAsia" w:ascii="新宋体" w:hAnsi="新宋体" w:eastAsia="新宋体" w:cs="新宋体"/>
                <w:color w:val="auto"/>
                <w:sz w:val="22"/>
                <w:szCs w:val="22"/>
                <w:highlight w:val="none"/>
              </w:rPr>
            </w:pPr>
          </w:p>
        </w:tc>
        <w:tc>
          <w:tcPr>
            <w:tcW w:w="1902" w:type="dxa"/>
            <w:vAlign w:val="center"/>
          </w:tcPr>
          <w:p w14:paraId="589F47FE">
            <w:pPr>
              <w:jc w:val="center"/>
              <w:rPr>
                <w:rFonts w:hint="eastAsia" w:ascii="新宋体" w:hAnsi="新宋体" w:eastAsia="新宋体" w:cs="新宋体"/>
                <w:color w:val="auto"/>
                <w:sz w:val="22"/>
                <w:szCs w:val="22"/>
                <w:highlight w:val="none"/>
              </w:rPr>
            </w:pPr>
          </w:p>
        </w:tc>
      </w:tr>
      <w:tr w14:paraId="6C21E59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71" w:hRule="atLeast"/>
          <w:jc w:val="center"/>
        </w:trPr>
        <w:tc>
          <w:tcPr>
            <w:tcW w:w="973" w:type="dxa"/>
            <w:vAlign w:val="center"/>
          </w:tcPr>
          <w:p w14:paraId="37A109EF">
            <w:pPr>
              <w:jc w:val="center"/>
              <w:rPr>
                <w:rFonts w:hint="eastAsia" w:ascii="新宋体" w:hAnsi="新宋体" w:eastAsia="新宋体" w:cs="新宋体"/>
                <w:color w:val="auto"/>
                <w:sz w:val="22"/>
                <w:szCs w:val="22"/>
                <w:highlight w:val="none"/>
              </w:rPr>
            </w:pPr>
          </w:p>
        </w:tc>
        <w:tc>
          <w:tcPr>
            <w:tcW w:w="2538" w:type="dxa"/>
            <w:vAlign w:val="center"/>
          </w:tcPr>
          <w:p w14:paraId="5706B0E6">
            <w:pPr>
              <w:jc w:val="center"/>
              <w:rPr>
                <w:rFonts w:hint="eastAsia" w:ascii="新宋体" w:hAnsi="新宋体" w:eastAsia="新宋体" w:cs="新宋体"/>
                <w:color w:val="auto"/>
                <w:sz w:val="22"/>
                <w:szCs w:val="22"/>
                <w:highlight w:val="none"/>
              </w:rPr>
            </w:pPr>
          </w:p>
        </w:tc>
        <w:tc>
          <w:tcPr>
            <w:tcW w:w="2326" w:type="dxa"/>
            <w:vAlign w:val="center"/>
          </w:tcPr>
          <w:p w14:paraId="42CD2C52">
            <w:pPr>
              <w:jc w:val="center"/>
              <w:rPr>
                <w:rFonts w:hint="eastAsia" w:ascii="新宋体" w:hAnsi="新宋体" w:eastAsia="新宋体" w:cs="新宋体"/>
                <w:color w:val="auto"/>
                <w:sz w:val="22"/>
                <w:szCs w:val="22"/>
                <w:highlight w:val="none"/>
              </w:rPr>
            </w:pPr>
          </w:p>
        </w:tc>
        <w:tc>
          <w:tcPr>
            <w:tcW w:w="2115" w:type="dxa"/>
            <w:vAlign w:val="center"/>
          </w:tcPr>
          <w:p w14:paraId="4BBCEB8F">
            <w:pPr>
              <w:jc w:val="center"/>
              <w:rPr>
                <w:rFonts w:hint="eastAsia" w:ascii="新宋体" w:hAnsi="新宋体" w:eastAsia="新宋体" w:cs="新宋体"/>
                <w:color w:val="auto"/>
                <w:sz w:val="22"/>
                <w:szCs w:val="22"/>
                <w:highlight w:val="none"/>
              </w:rPr>
            </w:pPr>
          </w:p>
        </w:tc>
        <w:tc>
          <w:tcPr>
            <w:tcW w:w="1902" w:type="dxa"/>
            <w:vAlign w:val="center"/>
          </w:tcPr>
          <w:p w14:paraId="6F064315">
            <w:pPr>
              <w:jc w:val="center"/>
              <w:rPr>
                <w:rFonts w:hint="eastAsia" w:ascii="新宋体" w:hAnsi="新宋体" w:eastAsia="新宋体" w:cs="新宋体"/>
                <w:color w:val="auto"/>
                <w:sz w:val="22"/>
                <w:szCs w:val="22"/>
                <w:highlight w:val="none"/>
              </w:rPr>
            </w:pPr>
          </w:p>
        </w:tc>
      </w:tr>
      <w:tr w14:paraId="39ED74A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71" w:hRule="atLeast"/>
          <w:jc w:val="center"/>
        </w:trPr>
        <w:tc>
          <w:tcPr>
            <w:tcW w:w="973" w:type="dxa"/>
            <w:vAlign w:val="center"/>
          </w:tcPr>
          <w:p w14:paraId="26EC7CC0">
            <w:pPr>
              <w:jc w:val="center"/>
              <w:rPr>
                <w:rFonts w:hint="eastAsia" w:ascii="新宋体" w:hAnsi="新宋体" w:eastAsia="新宋体" w:cs="新宋体"/>
                <w:color w:val="auto"/>
                <w:sz w:val="22"/>
                <w:szCs w:val="22"/>
                <w:highlight w:val="none"/>
              </w:rPr>
            </w:pPr>
          </w:p>
        </w:tc>
        <w:tc>
          <w:tcPr>
            <w:tcW w:w="2538" w:type="dxa"/>
            <w:vAlign w:val="center"/>
          </w:tcPr>
          <w:p w14:paraId="3D17B6C4">
            <w:pPr>
              <w:jc w:val="center"/>
              <w:rPr>
                <w:rFonts w:hint="eastAsia" w:ascii="新宋体" w:hAnsi="新宋体" w:eastAsia="新宋体" w:cs="新宋体"/>
                <w:color w:val="auto"/>
                <w:sz w:val="22"/>
                <w:szCs w:val="22"/>
                <w:highlight w:val="none"/>
              </w:rPr>
            </w:pPr>
          </w:p>
        </w:tc>
        <w:tc>
          <w:tcPr>
            <w:tcW w:w="2326" w:type="dxa"/>
            <w:vAlign w:val="center"/>
          </w:tcPr>
          <w:p w14:paraId="2C60CD4E">
            <w:pPr>
              <w:jc w:val="center"/>
              <w:rPr>
                <w:rFonts w:hint="eastAsia" w:ascii="新宋体" w:hAnsi="新宋体" w:eastAsia="新宋体" w:cs="新宋体"/>
                <w:color w:val="auto"/>
                <w:sz w:val="22"/>
                <w:szCs w:val="22"/>
                <w:highlight w:val="none"/>
              </w:rPr>
            </w:pPr>
          </w:p>
        </w:tc>
        <w:tc>
          <w:tcPr>
            <w:tcW w:w="2115" w:type="dxa"/>
            <w:vAlign w:val="center"/>
          </w:tcPr>
          <w:p w14:paraId="4F46418E">
            <w:pPr>
              <w:jc w:val="center"/>
              <w:rPr>
                <w:rFonts w:hint="eastAsia" w:ascii="新宋体" w:hAnsi="新宋体" w:eastAsia="新宋体" w:cs="新宋体"/>
                <w:color w:val="auto"/>
                <w:sz w:val="22"/>
                <w:szCs w:val="22"/>
                <w:highlight w:val="none"/>
              </w:rPr>
            </w:pPr>
          </w:p>
        </w:tc>
        <w:tc>
          <w:tcPr>
            <w:tcW w:w="1902" w:type="dxa"/>
            <w:vAlign w:val="center"/>
          </w:tcPr>
          <w:p w14:paraId="4F4EC0B9">
            <w:pPr>
              <w:jc w:val="center"/>
              <w:rPr>
                <w:rFonts w:hint="eastAsia" w:ascii="新宋体" w:hAnsi="新宋体" w:eastAsia="新宋体" w:cs="新宋体"/>
                <w:color w:val="auto"/>
                <w:sz w:val="22"/>
                <w:szCs w:val="22"/>
                <w:highlight w:val="none"/>
              </w:rPr>
            </w:pPr>
          </w:p>
        </w:tc>
      </w:tr>
      <w:tr w14:paraId="1F8C7E1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71" w:hRule="atLeast"/>
          <w:jc w:val="center"/>
        </w:trPr>
        <w:tc>
          <w:tcPr>
            <w:tcW w:w="973" w:type="dxa"/>
            <w:vAlign w:val="center"/>
          </w:tcPr>
          <w:p w14:paraId="0C1BF493">
            <w:pPr>
              <w:jc w:val="center"/>
              <w:rPr>
                <w:rFonts w:hint="eastAsia" w:ascii="新宋体" w:hAnsi="新宋体" w:eastAsia="新宋体" w:cs="新宋体"/>
                <w:color w:val="auto"/>
                <w:sz w:val="22"/>
                <w:szCs w:val="22"/>
                <w:highlight w:val="none"/>
              </w:rPr>
            </w:pPr>
          </w:p>
        </w:tc>
        <w:tc>
          <w:tcPr>
            <w:tcW w:w="2538" w:type="dxa"/>
            <w:vAlign w:val="center"/>
          </w:tcPr>
          <w:p w14:paraId="227E383E">
            <w:pPr>
              <w:jc w:val="center"/>
              <w:rPr>
                <w:rFonts w:hint="eastAsia" w:ascii="新宋体" w:hAnsi="新宋体" w:eastAsia="新宋体" w:cs="新宋体"/>
                <w:color w:val="auto"/>
                <w:sz w:val="22"/>
                <w:szCs w:val="22"/>
                <w:highlight w:val="none"/>
              </w:rPr>
            </w:pPr>
          </w:p>
        </w:tc>
        <w:tc>
          <w:tcPr>
            <w:tcW w:w="2326" w:type="dxa"/>
            <w:vAlign w:val="center"/>
          </w:tcPr>
          <w:p w14:paraId="155176D0">
            <w:pPr>
              <w:jc w:val="center"/>
              <w:rPr>
                <w:rFonts w:hint="eastAsia" w:ascii="新宋体" w:hAnsi="新宋体" w:eastAsia="新宋体" w:cs="新宋体"/>
                <w:color w:val="auto"/>
                <w:sz w:val="22"/>
                <w:szCs w:val="22"/>
                <w:highlight w:val="none"/>
              </w:rPr>
            </w:pPr>
          </w:p>
        </w:tc>
        <w:tc>
          <w:tcPr>
            <w:tcW w:w="2115" w:type="dxa"/>
            <w:vAlign w:val="center"/>
          </w:tcPr>
          <w:p w14:paraId="7C60C351">
            <w:pPr>
              <w:jc w:val="center"/>
              <w:rPr>
                <w:rFonts w:hint="eastAsia" w:ascii="新宋体" w:hAnsi="新宋体" w:eastAsia="新宋体" w:cs="新宋体"/>
                <w:color w:val="auto"/>
                <w:sz w:val="22"/>
                <w:szCs w:val="22"/>
                <w:highlight w:val="none"/>
              </w:rPr>
            </w:pPr>
          </w:p>
        </w:tc>
        <w:tc>
          <w:tcPr>
            <w:tcW w:w="1902" w:type="dxa"/>
            <w:vAlign w:val="center"/>
          </w:tcPr>
          <w:p w14:paraId="031B7475">
            <w:pPr>
              <w:jc w:val="center"/>
              <w:rPr>
                <w:rFonts w:hint="eastAsia" w:ascii="新宋体" w:hAnsi="新宋体" w:eastAsia="新宋体" w:cs="新宋体"/>
                <w:color w:val="auto"/>
                <w:sz w:val="22"/>
                <w:szCs w:val="22"/>
                <w:highlight w:val="none"/>
              </w:rPr>
            </w:pPr>
          </w:p>
        </w:tc>
      </w:tr>
      <w:tr w14:paraId="06A3D6D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71" w:hRule="atLeast"/>
          <w:jc w:val="center"/>
        </w:trPr>
        <w:tc>
          <w:tcPr>
            <w:tcW w:w="973" w:type="dxa"/>
            <w:vAlign w:val="center"/>
          </w:tcPr>
          <w:p w14:paraId="5DEE8B1B">
            <w:pPr>
              <w:jc w:val="center"/>
              <w:rPr>
                <w:rFonts w:hint="eastAsia" w:ascii="新宋体" w:hAnsi="新宋体" w:eastAsia="新宋体" w:cs="新宋体"/>
                <w:color w:val="auto"/>
                <w:sz w:val="22"/>
                <w:szCs w:val="22"/>
                <w:highlight w:val="none"/>
              </w:rPr>
            </w:pPr>
          </w:p>
        </w:tc>
        <w:tc>
          <w:tcPr>
            <w:tcW w:w="2538" w:type="dxa"/>
            <w:vAlign w:val="center"/>
          </w:tcPr>
          <w:p w14:paraId="57BA62AE">
            <w:pPr>
              <w:jc w:val="center"/>
              <w:rPr>
                <w:rFonts w:hint="eastAsia" w:ascii="新宋体" w:hAnsi="新宋体" w:eastAsia="新宋体" w:cs="新宋体"/>
                <w:color w:val="auto"/>
                <w:sz w:val="22"/>
                <w:szCs w:val="22"/>
                <w:highlight w:val="none"/>
              </w:rPr>
            </w:pPr>
          </w:p>
        </w:tc>
        <w:tc>
          <w:tcPr>
            <w:tcW w:w="2326" w:type="dxa"/>
            <w:vAlign w:val="center"/>
          </w:tcPr>
          <w:p w14:paraId="19051420">
            <w:pPr>
              <w:jc w:val="center"/>
              <w:rPr>
                <w:rFonts w:hint="eastAsia" w:ascii="新宋体" w:hAnsi="新宋体" w:eastAsia="新宋体" w:cs="新宋体"/>
                <w:color w:val="auto"/>
                <w:sz w:val="22"/>
                <w:szCs w:val="22"/>
                <w:highlight w:val="none"/>
              </w:rPr>
            </w:pPr>
          </w:p>
        </w:tc>
        <w:tc>
          <w:tcPr>
            <w:tcW w:w="2115" w:type="dxa"/>
            <w:vAlign w:val="center"/>
          </w:tcPr>
          <w:p w14:paraId="5046A2BA">
            <w:pPr>
              <w:jc w:val="center"/>
              <w:rPr>
                <w:rFonts w:hint="eastAsia" w:ascii="新宋体" w:hAnsi="新宋体" w:eastAsia="新宋体" w:cs="新宋体"/>
                <w:color w:val="auto"/>
                <w:sz w:val="22"/>
                <w:szCs w:val="22"/>
                <w:highlight w:val="none"/>
              </w:rPr>
            </w:pPr>
          </w:p>
        </w:tc>
        <w:tc>
          <w:tcPr>
            <w:tcW w:w="1902" w:type="dxa"/>
            <w:vAlign w:val="center"/>
          </w:tcPr>
          <w:p w14:paraId="0F02D7AF">
            <w:pPr>
              <w:jc w:val="center"/>
              <w:rPr>
                <w:rFonts w:hint="eastAsia" w:ascii="新宋体" w:hAnsi="新宋体" w:eastAsia="新宋体" w:cs="新宋体"/>
                <w:color w:val="auto"/>
                <w:sz w:val="22"/>
                <w:szCs w:val="22"/>
                <w:highlight w:val="none"/>
              </w:rPr>
            </w:pPr>
          </w:p>
        </w:tc>
      </w:tr>
    </w:tbl>
    <w:p w14:paraId="734F4C7A">
      <w:pPr>
        <w:rPr>
          <w:rFonts w:hint="eastAsia" w:ascii="新宋体" w:hAnsi="新宋体" w:eastAsia="新宋体" w:cs="新宋体"/>
          <w:color w:val="auto"/>
          <w:sz w:val="24"/>
          <w:highlight w:val="none"/>
        </w:rPr>
      </w:pPr>
    </w:p>
    <w:p w14:paraId="6FA84207">
      <w:pPr>
        <w:keepNext w:val="0"/>
        <w:keepLines w:val="0"/>
        <w:pageBreakBefore w:val="0"/>
        <w:kinsoku/>
        <w:wordWrap/>
        <w:topLinePunct w:val="0"/>
        <w:bidi w:val="0"/>
        <w:snapToGrid/>
        <w:spacing w:before="120" w:beforeLines="50" w:line="360" w:lineRule="auto"/>
        <w:ind w:left="0" w:leftChars="0" w:right="0" w:rightChars="0" w:firstLine="0" w:firstLineChars="0"/>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说明：</w:t>
      </w:r>
    </w:p>
    <w:p w14:paraId="4D12293A">
      <w:pPr>
        <w:keepNext w:val="0"/>
        <w:keepLines w:val="0"/>
        <w:pageBreakBefore w:val="0"/>
        <w:kinsoku/>
        <w:wordWrap/>
        <w:topLinePunct w:val="0"/>
        <w:bidi w:val="0"/>
        <w:snapToGrid/>
        <w:spacing w:before="120" w:beforeLines="50" w:line="360" w:lineRule="auto"/>
        <w:ind w:left="0" w:leftChars="0" w:right="0" w:rightChars="0" w:firstLine="0" w:firstLineChars="0"/>
        <w:outlineLvl w:val="9"/>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u w:val="single"/>
        </w:rPr>
        <w:t>▲如有偏离，必须在偏离表中进行详细对比说明并注明正偏离</w:t>
      </w:r>
      <w:r>
        <w:rPr>
          <w:rFonts w:hint="eastAsia" w:ascii="新宋体" w:hAnsi="新宋体" w:eastAsia="新宋体" w:cs="新宋体"/>
          <w:b/>
          <w:bCs/>
          <w:color w:val="auto"/>
          <w:sz w:val="22"/>
          <w:szCs w:val="22"/>
          <w:highlight w:val="none"/>
          <w:u w:val="single"/>
          <w:lang w:val="en-US" w:eastAsia="zh-CN"/>
        </w:rPr>
        <w:t>或</w:t>
      </w:r>
      <w:r>
        <w:rPr>
          <w:rFonts w:hint="eastAsia" w:ascii="新宋体" w:hAnsi="新宋体" w:eastAsia="新宋体" w:cs="新宋体"/>
          <w:b/>
          <w:bCs/>
          <w:color w:val="auto"/>
          <w:sz w:val="22"/>
          <w:szCs w:val="22"/>
          <w:highlight w:val="none"/>
          <w:u w:val="single"/>
        </w:rPr>
        <w:t>负偏离</w:t>
      </w:r>
      <w:r>
        <w:rPr>
          <w:rFonts w:hint="eastAsia" w:ascii="新宋体" w:hAnsi="新宋体" w:eastAsia="新宋体" w:cs="新宋体"/>
          <w:b/>
          <w:bCs/>
          <w:color w:val="auto"/>
          <w:sz w:val="22"/>
          <w:szCs w:val="22"/>
          <w:highlight w:val="none"/>
          <w:u w:val="single"/>
          <w:lang w:val="en-US" w:eastAsia="zh-CN"/>
        </w:rPr>
        <w:t>或无偏离</w:t>
      </w:r>
      <w:r>
        <w:rPr>
          <w:rFonts w:hint="eastAsia" w:ascii="新宋体" w:hAnsi="新宋体" w:eastAsia="新宋体" w:cs="新宋体"/>
          <w:b/>
          <w:bCs/>
          <w:color w:val="auto"/>
          <w:sz w:val="22"/>
          <w:szCs w:val="22"/>
          <w:highlight w:val="none"/>
          <w:u w:val="single"/>
        </w:rPr>
        <w:t>，如不说明偏离情况</w:t>
      </w:r>
      <w:r>
        <w:rPr>
          <w:rFonts w:hint="eastAsia" w:ascii="新宋体" w:hAnsi="新宋体" w:eastAsia="新宋体" w:cs="新宋体"/>
          <w:b/>
          <w:bCs/>
          <w:color w:val="auto"/>
          <w:sz w:val="22"/>
          <w:szCs w:val="22"/>
          <w:highlight w:val="none"/>
          <w:u w:val="single"/>
          <w:lang w:val="en-US" w:eastAsia="zh-CN"/>
        </w:rPr>
        <w:t>或未提供本表</w:t>
      </w:r>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b/>
          <w:bCs/>
          <w:color w:val="auto"/>
          <w:sz w:val="22"/>
          <w:szCs w:val="22"/>
          <w:highlight w:val="none"/>
          <w:u w:val="single"/>
          <w:lang w:val="en-US" w:eastAsia="zh-CN"/>
        </w:rPr>
        <w:t>均</w:t>
      </w:r>
      <w:r>
        <w:rPr>
          <w:rFonts w:hint="eastAsia" w:ascii="新宋体" w:hAnsi="新宋体" w:eastAsia="新宋体" w:cs="新宋体"/>
          <w:b/>
          <w:bCs/>
          <w:color w:val="auto"/>
          <w:sz w:val="22"/>
          <w:szCs w:val="22"/>
          <w:highlight w:val="none"/>
          <w:u w:val="single"/>
        </w:rPr>
        <w:t>视为完全响应</w:t>
      </w:r>
      <w:r>
        <w:rPr>
          <w:rFonts w:hint="eastAsia" w:ascii="新宋体" w:hAnsi="新宋体" w:eastAsia="新宋体" w:cs="新宋体"/>
          <w:b/>
          <w:bCs/>
          <w:color w:val="auto"/>
          <w:sz w:val="22"/>
          <w:szCs w:val="22"/>
          <w:highlight w:val="none"/>
          <w:u w:val="single"/>
          <w:lang w:eastAsia="zh-CN"/>
        </w:rPr>
        <w:t>采购文件</w:t>
      </w:r>
      <w:r>
        <w:rPr>
          <w:rFonts w:hint="eastAsia" w:ascii="新宋体" w:hAnsi="新宋体" w:eastAsia="新宋体" w:cs="新宋体"/>
          <w:b/>
          <w:bCs/>
          <w:color w:val="auto"/>
          <w:sz w:val="22"/>
          <w:szCs w:val="22"/>
          <w:highlight w:val="none"/>
          <w:u w:val="single"/>
        </w:rPr>
        <w:t>要求无偏离。</w:t>
      </w:r>
    </w:p>
    <w:p w14:paraId="7191EF21">
      <w:pPr>
        <w:keepNext w:val="0"/>
        <w:keepLines w:val="0"/>
        <w:pageBreakBefore w:val="0"/>
        <w:kinsoku/>
        <w:wordWrap/>
        <w:topLinePunct w:val="0"/>
        <w:bidi w:val="0"/>
        <w:snapToGrid/>
        <w:spacing w:before="120" w:beforeLines="50" w:line="360" w:lineRule="auto"/>
        <w:ind w:left="0" w:leftChars="0" w:right="0" w:rightChars="0" w:firstLine="0" w:firstLineChars="0"/>
        <w:outlineLvl w:val="9"/>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2、</w:t>
      </w:r>
      <w:r>
        <w:rPr>
          <w:rFonts w:hint="eastAsia" w:ascii="新宋体" w:hAnsi="新宋体" w:eastAsia="新宋体" w:cs="新宋体"/>
          <w:color w:val="auto"/>
          <w:sz w:val="22"/>
          <w:szCs w:val="22"/>
          <w:highlight w:val="none"/>
        </w:rPr>
        <w:t>此表仅提供了表格形式，供应商应根据需要准备足够数量的表格来填写。</w:t>
      </w:r>
    </w:p>
    <w:p w14:paraId="2FB6C5BB">
      <w:pPr>
        <w:pStyle w:val="156"/>
        <w:keepNext w:val="0"/>
        <w:keepLines w:val="0"/>
        <w:pageBreakBefore w:val="0"/>
        <w:kinsoku/>
        <w:wordWrap/>
        <w:topLinePunct w:val="0"/>
        <w:bidi w:val="0"/>
        <w:snapToGrid/>
        <w:spacing w:before="120" w:beforeLines="50" w:line="360" w:lineRule="auto"/>
        <w:ind w:left="0" w:leftChars="0" w:right="0" w:rightChars="0" w:firstLine="0" w:firstLineChars="0"/>
        <w:outlineLvl w:val="9"/>
        <w:rPr>
          <w:rFonts w:hint="eastAsia" w:ascii="新宋体" w:hAnsi="新宋体" w:eastAsia="新宋体" w:cs="新宋体"/>
          <w:color w:val="auto"/>
          <w:highlight w:val="none"/>
          <w:lang w:val="en-US"/>
        </w:rPr>
      </w:pPr>
      <w:r>
        <w:rPr>
          <w:rFonts w:hint="eastAsia" w:ascii="新宋体" w:hAnsi="新宋体" w:eastAsia="新宋体" w:cs="新宋体"/>
          <w:color w:val="auto"/>
          <w:highlight w:val="none"/>
          <w:lang w:val="en-US"/>
        </w:rPr>
        <w:t>3、</w:t>
      </w:r>
      <w:r>
        <w:rPr>
          <w:rFonts w:hint="eastAsia" w:ascii="新宋体" w:hAnsi="新宋体" w:eastAsia="新宋体" w:cs="新宋体"/>
          <w:b/>
          <w:bCs/>
          <w:color w:val="auto"/>
          <w:sz w:val="22"/>
          <w:szCs w:val="22"/>
          <w:highlight w:val="none"/>
          <w:lang w:eastAsia="zh-CN"/>
        </w:rPr>
        <w:t>采购文件第四部分</w:t>
      </w:r>
      <w:r>
        <w:rPr>
          <w:rFonts w:hint="eastAsia" w:ascii="新宋体" w:hAnsi="新宋体" w:eastAsia="新宋体" w:cs="新宋体"/>
          <w:b/>
          <w:bCs/>
          <w:color w:val="auto"/>
          <w:sz w:val="22"/>
          <w:szCs w:val="22"/>
          <w:highlight w:val="none"/>
        </w:rPr>
        <w:t>“采购内容及要求”中的某些条款有要求提供相关证明材料复制件并加盖公章的，则必须按要求提供，否则视为负偏离。</w:t>
      </w:r>
    </w:p>
    <w:p w14:paraId="7942F120">
      <w:pPr>
        <w:pStyle w:val="156"/>
        <w:keepNext w:val="0"/>
        <w:keepLines w:val="0"/>
        <w:pageBreakBefore w:val="0"/>
        <w:kinsoku/>
        <w:wordWrap/>
        <w:topLinePunct w:val="0"/>
        <w:bidi w:val="0"/>
        <w:snapToGrid/>
        <w:spacing w:before="120" w:beforeLines="50" w:line="360" w:lineRule="auto"/>
        <w:ind w:left="0" w:leftChars="0" w:right="0" w:rightChars="0" w:firstLine="0" w:firstLineChars="0"/>
        <w:outlineLvl w:val="9"/>
        <w:rPr>
          <w:rFonts w:hint="eastAsia" w:ascii="新宋体" w:hAnsi="新宋体" w:eastAsia="新宋体" w:cs="新宋体"/>
          <w:color w:val="auto"/>
          <w:sz w:val="22"/>
          <w:szCs w:val="22"/>
          <w:highlight w:val="none"/>
          <w:lang w:val="en-US"/>
        </w:rPr>
      </w:pPr>
      <w:r>
        <w:rPr>
          <w:rFonts w:hint="eastAsia" w:ascii="新宋体" w:hAnsi="新宋体" w:eastAsia="新宋体" w:cs="新宋体"/>
          <w:color w:val="auto"/>
          <w:sz w:val="22"/>
          <w:szCs w:val="22"/>
          <w:highlight w:val="none"/>
          <w:lang w:val="en-US"/>
        </w:rPr>
        <w:t>4、是否属于</w:t>
      </w:r>
      <w:r>
        <w:rPr>
          <w:rFonts w:hint="eastAsia" w:ascii="新宋体" w:hAnsi="新宋体" w:eastAsia="新宋体" w:cs="新宋体"/>
          <w:b w:val="0"/>
          <w:bCs w:val="0"/>
          <w:color w:val="auto"/>
          <w:sz w:val="22"/>
          <w:szCs w:val="22"/>
          <w:highlight w:val="none"/>
          <w:u w:val="none"/>
        </w:rPr>
        <w:t>正偏离</w:t>
      </w:r>
      <w:r>
        <w:rPr>
          <w:rFonts w:hint="eastAsia" w:ascii="新宋体" w:hAnsi="新宋体" w:eastAsia="新宋体" w:cs="新宋体"/>
          <w:b w:val="0"/>
          <w:bCs w:val="0"/>
          <w:color w:val="auto"/>
          <w:sz w:val="22"/>
          <w:szCs w:val="22"/>
          <w:highlight w:val="none"/>
          <w:u w:val="none"/>
          <w:lang w:val="en-US" w:eastAsia="zh-CN"/>
        </w:rPr>
        <w:t>或</w:t>
      </w:r>
      <w:r>
        <w:rPr>
          <w:rFonts w:hint="eastAsia" w:ascii="新宋体" w:hAnsi="新宋体" w:eastAsia="新宋体" w:cs="新宋体"/>
          <w:b w:val="0"/>
          <w:bCs w:val="0"/>
          <w:color w:val="auto"/>
          <w:sz w:val="22"/>
          <w:szCs w:val="22"/>
          <w:highlight w:val="none"/>
          <w:u w:val="none"/>
        </w:rPr>
        <w:t>负偏离</w:t>
      </w:r>
      <w:r>
        <w:rPr>
          <w:rFonts w:hint="eastAsia" w:ascii="新宋体" w:hAnsi="新宋体" w:eastAsia="新宋体" w:cs="新宋体"/>
          <w:b w:val="0"/>
          <w:bCs w:val="0"/>
          <w:color w:val="auto"/>
          <w:sz w:val="22"/>
          <w:szCs w:val="22"/>
          <w:highlight w:val="none"/>
          <w:u w:val="none"/>
          <w:lang w:val="en-US" w:eastAsia="zh-CN"/>
        </w:rPr>
        <w:t>或无偏离</w:t>
      </w:r>
      <w:r>
        <w:rPr>
          <w:rFonts w:hint="eastAsia" w:ascii="新宋体" w:hAnsi="新宋体" w:eastAsia="新宋体" w:cs="新宋体"/>
          <w:color w:val="auto"/>
          <w:sz w:val="22"/>
          <w:szCs w:val="22"/>
          <w:highlight w:val="none"/>
          <w:lang w:val="en-US"/>
        </w:rPr>
        <w:t>，由评标委员会认定。</w:t>
      </w:r>
    </w:p>
    <w:p w14:paraId="5E64FCFC">
      <w:pPr>
        <w:keepNext w:val="0"/>
        <w:keepLines w:val="0"/>
        <w:pageBreakBefore w:val="0"/>
        <w:kinsoku/>
        <w:wordWrap/>
        <w:topLinePunct w:val="0"/>
        <w:bidi w:val="0"/>
        <w:snapToGrid/>
        <w:spacing w:before="120" w:beforeLines="50" w:line="360" w:lineRule="auto"/>
        <w:ind w:left="0" w:leftChars="0" w:right="0" w:rightChars="0" w:firstLine="0" w:firstLineChars="0"/>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r>
        <w:rPr>
          <w:rFonts w:hint="eastAsia" w:ascii="新宋体" w:hAnsi="新宋体" w:eastAsia="新宋体" w:cs="新宋体"/>
          <w:b/>
          <w:bCs/>
          <w:color w:val="auto"/>
          <w:sz w:val="22"/>
          <w:szCs w:val="22"/>
          <w:highlight w:val="none"/>
        </w:rPr>
        <w:t>投标</w:t>
      </w:r>
      <w:r>
        <w:rPr>
          <w:rFonts w:hint="eastAsia" w:ascii="新宋体" w:hAnsi="新宋体" w:eastAsia="新宋体" w:cs="新宋体"/>
          <w:b/>
          <w:bCs/>
          <w:color w:val="auto"/>
          <w:sz w:val="22"/>
          <w:szCs w:val="22"/>
          <w:highlight w:val="none"/>
          <w:lang w:val="en-US" w:eastAsia="zh-CN"/>
        </w:rPr>
        <w:t>供应商</w:t>
      </w:r>
      <w:r>
        <w:rPr>
          <w:rFonts w:hint="eastAsia" w:ascii="新宋体" w:hAnsi="新宋体" w:eastAsia="新宋体" w:cs="新宋体"/>
          <w:b/>
          <w:bCs/>
          <w:color w:val="auto"/>
          <w:sz w:val="22"/>
          <w:szCs w:val="22"/>
          <w:highlight w:val="none"/>
        </w:rPr>
        <w:t>应仔细检查投标文件中是否出现相关内容前后矛盾、不一致的地方。</w:t>
      </w:r>
    </w:p>
    <w:p w14:paraId="05D76EBF">
      <w:pPr>
        <w:spacing w:line="400" w:lineRule="exact"/>
        <w:rPr>
          <w:rFonts w:hint="eastAsia" w:ascii="新宋体" w:hAnsi="新宋体" w:eastAsia="新宋体" w:cs="新宋体"/>
          <w:color w:val="auto"/>
          <w:sz w:val="22"/>
          <w:szCs w:val="22"/>
          <w:highlight w:val="none"/>
        </w:rPr>
      </w:pPr>
    </w:p>
    <w:p w14:paraId="1C38ED04">
      <w:pPr>
        <w:spacing w:line="400" w:lineRule="exact"/>
        <w:rPr>
          <w:rFonts w:hint="eastAsia" w:ascii="新宋体" w:hAnsi="新宋体" w:eastAsia="新宋体" w:cs="新宋体"/>
          <w:color w:val="auto"/>
          <w:sz w:val="22"/>
          <w:szCs w:val="22"/>
          <w:highlight w:val="none"/>
        </w:rPr>
      </w:pPr>
    </w:p>
    <w:p w14:paraId="7084BB89">
      <w:pPr>
        <w:tabs>
          <w:tab w:val="left" w:pos="840"/>
        </w:tabs>
        <w:adjustRightInd w:val="0"/>
        <w:snapToGrid w:val="0"/>
        <w:spacing w:line="360" w:lineRule="auto"/>
        <w:ind w:left="420" w:leftChars="200" w:firstLine="330" w:firstLineChars="150"/>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投标供应商全称（盖章）：</w:t>
      </w:r>
    </w:p>
    <w:p w14:paraId="17BB02BB">
      <w:pPr>
        <w:tabs>
          <w:tab w:val="left" w:pos="840"/>
        </w:tabs>
        <w:adjustRightInd w:val="0"/>
        <w:snapToGrid w:val="0"/>
        <w:spacing w:line="360" w:lineRule="auto"/>
        <w:ind w:left="420" w:leftChars="200" w:firstLine="330" w:firstLineChars="150"/>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法定代表人（负责人）</w:t>
      </w:r>
      <w:r>
        <w:rPr>
          <w:rFonts w:hint="eastAsia" w:ascii="新宋体" w:hAnsi="新宋体" w:eastAsia="新宋体" w:cs="新宋体"/>
          <w:color w:val="auto"/>
          <w:sz w:val="22"/>
          <w:szCs w:val="22"/>
          <w:highlight w:val="none"/>
        </w:rPr>
        <w:t>或授权代表（签字或盖章）：</w:t>
      </w:r>
    </w:p>
    <w:p w14:paraId="4295BB1C">
      <w:pPr>
        <w:spacing w:line="400" w:lineRule="exact"/>
        <w:ind w:firstLine="770" w:firstLineChars="350"/>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日          期：  年  月  日</w:t>
      </w:r>
    </w:p>
    <w:p w14:paraId="1B616C37">
      <w:pPr>
        <w:spacing w:line="500" w:lineRule="exact"/>
        <w:jc w:val="left"/>
        <w:rPr>
          <w:rFonts w:hint="eastAsia" w:ascii="新宋体" w:hAnsi="新宋体" w:eastAsia="新宋体" w:cs="新宋体"/>
          <w:color w:val="auto"/>
          <w:sz w:val="24"/>
          <w:highlight w:val="none"/>
        </w:rPr>
      </w:pPr>
      <w:r>
        <w:rPr>
          <w:rFonts w:hint="eastAsia" w:ascii="新宋体" w:hAnsi="新宋体" w:eastAsia="新宋体" w:cs="新宋体"/>
          <w:color w:val="auto"/>
          <w:sz w:val="24"/>
          <w:highlight w:val="none"/>
        </w:rPr>
        <w:br w:type="page"/>
      </w:r>
      <w:r>
        <w:rPr>
          <w:rFonts w:hint="eastAsia" w:ascii="新宋体" w:hAnsi="新宋体" w:eastAsia="新宋体" w:cs="新宋体"/>
          <w:b/>
          <w:bCs/>
          <w:color w:val="auto"/>
          <w:sz w:val="24"/>
          <w:highlight w:val="none"/>
        </w:rPr>
        <w:t>附件</w:t>
      </w:r>
      <w:r>
        <w:rPr>
          <w:rFonts w:hint="eastAsia" w:ascii="新宋体" w:hAnsi="新宋体" w:eastAsia="新宋体" w:cs="新宋体"/>
          <w:b/>
          <w:bCs/>
          <w:color w:val="auto"/>
          <w:sz w:val="24"/>
          <w:highlight w:val="none"/>
          <w:lang w:val="en-US" w:eastAsia="zh-CN"/>
        </w:rPr>
        <w:t>四</w:t>
      </w:r>
      <w:r>
        <w:rPr>
          <w:rFonts w:hint="eastAsia" w:ascii="新宋体" w:hAnsi="新宋体" w:eastAsia="新宋体" w:cs="新宋体"/>
          <w:b/>
          <w:bCs/>
          <w:color w:val="auto"/>
          <w:sz w:val="24"/>
          <w:highlight w:val="none"/>
        </w:rPr>
        <w:t>：</w:t>
      </w:r>
    </w:p>
    <w:p w14:paraId="7790A29C">
      <w:pPr>
        <w:spacing w:line="500" w:lineRule="exact"/>
        <w:jc w:val="center"/>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商务条款偏离表</w:t>
      </w:r>
    </w:p>
    <w:p w14:paraId="024CFB5E">
      <w:pPr>
        <w:ind w:firstLine="435"/>
        <w:jc w:val="center"/>
        <w:rPr>
          <w:rFonts w:hint="eastAsia" w:ascii="新宋体" w:hAnsi="新宋体" w:eastAsia="新宋体" w:cs="新宋体"/>
          <w:b/>
          <w:color w:val="auto"/>
          <w:sz w:val="44"/>
          <w:highlight w:val="none"/>
        </w:rPr>
      </w:pPr>
    </w:p>
    <w:p w14:paraId="0A4F405D">
      <w:pPr>
        <w:overflowPunct w:val="0"/>
        <w:spacing w:line="380" w:lineRule="exact"/>
        <w:rPr>
          <w:rFonts w:hint="eastAsia" w:ascii="新宋体" w:hAnsi="新宋体" w:eastAsia="新宋体" w:cs="新宋体"/>
          <w:bCs/>
          <w:color w:val="auto"/>
          <w:sz w:val="22"/>
          <w:szCs w:val="22"/>
          <w:highlight w:val="none"/>
        </w:rPr>
      </w:pPr>
      <w:r>
        <w:rPr>
          <w:rFonts w:hint="eastAsia" w:ascii="新宋体" w:hAnsi="新宋体" w:eastAsia="新宋体" w:cs="新宋体"/>
          <w:b/>
          <w:color w:val="auto"/>
          <w:sz w:val="22"/>
          <w:szCs w:val="22"/>
          <w:highlight w:val="none"/>
        </w:rPr>
        <w:t xml:space="preserve">  </w:t>
      </w:r>
      <w:r>
        <w:rPr>
          <w:rFonts w:hint="eastAsia" w:ascii="新宋体" w:hAnsi="新宋体" w:eastAsia="新宋体" w:cs="新宋体"/>
          <w:bCs/>
          <w:color w:val="auto"/>
          <w:sz w:val="22"/>
          <w:szCs w:val="22"/>
          <w:highlight w:val="none"/>
        </w:rPr>
        <w:t xml:space="preserve">项目名称：                                      </w:t>
      </w:r>
      <w:r>
        <w:rPr>
          <w:rFonts w:hint="eastAsia" w:ascii="新宋体" w:hAnsi="新宋体" w:eastAsia="新宋体" w:cs="新宋体"/>
          <w:bCs/>
          <w:color w:val="auto"/>
          <w:sz w:val="22"/>
          <w:szCs w:val="22"/>
          <w:highlight w:val="none"/>
          <w:lang w:eastAsia="zh-CN"/>
        </w:rPr>
        <w:t>项目编号</w:t>
      </w:r>
      <w:r>
        <w:rPr>
          <w:rFonts w:hint="eastAsia" w:ascii="新宋体" w:hAnsi="新宋体" w:eastAsia="新宋体" w:cs="新宋体"/>
          <w:bCs/>
          <w:color w:val="auto"/>
          <w:sz w:val="22"/>
          <w:szCs w:val="22"/>
          <w:highlight w:val="none"/>
        </w:rPr>
        <w:t>：</w:t>
      </w:r>
    </w:p>
    <w:p w14:paraId="510A9E6D">
      <w:pPr>
        <w:ind w:firstLine="221" w:firstLineChars="100"/>
        <w:rPr>
          <w:rFonts w:hint="eastAsia" w:ascii="新宋体" w:hAnsi="新宋体" w:eastAsia="新宋体" w:cs="新宋体"/>
          <w:b/>
          <w:color w:val="auto"/>
          <w:sz w:val="22"/>
          <w:szCs w:val="22"/>
          <w:highlight w:val="none"/>
        </w:rPr>
      </w:pPr>
    </w:p>
    <w:tbl>
      <w:tblPr>
        <w:tblStyle w:val="31"/>
        <w:tblW w:w="0" w:type="auto"/>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921"/>
        <w:gridCol w:w="1559"/>
        <w:gridCol w:w="2184"/>
        <w:gridCol w:w="2402"/>
        <w:gridCol w:w="1200"/>
        <w:gridCol w:w="1588"/>
      </w:tblGrid>
      <w:tr w14:paraId="5D9BDAB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040" w:hRule="atLeast"/>
          <w:jc w:val="center"/>
        </w:trPr>
        <w:tc>
          <w:tcPr>
            <w:tcW w:w="921" w:type="dxa"/>
            <w:vAlign w:val="center"/>
          </w:tcPr>
          <w:p w14:paraId="7CDF1B94">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1559" w:type="dxa"/>
            <w:vAlign w:val="center"/>
          </w:tcPr>
          <w:p w14:paraId="313E5398">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条款内容</w:t>
            </w:r>
          </w:p>
        </w:tc>
        <w:tc>
          <w:tcPr>
            <w:tcW w:w="2184" w:type="dxa"/>
            <w:vAlign w:val="center"/>
          </w:tcPr>
          <w:p w14:paraId="35D61CD8">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采购文件商务条款描述</w:t>
            </w:r>
          </w:p>
        </w:tc>
        <w:tc>
          <w:tcPr>
            <w:tcW w:w="2402" w:type="dxa"/>
            <w:vAlign w:val="center"/>
          </w:tcPr>
          <w:p w14:paraId="66731F8C">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投标文件商务条款</w:t>
            </w:r>
          </w:p>
        </w:tc>
        <w:tc>
          <w:tcPr>
            <w:tcW w:w="1200" w:type="dxa"/>
            <w:vAlign w:val="center"/>
          </w:tcPr>
          <w:p w14:paraId="32C0EC99">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偏离</w:t>
            </w:r>
          </w:p>
        </w:tc>
        <w:tc>
          <w:tcPr>
            <w:tcW w:w="1588" w:type="dxa"/>
            <w:vAlign w:val="center"/>
          </w:tcPr>
          <w:p w14:paraId="45D08742">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说   明</w:t>
            </w:r>
          </w:p>
        </w:tc>
      </w:tr>
      <w:tr w14:paraId="27DFD4E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40" w:hRule="atLeast"/>
          <w:jc w:val="center"/>
        </w:trPr>
        <w:tc>
          <w:tcPr>
            <w:tcW w:w="921" w:type="dxa"/>
            <w:vAlign w:val="center"/>
          </w:tcPr>
          <w:p w14:paraId="789B6832">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1559" w:type="dxa"/>
            <w:vAlign w:val="center"/>
          </w:tcPr>
          <w:p w14:paraId="5E5DDCA1">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付款方式</w:t>
            </w:r>
          </w:p>
        </w:tc>
        <w:tc>
          <w:tcPr>
            <w:tcW w:w="2184" w:type="dxa"/>
            <w:vAlign w:val="center"/>
          </w:tcPr>
          <w:p w14:paraId="4AD2C277">
            <w:pPr>
              <w:jc w:val="center"/>
              <w:rPr>
                <w:rFonts w:hint="eastAsia" w:ascii="新宋体" w:hAnsi="新宋体" w:eastAsia="新宋体" w:cs="新宋体"/>
                <w:color w:val="auto"/>
                <w:sz w:val="22"/>
                <w:szCs w:val="22"/>
                <w:highlight w:val="none"/>
              </w:rPr>
            </w:pPr>
          </w:p>
        </w:tc>
        <w:tc>
          <w:tcPr>
            <w:tcW w:w="2402" w:type="dxa"/>
            <w:vAlign w:val="center"/>
          </w:tcPr>
          <w:p w14:paraId="6DEAF47B">
            <w:pPr>
              <w:jc w:val="center"/>
              <w:rPr>
                <w:rFonts w:hint="eastAsia" w:ascii="新宋体" w:hAnsi="新宋体" w:eastAsia="新宋体" w:cs="新宋体"/>
                <w:color w:val="auto"/>
                <w:sz w:val="22"/>
                <w:szCs w:val="22"/>
                <w:highlight w:val="none"/>
              </w:rPr>
            </w:pPr>
          </w:p>
        </w:tc>
        <w:tc>
          <w:tcPr>
            <w:tcW w:w="1200" w:type="dxa"/>
            <w:vAlign w:val="center"/>
          </w:tcPr>
          <w:p w14:paraId="34B53C2A">
            <w:pPr>
              <w:jc w:val="center"/>
              <w:rPr>
                <w:rFonts w:hint="eastAsia" w:ascii="新宋体" w:hAnsi="新宋体" w:eastAsia="新宋体" w:cs="新宋体"/>
                <w:color w:val="auto"/>
                <w:sz w:val="22"/>
                <w:szCs w:val="22"/>
                <w:highlight w:val="none"/>
              </w:rPr>
            </w:pPr>
          </w:p>
        </w:tc>
        <w:tc>
          <w:tcPr>
            <w:tcW w:w="1588" w:type="dxa"/>
            <w:vAlign w:val="center"/>
          </w:tcPr>
          <w:p w14:paraId="67EDB64E">
            <w:pPr>
              <w:jc w:val="center"/>
              <w:rPr>
                <w:rFonts w:hint="eastAsia" w:ascii="新宋体" w:hAnsi="新宋体" w:eastAsia="新宋体" w:cs="新宋体"/>
                <w:color w:val="auto"/>
                <w:sz w:val="22"/>
                <w:szCs w:val="22"/>
                <w:highlight w:val="none"/>
              </w:rPr>
            </w:pPr>
          </w:p>
        </w:tc>
      </w:tr>
      <w:tr w14:paraId="65F8DCE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71" w:hRule="atLeast"/>
          <w:jc w:val="center"/>
        </w:trPr>
        <w:tc>
          <w:tcPr>
            <w:tcW w:w="921" w:type="dxa"/>
            <w:vAlign w:val="center"/>
          </w:tcPr>
          <w:p w14:paraId="05DB29E4">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1559" w:type="dxa"/>
            <w:vAlign w:val="center"/>
          </w:tcPr>
          <w:p w14:paraId="06E3FE6E">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项目服务期</w:t>
            </w:r>
          </w:p>
        </w:tc>
        <w:tc>
          <w:tcPr>
            <w:tcW w:w="2184" w:type="dxa"/>
            <w:vAlign w:val="center"/>
          </w:tcPr>
          <w:p w14:paraId="49624198">
            <w:pPr>
              <w:jc w:val="center"/>
              <w:rPr>
                <w:rFonts w:hint="eastAsia" w:ascii="新宋体" w:hAnsi="新宋体" w:eastAsia="新宋体" w:cs="新宋体"/>
                <w:color w:val="auto"/>
                <w:sz w:val="22"/>
                <w:szCs w:val="22"/>
                <w:highlight w:val="none"/>
              </w:rPr>
            </w:pPr>
          </w:p>
        </w:tc>
        <w:tc>
          <w:tcPr>
            <w:tcW w:w="2402" w:type="dxa"/>
            <w:vAlign w:val="center"/>
          </w:tcPr>
          <w:p w14:paraId="30747AC0">
            <w:pPr>
              <w:jc w:val="center"/>
              <w:rPr>
                <w:rFonts w:hint="eastAsia" w:ascii="新宋体" w:hAnsi="新宋体" w:eastAsia="新宋体" w:cs="新宋体"/>
                <w:color w:val="auto"/>
                <w:sz w:val="22"/>
                <w:szCs w:val="22"/>
                <w:highlight w:val="none"/>
              </w:rPr>
            </w:pPr>
          </w:p>
        </w:tc>
        <w:tc>
          <w:tcPr>
            <w:tcW w:w="1200" w:type="dxa"/>
            <w:vAlign w:val="center"/>
          </w:tcPr>
          <w:p w14:paraId="14CA578D">
            <w:pPr>
              <w:jc w:val="center"/>
              <w:rPr>
                <w:rFonts w:hint="eastAsia" w:ascii="新宋体" w:hAnsi="新宋体" w:eastAsia="新宋体" w:cs="新宋体"/>
                <w:color w:val="auto"/>
                <w:sz w:val="22"/>
                <w:szCs w:val="22"/>
                <w:highlight w:val="none"/>
              </w:rPr>
            </w:pPr>
          </w:p>
        </w:tc>
        <w:tc>
          <w:tcPr>
            <w:tcW w:w="1588" w:type="dxa"/>
            <w:vAlign w:val="center"/>
          </w:tcPr>
          <w:p w14:paraId="2FC60B33">
            <w:pPr>
              <w:jc w:val="center"/>
              <w:rPr>
                <w:rFonts w:hint="eastAsia" w:ascii="新宋体" w:hAnsi="新宋体" w:eastAsia="新宋体" w:cs="新宋体"/>
                <w:color w:val="auto"/>
                <w:sz w:val="22"/>
                <w:szCs w:val="22"/>
                <w:highlight w:val="none"/>
              </w:rPr>
            </w:pPr>
          </w:p>
        </w:tc>
      </w:tr>
      <w:tr w14:paraId="2F4F554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54" w:hRule="atLeast"/>
          <w:jc w:val="center"/>
        </w:trPr>
        <w:tc>
          <w:tcPr>
            <w:tcW w:w="921" w:type="dxa"/>
            <w:vAlign w:val="center"/>
          </w:tcPr>
          <w:p w14:paraId="1DFA2FFD">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1559" w:type="dxa"/>
            <w:vAlign w:val="center"/>
          </w:tcPr>
          <w:p w14:paraId="7473923F">
            <w:pPr>
              <w:jc w:val="center"/>
              <w:rPr>
                <w:rFonts w:hint="eastAsia" w:ascii="新宋体" w:hAnsi="新宋体" w:eastAsia="新宋体" w:cs="新宋体"/>
                <w:color w:val="auto"/>
                <w:sz w:val="22"/>
                <w:szCs w:val="22"/>
                <w:highlight w:val="none"/>
              </w:rPr>
            </w:pPr>
          </w:p>
        </w:tc>
        <w:tc>
          <w:tcPr>
            <w:tcW w:w="2184" w:type="dxa"/>
            <w:vAlign w:val="center"/>
          </w:tcPr>
          <w:p w14:paraId="609A009F">
            <w:pPr>
              <w:jc w:val="center"/>
              <w:rPr>
                <w:rFonts w:hint="eastAsia" w:ascii="新宋体" w:hAnsi="新宋体" w:eastAsia="新宋体" w:cs="新宋体"/>
                <w:color w:val="auto"/>
                <w:sz w:val="22"/>
                <w:szCs w:val="22"/>
                <w:highlight w:val="none"/>
              </w:rPr>
            </w:pPr>
          </w:p>
        </w:tc>
        <w:tc>
          <w:tcPr>
            <w:tcW w:w="2402" w:type="dxa"/>
            <w:vAlign w:val="center"/>
          </w:tcPr>
          <w:p w14:paraId="33D61E58">
            <w:pPr>
              <w:jc w:val="center"/>
              <w:rPr>
                <w:rFonts w:hint="eastAsia" w:ascii="新宋体" w:hAnsi="新宋体" w:eastAsia="新宋体" w:cs="新宋体"/>
                <w:color w:val="auto"/>
                <w:sz w:val="22"/>
                <w:szCs w:val="22"/>
                <w:highlight w:val="none"/>
              </w:rPr>
            </w:pPr>
          </w:p>
        </w:tc>
        <w:tc>
          <w:tcPr>
            <w:tcW w:w="1200" w:type="dxa"/>
            <w:vAlign w:val="center"/>
          </w:tcPr>
          <w:p w14:paraId="67ED5425">
            <w:pPr>
              <w:jc w:val="center"/>
              <w:rPr>
                <w:rFonts w:hint="eastAsia" w:ascii="新宋体" w:hAnsi="新宋体" w:eastAsia="新宋体" w:cs="新宋体"/>
                <w:color w:val="auto"/>
                <w:sz w:val="22"/>
                <w:szCs w:val="22"/>
                <w:highlight w:val="none"/>
              </w:rPr>
            </w:pPr>
          </w:p>
        </w:tc>
        <w:tc>
          <w:tcPr>
            <w:tcW w:w="1588" w:type="dxa"/>
            <w:vAlign w:val="center"/>
          </w:tcPr>
          <w:p w14:paraId="5F708696">
            <w:pPr>
              <w:jc w:val="center"/>
              <w:rPr>
                <w:rFonts w:hint="eastAsia" w:ascii="新宋体" w:hAnsi="新宋体" w:eastAsia="新宋体" w:cs="新宋体"/>
                <w:color w:val="auto"/>
                <w:sz w:val="22"/>
                <w:szCs w:val="22"/>
                <w:highlight w:val="none"/>
              </w:rPr>
            </w:pPr>
          </w:p>
        </w:tc>
      </w:tr>
      <w:tr w14:paraId="5D9AAA3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71" w:hRule="atLeast"/>
          <w:jc w:val="center"/>
        </w:trPr>
        <w:tc>
          <w:tcPr>
            <w:tcW w:w="921" w:type="dxa"/>
            <w:vAlign w:val="center"/>
          </w:tcPr>
          <w:p w14:paraId="0D1F0E44">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1559" w:type="dxa"/>
            <w:vAlign w:val="center"/>
          </w:tcPr>
          <w:p w14:paraId="0979B2D9">
            <w:pPr>
              <w:jc w:val="center"/>
              <w:rPr>
                <w:rFonts w:hint="eastAsia" w:ascii="新宋体" w:hAnsi="新宋体" w:eastAsia="新宋体" w:cs="新宋体"/>
                <w:color w:val="auto"/>
                <w:sz w:val="22"/>
                <w:szCs w:val="22"/>
                <w:highlight w:val="none"/>
              </w:rPr>
            </w:pPr>
          </w:p>
        </w:tc>
        <w:tc>
          <w:tcPr>
            <w:tcW w:w="2184" w:type="dxa"/>
            <w:vAlign w:val="center"/>
          </w:tcPr>
          <w:p w14:paraId="2795C4B3">
            <w:pPr>
              <w:jc w:val="center"/>
              <w:rPr>
                <w:rFonts w:hint="eastAsia" w:ascii="新宋体" w:hAnsi="新宋体" w:eastAsia="新宋体" w:cs="新宋体"/>
                <w:color w:val="auto"/>
                <w:sz w:val="22"/>
                <w:szCs w:val="22"/>
                <w:highlight w:val="none"/>
              </w:rPr>
            </w:pPr>
          </w:p>
        </w:tc>
        <w:tc>
          <w:tcPr>
            <w:tcW w:w="2402" w:type="dxa"/>
            <w:vAlign w:val="center"/>
          </w:tcPr>
          <w:p w14:paraId="2FEC1D29">
            <w:pPr>
              <w:jc w:val="center"/>
              <w:rPr>
                <w:rFonts w:hint="eastAsia" w:ascii="新宋体" w:hAnsi="新宋体" w:eastAsia="新宋体" w:cs="新宋体"/>
                <w:color w:val="auto"/>
                <w:sz w:val="22"/>
                <w:szCs w:val="22"/>
                <w:highlight w:val="none"/>
              </w:rPr>
            </w:pPr>
          </w:p>
        </w:tc>
        <w:tc>
          <w:tcPr>
            <w:tcW w:w="1200" w:type="dxa"/>
            <w:vAlign w:val="center"/>
          </w:tcPr>
          <w:p w14:paraId="1E2211DD">
            <w:pPr>
              <w:jc w:val="center"/>
              <w:rPr>
                <w:rFonts w:hint="eastAsia" w:ascii="新宋体" w:hAnsi="新宋体" w:eastAsia="新宋体" w:cs="新宋体"/>
                <w:color w:val="auto"/>
                <w:sz w:val="22"/>
                <w:szCs w:val="22"/>
                <w:highlight w:val="none"/>
              </w:rPr>
            </w:pPr>
          </w:p>
        </w:tc>
        <w:tc>
          <w:tcPr>
            <w:tcW w:w="1588" w:type="dxa"/>
            <w:vAlign w:val="center"/>
          </w:tcPr>
          <w:p w14:paraId="402255EE">
            <w:pPr>
              <w:jc w:val="center"/>
              <w:rPr>
                <w:rFonts w:hint="eastAsia" w:ascii="新宋体" w:hAnsi="新宋体" w:eastAsia="新宋体" w:cs="新宋体"/>
                <w:color w:val="auto"/>
                <w:sz w:val="22"/>
                <w:szCs w:val="22"/>
                <w:highlight w:val="none"/>
              </w:rPr>
            </w:pPr>
          </w:p>
        </w:tc>
      </w:tr>
      <w:tr w14:paraId="3CFFC4B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71" w:hRule="atLeast"/>
          <w:jc w:val="center"/>
        </w:trPr>
        <w:tc>
          <w:tcPr>
            <w:tcW w:w="921" w:type="dxa"/>
            <w:vAlign w:val="center"/>
          </w:tcPr>
          <w:p w14:paraId="488E63BD">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1559" w:type="dxa"/>
            <w:vAlign w:val="center"/>
          </w:tcPr>
          <w:p w14:paraId="7EDFE73D">
            <w:pPr>
              <w:jc w:val="center"/>
              <w:rPr>
                <w:rFonts w:hint="eastAsia" w:ascii="新宋体" w:hAnsi="新宋体" w:eastAsia="新宋体" w:cs="新宋体"/>
                <w:color w:val="auto"/>
                <w:sz w:val="22"/>
                <w:szCs w:val="22"/>
                <w:highlight w:val="none"/>
              </w:rPr>
            </w:pPr>
          </w:p>
        </w:tc>
        <w:tc>
          <w:tcPr>
            <w:tcW w:w="2184" w:type="dxa"/>
            <w:vAlign w:val="center"/>
          </w:tcPr>
          <w:p w14:paraId="6D3221CA">
            <w:pPr>
              <w:jc w:val="center"/>
              <w:rPr>
                <w:rFonts w:hint="eastAsia" w:ascii="新宋体" w:hAnsi="新宋体" w:eastAsia="新宋体" w:cs="新宋体"/>
                <w:color w:val="auto"/>
                <w:sz w:val="22"/>
                <w:szCs w:val="22"/>
                <w:highlight w:val="none"/>
              </w:rPr>
            </w:pPr>
          </w:p>
        </w:tc>
        <w:tc>
          <w:tcPr>
            <w:tcW w:w="2402" w:type="dxa"/>
            <w:vAlign w:val="center"/>
          </w:tcPr>
          <w:p w14:paraId="0B4221AE">
            <w:pPr>
              <w:jc w:val="center"/>
              <w:rPr>
                <w:rFonts w:hint="eastAsia" w:ascii="新宋体" w:hAnsi="新宋体" w:eastAsia="新宋体" w:cs="新宋体"/>
                <w:color w:val="auto"/>
                <w:sz w:val="22"/>
                <w:szCs w:val="22"/>
                <w:highlight w:val="none"/>
              </w:rPr>
            </w:pPr>
          </w:p>
        </w:tc>
        <w:tc>
          <w:tcPr>
            <w:tcW w:w="1200" w:type="dxa"/>
            <w:vAlign w:val="center"/>
          </w:tcPr>
          <w:p w14:paraId="593D4E71">
            <w:pPr>
              <w:jc w:val="center"/>
              <w:rPr>
                <w:rFonts w:hint="eastAsia" w:ascii="新宋体" w:hAnsi="新宋体" w:eastAsia="新宋体" w:cs="新宋体"/>
                <w:color w:val="auto"/>
                <w:sz w:val="22"/>
                <w:szCs w:val="22"/>
                <w:highlight w:val="none"/>
              </w:rPr>
            </w:pPr>
          </w:p>
        </w:tc>
        <w:tc>
          <w:tcPr>
            <w:tcW w:w="1588" w:type="dxa"/>
            <w:vAlign w:val="center"/>
          </w:tcPr>
          <w:p w14:paraId="49A58F3F">
            <w:pPr>
              <w:jc w:val="center"/>
              <w:rPr>
                <w:rFonts w:hint="eastAsia" w:ascii="新宋体" w:hAnsi="新宋体" w:eastAsia="新宋体" w:cs="新宋体"/>
                <w:color w:val="auto"/>
                <w:sz w:val="22"/>
                <w:szCs w:val="22"/>
                <w:highlight w:val="none"/>
              </w:rPr>
            </w:pPr>
          </w:p>
        </w:tc>
      </w:tr>
      <w:tr w14:paraId="42B55B5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71" w:hRule="atLeast"/>
          <w:jc w:val="center"/>
        </w:trPr>
        <w:tc>
          <w:tcPr>
            <w:tcW w:w="921" w:type="dxa"/>
            <w:vAlign w:val="center"/>
          </w:tcPr>
          <w:p w14:paraId="313DF7F7">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p>
        </w:tc>
        <w:tc>
          <w:tcPr>
            <w:tcW w:w="1559" w:type="dxa"/>
            <w:vAlign w:val="center"/>
          </w:tcPr>
          <w:p w14:paraId="102ABC71">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p>
        </w:tc>
        <w:tc>
          <w:tcPr>
            <w:tcW w:w="2184" w:type="dxa"/>
            <w:vAlign w:val="center"/>
          </w:tcPr>
          <w:p w14:paraId="2E55B3B8">
            <w:pPr>
              <w:jc w:val="center"/>
              <w:rPr>
                <w:rFonts w:hint="eastAsia" w:ascii="新宋体" w:hAnsi="新宋体" w:eastAsia="新宋体" w:cs="新宋体"/>
                <w:color w:val="auto"/>
                <w:sz w:val="22"/>
                <w:szCs w:val="22"/>
                <w:highlight w:val="none"/>
              </w:rPr>
            </w:pPr>
          </w:p>
        </w:tc>
        <w:tc>
          <w:tcPr>
            <w:tcW w:w="2402" w:type="dxa"/>
            <w:vAlign w:val="center"/>
          </w:tcPr>
          <w:p w14:paraId="67E6BBAC">
            <w:pPr>
              <w:jc w:val="center"/>
              <w:rPr>
                <w:rFonts w:hint="eastAsia" w:ascii="新宋体" w:hAnsi="新宋体" w:eastAsia="新宋体" w:cs="新宋体"/>
                <w:color w:val="auto"/>
                <w:sz w:val="22"/>
                <w:szCs w:val="22"/>
                <w:highlight w:val="none"/>
              </w:rPr>
            </w:pPr>
          </w:p>
        </w:tc>
        <w:tc>
          <w:tcPr>
            <w:tcW w:w="1200" w:type="dxa"/>
            <w:vAlign w:val="center"/>
          </w:tcPr>
          <w:p w14:paraId="2E1EA138">
            <w:pPr>
              <w:jc w:val="center"/>
              <w:rPr>
                <w:rFonts w:hint="eastAsia" w:ascii="新宋体" w:hAnsi="新宋体" w:eastAsia="新宋体" w:cs="新宋体"/>
                <w:color w:val="auto"/>
                <w:sz w:val="22"/>
                <w:szCs w:val="22"/>
                <w:highlight w:val="none"/>
              </w:rPr>
            </w:pPr>
          </w:p>
        </w:tc>
        <w:tc>
          <w:tcPr>
            <w:tcW w:w="1588" w:type="dxa"/>
            <w:vAlign w:val="center"/>
          </w:tcPr>
          <w:p w14:paraId="1038AE0C">
            <w:pPr>
              <w:jc w:val="center"/>
              <w:rPr>
                <w:rFonts w:hint="eastAsia" w:ascii="新宋体" w:hAnsi="新宋体" w:eastAsia="新宋体" w:cs="新宋体"/>
                <w:color w:val="auto"/>
                <w:sz w:val="22"/>
                <w:szCs w:val="22"/>
                <w:highlight w:val="none"/>
              </w:rPr>
            </w:pPr>
          </w:p>
        </w:tc>
      </w:tr>
    </w:tbl>
    <w:p w14:paraId="6C9AC4A0">
      <w:pPr>
        <w:keepNext w:val="0"/>
        <w:keepLines w:val="0"/>
        <w:pageBreakBefore w:val="0"/>
        <w:kinsoku/>
        <w:wordWrap/>
        <w:topLinePunct w:val="0"/>
        <w:bidi w:val="0"/>
        <w:snapToGrid/>
        <w:spacing w:before="120" w:beforeLines="50" w:line="360" w:lineRule="auto"/>
        <w:ind w:left="0" w:leftChars="0" w:right="0" w:rightChars="0" w:firstLine="0" w:firstLineChars="0"/>
        <w:outlineLvl w:val="9"/>
        <w:rPr>
          <w:rFonts w:hint="default"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说明：</w:t>
      </w:r>
    </w:p>
    <w:p w14:paraId="60953B32">
      <w:pPr>
        <w:keepNext w:val="0"/>
        <w:keepLines w:val="0"/>
        <w:pageBreakBefore w:val="0"/>
        <w:kinsoku/>
        <w:wordWrap/>
        <w:topLinePunct w:val="0"/>
        <w:bidi w:val="0"/>
        <w:snapToGrid/>
        <w:spacing w:before="120" w:beforeLines="50" w:line="360" w:lineRule="auto"/>
        <w:ind w:left="0" w:leftChars="0" w:right="0" w:rightChars="0" w:firstLine="0" w:firstLineChars="0"/>
        <w:outlineLvl w:val="9"/>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u w:val="single"/>
        </w:rPr>
        <w:t>▲如有偏离，必须在偏离表中进行详细对比说明并注明正偏离</w:t>
      </w:r>
      <w:r>
        <w:rPr>
          <w:rFonts w:hint="eastAsia" w:ascii="新宋体" w:hAnsi="新宋体" w:eastAsia="新宋体" w:cs="新宋体"/>
          <w:b/>
          <w:bCs/>
          <w:color w:val="auto"/>
          <w:sz w:val="22"/>
          <w:szCs w:val="22"/>
          <w:highlight w:val="none"/>
          <w:u w:val="single"/>
          <w:lang w:val="en-US" w:eastAsia="zh-CN"/>
        </w:rPr>
        <w:t>或</w:t>
      </w:r>
      <w:r>
        <w:rPr>
          <w:rFonts w:hint="eastAsia" w:ascii="新宋体" w:hAnsi="新宋体" w:eastAsia="新宋体" w:cs="新宋体"/>
          <w:b/>
          <w:bCs/>
          <w:color w:val="auto"/>
          <w:sz w:val="22"/>
          <w:szCs w:val="22"/>
          <w:highlight w:val="none"/>
          <w:u w:val="single"/>
        </w:rPr>
        <w:t>负偏离</w:t>
      </w:r>
      <w:r>
        <w:rPr>
          <w:rFonts w:hint="eastAsia" w:ascii="新宋体" w:hAnsi="新宋体" w:eastAsia="新宋体" w:cs="新宋体"/>
          <w:b/>
          <w:bCs/>
          <w:color w:val="auto"/>
          <w:sz w:val="22"/>
          <w:szCs w:val="22"/>
          <w:highlight w:val="none"/>
          <w:u w:val="single"/>
          <w:lang w:val="en-US" w:eastAsia="zh-CN"/>
        </w:rPr>
        <w:t>或无偏离</w:t>
      </w:r>
      <w:r>
        <w:rPr>
          <w:rFonts w:hint="eastAsia" w:ascii="新宋体" w:hAnsi="新宋体" w:eastAsia="新宋体" w:cs="新宋体"/>
          <w:b/>
          <w:bCs/>
          <w:color w:val="auto"/>
          <w:sz w:val="22"/>
          <w:szCs w:val="22"/>
          <w:highlight w:val="none"/>
          <w:u w:val="single"/>
        </w:rPr>
        <w:t>，如不说明偏离情况</w:t>
      </w:r>
      <w:r>
        <w:rPr>
          <w:rFonts w:hint="eastAsia" w:ascii="新宋体" w:hAnsi="新宋体" w:eastAsia="新宋体" w:cs="新宋体"/>
          <w:b/>
          <w:bCs/>
          <w:color w:val="auto"/>
          <w:sz w:val="22"/>
          <w:szCs w:val="22"/>
          <w:highlight w:val="none"/>
          <w:u w:val="single"/>
          <w:lang w:val="en-US" w:eastAsia="zh-CN"/>
        </w:rPr>
        <w:t>或未提供本表</w:t>
      </w:r>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b/>
          <w:bCs/>
          <w:color w:val="auto"/>
          <w:sz w:val="22"/>
          <w:szCs w:val="22"/>
          <w:highlight w:val="none"/>
          <w:u w:val="single"/>
          <w:lang w:val="en-US" w:eastAsia="zh-CN"/>
        </w:rPr>
        <w:t>均</w:t>
      </w:r>
      <w:r>
        <w:rPr>
          <w:rFonts w:hint="eastAsia" w:ascii="新宋体" w:hAnsi="新宋体" w:eastAsia="新宋体" w:cs="新宋体"/>
          <w:b/>
          <w:bCs/>
          <w:color w:val="auto"/>
          <w:sz w:val="22"/>
          <w:szCs w:val="22"/>
          <w:highlight w:val="none"/>
          <w:u w:val="single"/>
        </w:rPr>
        <w:t>视为完全响应</w:t>
      </w:r>
      <w:r>
        <w:rPr>
          <w:rFonts w:hint="eastAsia" w:ascii="新宋体" w:hAnsi="新宋体" w:eastAsia="新宋体" w:cs="新宋体"/>
          <w:b/>
          <w:bCs/>
          <w:color w:val="auto"/>
          <w:sz w:val="22"/>
          <w:szCs w:val="22"/>
          <w:highlight w:val="none"/>
          <w:u w:val="single"/>
          <w:lang w:eastAsia="zh-CN"/>
        </w:rPr>
        <w:t>采购文件</w:t>
      </w:r>
      <w:r>
        <w:rPr>
          <w:rFonts w:hint="eastAsia" w:ascii="新宋体" w:hAnsi="新宋体" w:eastAsia="新宋体" w:cs="新宋体"/>
          <w:b/>
          <w:bCs/>
          <w:color w:val="auto"/>
          <w:sz w:val="22"/>
          <w:szCs w:val="22"/>
          <w:highlight w:val="none"/>
          <w:u w:val="single"/>
        </w:rPr>
        <w:t>要求无偏离。</w:t>
      </w:r>
    </w:p>
    <w:p w14:paraId="6CFF767C">
      <w:pPr>
        <w:keepNext w:val="0"/>
        <w:keepLines w:val="0"/>
        <w:pageBreakBefore w:val="0"/>
        <w:kinsoku/>
        <w:wordWrap/>
        <w:topLinePunct w:val="0"/>
        <w:bidi w:val="0"/>
        <w:snapToGrid/>
        <w:spacing w:before="120" w:beforeLines="50" w:line="360" w:lineRule="auto"/>
        <w:ind w:left="0" w:leftChars="0" w:right="0" w:rightChars="0" w:firstLine="0" w:firstLineChars="0"/>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2、此表仅提供了表格形式，供应商应根据需要准备足够数量的表格来填写。</w:t>
      </w:r>
    </w:p>
    <w:p w14:paraId="57DB0634">
      <w:pPr>
        <w:keepNext w:val="0"/>
        <w:keepLines w:val="0"/>
        <w:pageBreakBefore w:val="0"/>
        <w:kinsoku/>
        <w:wordWrap/>
        <w:topLinePunct w:val="0"/>
        <w:bidi w:val="0"/>
        <w:snapToGrid/>
        <w:spacing w:before="120" w:beforeLines="50" w:line="360" w:lineRule="auto"/>
        <w:ind w:left="0" w:leftChars="0" w:right="0" w:rightChars="0" w:firstLine="0" w:firstLineChars="0"/>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3、是否属于</w:t>
      </w:r>
      <w:r>
        <w:rPr>
          <w:rFonts w:hint="eastAsia" w:ascii="新宋体" w:hAnsi="新宋体" w:eastAsia="新宋体" w:cs="新宋体"/>
          <w:b w:val="0"/>
          <w:bCs w:val="0"/>
          <w:color w:val="auto"/>
          <w:sz w:val="22"/>
          <w:szCs w:val="22"/>
          <w:highlight w:val="none"/>
          <w:u w:val="none"/>
        </w:rPr>
        <w:t>正偏离</w:t>
      </w:r>
      <w:r>
        <w:rPr>
          <w:rFonts w:hint="eastAsia" w:ascii="新宋体" w:hAnsi="新宋体" w:eastAsia="新宋体" w:cs="新宋体"/>
          <w:b w:val="0"/>
          <w:bCs w:val="0"/>
          <w:color w:val="auto"/>
          <w:sz w:val="22"/>
          <w:szCs w:val="22"/>
          <w:highlight w:val="none"/>
          <w:u w:val="none"/>
          <w:lang w:val="en-US" w:eastAsia="zh-CN"/>
        </w:rPr>
        <w:t>或</w:t>
      </w:r>
      <w:r>
        <w:rPr>
          <w:rFonts w:hint="eastAsia" w:ascii="新宋体" w:hAnsi="新宋体" w:eastAsia="新宋体" w:cs="新宋体"/>
          <w:b w:val="0"/>
          <w:bCs w:val="0"/>
          <w:color w:val="auto"/>
          <w:sz w:val="22"/>
          <w:szCs w:val="22"/>
          <w:highlight w:val="none"/>
          <w:u w:val="none"/>
        </w:rPr>
        <w:t>负偏离</w:t>
      </w:r>
      <w:r>
        <w:rPr>
          <w:rFonts w:hint="eastAsia" w:ascii="新宋体" w:hAnsi="新宋体" w:eastAsia="新宋体" w:cs="新宋体"/>
          <w:b w:val="0"/>
          <w:bCs w:val="0"/>
          <w:color w:val="auto"/>
          <w:sz w:val="22"/>
          <w:szCs w:val="22"/>
          <w:highlight w:val="none"/>
          <w:u w:val="none"/>
          <w:lang w:val="en-US" w:eastAsia="zh-CN"/>
        </w:rPr>
        <w:t>或无偏离</w:t>
      </w:r>
      <w:r>
        <w:rPr>
          <w:rFonts w:hint="eastAsia" w:ascii="新宋体" w:hAnsi="新宋体" w:eastAsia="新宋体" w:cs="新宋体"/>
          <w:color w:val="auto"/>
          <w:sz w:val="22"/>
          <w:szCs w:val="22"/>
          <w:highlight w:val="none"/>
        </w:rPr>
        <w:t>，由评标委员会认定。</w:t>
      </w:r>
    </w:p>
    <w:p w14:paraId="72740ECC">
      <w:pPr>
        <w:keepNext w:val="0"/>
        <w:keepLines w:val="0"/>
        <w:pageBreakBefore w:val="0"/>
        <w:kinsoku/>
        <w:wordWrap/>
        <w:topLinePunct w:val="0"/>
        <w:bidi w:val="0"/>
        <w:snapToGrid/>
        <w:spacing w:before="120" w:beforeLines="50" w:line="360" w:lineRule="auto"/>
        <w:ind w:left="0" w:leftChars="0" w:right="0" w:rightChars="0" w:firstLine="0" w:firstLineChars="0"/>
        <w:outlineLvl w:val="9"/>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4、</w:t>
      </w:r>
      <w:r>
        <w:rPr>
          <w:rFonts w:hint="eastAsia" w:ascii="新宋体" w:hAnsi="新宋体" w:eastAsia="新宋体" w:cs="新宋体"/>
          <w:b/>
          <w:bCs/>
          <w:color w:val="auto"/>
          <w:sz w:val="22"/>
          <w:szCs w:val="22"/>
          <w:highlight w:val="none"/>
          <w:lang w:eastAsia="zh-CN"/>
        </w:rPr>
        <w:t>投标供应商</w:t>
      </w:r>
      <w:r>
        <w:rPr>
          <w:rFonts w:hint="eastAsia" w:ascii="新宋体" w:hAnsi="新宋体" w:eastAsia="新宋体" w:cs="新宋体"/>
          <w:b/>
          <w:bCs/>
          <w:color w:val="auto"/>
          <w:sz w:val="22"/>
          <w:szCs w:val="22"/>
          <w:highlight w:val="none"/>
        </w:rPr>
        <w:t>应仔细检查投标文件中是否出现相关内容前后矛盾、不一致的地方。</w:t>
      </w:r>
    </w:p>
    <w:p w14:paraId="33D646F0">
      <w:pPr>
        <w:spacing w:line="500" w:lineRule="exact"/>
        <w:rPr>
          <w:rFonts w:hint="eastAsia" w:ascii="新宋体" w:hAnsi="新宋体" w:eastAsia="新宋体" w:cs="新宋体"/>
          <w:color w:val="auto"/>
          <w:sz w:val="22"/>
          <w:szCs w:val="22"/>
          <w:highlight w:val="none"/>
        </w:rPr>
      </w:pPr>
    </w:p>
    <w:p w14:paraId="7FE41E0C">
      <w:pPr>
        <w:spacing w:line="500" w:lineRule="exact"/>
        <w:ind w:firstLine="4400" w:firstLineChars="2000"/>
        <w:jc w:val="right"/>
        <w:rPr>
          <w:rFonts w:hint="eastAsia" w:ascii="新宋体" w:hAnsi="新宋体" w:eastAsia="新宋体" w:cs="新宋体"/>
          <w:color w:val="auto"/>
          <w:sz w:val="22"/>
          <w:szCs w:val="22"/>
          <w:highlight w:val="none"/>
        </w:rPr>
      </w:pPr>
    </w:p>
    <w:p w14:paraId="056FE88D">
      <w:pPr>
        <w:tabs>
          <w:tab w:val="left" w:pos="840"/>
        </w:tabs>
        <w:adjustRightInd w:val="0"/>
        <w:snapToGrid w:val="0"/>
        <w:spacing w:line="360" w:lineRule="auto"/>
        <w:ind w:left="420" w:leftChars="200" w:firstLine="330" w:firstLineChars="150"/>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投标供应商全称（盖章）：</w:t>
      </w:r>
    </w:p>
    <w:p w14:paraId="262318E2">
      <w:pPr>
        <w:tabs>
          <w:tab w:val="left" w:pos="840"/>
        </w:tabs>
        <w:adjustRightInd w:val="0"/>
        <w:snapToGrid w:val="0"/>
        <w:spacing w:line="360" w:lineRule="auto"/>
        <w:ind w:left="420" w:leftChars="200" w:firstLine="330" w:firstLineChars="150"/>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法定代表人（负责人）</w:t>
      </w:r>
      <w:r>
        <w:rPr>
          <w:rFonts w:hint="eastAsia" w:ascii="新宋体" w:hAnsi="新宋体" w:eastAsia="新宋体" w:cs="新宋体"/>
          <w:color w:val="auto"/>
          <w:sz w:val="22"/>
          <w:szCs w:val="22"/>
          <w:highlight w:val="none"/>
        </w:rPr>
        <w:t>或授权代表（签字或盖章）：</w:t>
      </w:r>
    </w:p>
    <w:p w14:paraId="29DB8B6E">
      <w:pPr>
        <w:tabs>
          <w:tab w:val="left" w:pos="840"/>
        </w:tabs>
        <w:adjustRightInd w:val="0"/>
        <w:snapToGrid w:val="0"/>
        <w:spacing w:line="360" w:lineRule="auto"/>
        <w:ind w:left="420" w:leftChars="200" w:firstLine="330" w:firstLineChars="150"/>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日          期：  年  月  日</w:t>
      </w:r>
    </w:p>
    <w:p w14:paraId="483EDBA2">
      <w:pPr>
        <w:spacing w:line="460" w:lineRule="exact"/>
        <w:rPr>
          <w:rFonts w:hint="eastAsia" w:ascii="新宋体" w:hAnsi="新宋体" w:eastAsia="新宋体" w:cs="新宋体"/>
          <w:color w:val="auto"/>
          <w:sz w:val="22"/>
          <w:szCs w:val="22"/>
          <w:highlight w:val="none"/>
        </w:rPr>
      </w:pPr>
    </w:p>
    <w:p w14:paraId="2FCA3CB5">
      <w:pPr>
        <w:tabs>
          <w:tab w:val="left" w:pos="840"/>
        </w:tabs>
        <w:adjustRightInd w:val="0"/>
        <w:snapToGrid w:val="0"/>
        <w:spacing w:line="360" w:lineRule="auto"/>
        <w:ind w:left="18" w:hanging="18" w:hangingChars="8"/>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p>
    <w:p w14:paraId="026C3BD7">
      <w:pPr>
        <w:spacing w:line="460" w:lineRule="exact"/>
        <w:jc w:val="left"/>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rPr>
        <w:t>附件</w:t>
      </w:r>
      <w:r>
        <w:rPr>
          <w:rFonts w:hint="eastAsia" w:ascii="新宋体" w:hAnsi="新宋体" w:eastAsia="新宋体" w:cs="新宋体"/>
          <w:b/>
          <w:bCs/>
          <w:color w:val="auto"/>
          <w:sz w:val="22"/>
          <w:szCs w:val="22"/>
          <w:highlight w:val="none"/>
          <w:lang w:val="en-US" w:eastAsia="zh-CN"/>
        </w:rPr>
        <w:t>五：</w:t>
      </w:r>
    </w:p>
    <w:p w14:paraId="56B82B2B">
      <w:pPr>
        <w:spacing w:line="460" w:lineRule="exact"/>
        <w:jc w:val="center"/>
        <w:rPr>
          <w:rFonts w:hint="default" w:ascii="新宋体" w:hAnsi="新宋体" w:eastAsia="新宋体" w:cs="新宋体"/>
          <w:b/>
          <w:color w:val="auto"/>
          <w:kern w:val="1"/>
          <w:sz w:val="28"/>
          <w:szCs w:val="28"/>
          <w:highlight w:val="none"/>
          <w:lang w:val="en-US" w:eastAsia="zh-CN"/>
        </w:rPr>
      </w:pPr>
      <w:r>
        <w:rPr>
          <w:rFonts w:hint="eastAsia" w:ascii="新宋体" w:hAnsi="新宋体" w:eastAsia="新宋体" w:cs="新宋体"/>
          <w:b/>
          <w:color w:val="auto"/>
          <w:kern w:val="1"/>
          <w:sz w:val="28"/>
          <w:szCs w:val="28"/>
          <w:highlight w:val="none"/>
        </w:rPr>
        <w:t>投标供应商项目业绩情况</w:t>
      </w:r>
      <w:r>
        <w:rPr>
          <w:rFonts w:hint="eastAsia" w:ascii="新宋体" w:hAnsi="新宋体" w:eastAsia="新宋体" w:cs="新宋体"/>
          <w:b/>
          <w:color w:val="auto"/>
          <w:kern w:val="1"/>
          <w:sz w:val="28"/>
          <w:szCs w:val="28"/>
          <w:highlight w:val="none"/>
          <w:lang w:val="en-US" w:eastAsia="zh-CN"/>
        </w:rPr>
        <w:t>一览表</w:t>
      </w:r>
    </w:p>
    <w:p w14:paraId="7E95BE71">
      <w:pPr>
        <w:pStyle w:val="2"/>
        <w:rPr>
          <w:rFonts w:hint="eastAsia"/>
          <w:color w:val="auto"/>
          <w:highlight w:val="none"/>
        </w:rPr>
      </w:pPr>
      <w:r>
        <w:rPr>
          <w:rFonts w:hint="eastAsia" w:ascii="新宋体" w:hAnsi="新宋体" w:eastAsia="新宋体" w:cs="新宋体"/>
          <w:bCs/>
          <w:color w:val="auto"/>
          <w:sz w:val="22"/>
          <w:szCs w:val="22"/>
          <w:highlight w:val="none"/>
        </w:rPr>
        <w:t xml:space="preserve">项目名称：                                      </w:t>
      </w:r>
      <w:r>
        <w:rPr>
          <w:rFonts w:hint="eastAsia" w:ascii="新宋体" w:hAnsi="新宋体" w:eastAsia="新宋体" w:cs="新宋体"/>
          <w:bCs/>
          <w:color w:val="auto"/>
          <w:sz w:val="22"/>
          <w:szCs w:val="22"/>
          <w:highlight w:val="none"/>
          <w:lang w:eastAsia="zh-CN"/>
        </w:rPr>
        <w:t>项目编号</w:t>
      </w:r>
      <w:r>
        <w:rPr>
          <w:rFonts w:hint="eastAsia" w:ascii="新宋体" w:hAnsi="新宋体" w:eastAsia="新宋体" w:cs="新宋体"/>
          <w:bCs/>
          <w:color w:val="auto"/>
          <w:sz w:val="22"/>
          <w:szCs w:val="22"/>
          <w:highlight w:val="none"/>
        </w:rPr>
        <w:t>：</w:t>
      </w:r>
    </w:p>
    <w:tbl>
      <w:tblPr>
        <w:tblStyle w:val="31"/>
        <w:tblW w:w="98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2192"/>
        <w:gridCol w:w="1636"/>
        <w:gridCol w:w="1260"/>
        <w:gridCol w:w="1587"/>
        <w:gridCol w:w="2422"/>
      </w:tblGrid>
      <w:tr w14:paraId="7D312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shd w:val="clear" w:color="auto" w:fill="auto"/>
            <w:vAlign w:val="center"/>
          </w:tcPr>
          <w:p w14:paraId="59190259">
            <w:pPr>
              <w:spacing w:line="460" w:lineRule="exact"/>
              <w:jc w:val="center"/>
              <w:rPr>
                <w:rFonts w:hint="eastAsia" w:ascii="新宋体" w:hAnsi="新宋体" w:eastAsia="新宋体" w:cs="新宋体"/>
                <w:b/>
                <w:bCs/>
                <w:color w:val="auto"/>
                <w:sz w:val="22"/>
                <w:highlight w:val="none"/>
              </w:rPr>
            </w:pPr>
            <w:r>
              <w:rPr>
                <w:rFonts w:hint="eastAsia" w:ascii="新宋体" w:hAnsi="新宋体" w:eastAsia="新宋体" w:cs="新宋体"/>
                <w:b/>
                <w:bCs/>
                <w:color w:val="auto"/>
                <w:sz w:val="22"/>
                <w:highlight w:val="none"/>
              </w:rPr>
              <w:t>序号</w:t>
            </w:r>
          </w:p>
        </w:tc>
        <w:tc>
          <w:tcPr>
            <w:tcW w:w="2192" w:type="dxa"/>
            <w:shd w:val="clear" w:color="auto" w:fill="auto"/>
            <w:vAlign w:val="center"/>
          </w:tcPr>
          <w:p w14:paraId="65FA6749">
            <w:pPr>
              <w:spacing w:line="460" w:lineRule="exact"/>
              <w:jc w:val="center"/>
              <w:rPr>
                <w:rFonts w:hint="eastAsia" w:ascii="新宋体" w:hAnsi="新宋体" w:eastAsia="新宋体" w:cs="新宋体"/>
                <w:b/>
                <w:bCs/>
                <w:color w:val="auto"/>
                <w:sz w:val="22"/>
                <w:highlight w:val="none"/>
              </w:rPr>
            </w:pPr>
            <w:r>
              <w:rPr>
                <w:rFonts w:hint="eastAsia" w:ascii="新宋体" w:hAnsi="新宋体" w:eastAsia="新宋体" w:cs="新宋体"/>
                <w:b/>
                <w:bCs/>
                <w:color w:val="auto"/>
                <w:sz w:val="22"/>
                <w:highlight w:val="none"/>
              </w:rPr>
              <w:t>用户名称</w:t>
            </w:r>
          </w:p>
        </w:tc>
        <w:tc>
          <w:tcPr>
            <w:tcW w:w="1636" w:type="dxa"/>
            <w:shd w:val="clear" w:color="auto" w:fill="auto"/>
            <w:vAlign w:val="center"/>
          </w:tcPr>
          <w:p w14:paraId="527D3198">
            <w:pPr>
              <w:spacing w:line="460" w:lineRule="exact"/>
              <w:jc w:val="center"/>
              <w:rPr>
                <w:rFonts w:hint="eastAsia" w:ascii="新宋体" w:hAnsi="新宋体" w:eastAsia="新宋体" w:cs="新宋体"/>
                <w:b/>
                <w:bCs/>
                <w:color w:val="auto"/>
                <w:sz w:val="22"/>
                <w:highlight w:val="none"/>
              </w:rPr>
            </w:pPr>
            <w:r>
              <w:rPr>
                <w:rFonts w:hint="eastAsia" w:ascii="新宋体" w:hAnsi="新宋体" w:eastAsia="新宋体" w:cs="新宋体"/>
                <w:b/>
                <w:bCs/>
                <w:color w:val="auto"/>
                <w:sz w:val="22"/>
                <w:highlight w:val="none"/>
              </w:rPr>
              <w:t>项目名称</w:t>
            </w:r>
          </w:p>
        </w:tc>
        <w:tc>
          <w:tcPr>
            <w:tcW w:w="1260" w:type="dxa"/>
            <w:shd w:val="clear" w:color="auto" w:fill="auto"/>
            <w:vAlign w:val="center"/>
          </w:tcPr>
          <w:p w14:paraId="442FE1BE">
            <w:pPr>
              <w:spacing w:line="460" w:lineRule="exact"/>
              <w:jc w:val="center"/>
              <w:rPr>
                <w:rFonts w:hint="eastAsia" w:ascii="新宋体" w:hAnsi="新宋体" w:eastAsia="新宋体" w:cs="新宋体"/>
                <w:b/>
                <w:bCs/>
                <w:color w:val="auto"/>
                <w:sz w:val="22"/>
                <w:highlight w:val="none"/>
              </w:rPr>
            </w:pPr>
            <w:r>
              <w:rPr>
                <w:rFonts w:hint="eastAsia" w:ascii="新宋体" w:hAnsi="新宋体" w:eastAsia="新宋体" w:cs="新宋体"/>
                <w:b/>
                <w:bCs/>
                <w:color w:val="auto"/>
                <w:sz w:val="22"/>
                <w:highlight w:val="none"/>
              </w:rPr>
              <w:t>合同金额</w:t>
            </w:r>
          </w:p>
        </w:tc>
        <w:tc>
          <w:tcPr>
            <w:tcW w:w="1587" w:type="dxa"/>
            <w:shd w:val="clear" w:color="auto" w:fill="auto"/>
            <w:vAlign w:val="center"/>
          </w:tcPr>
          <w:p w14:paraId="50C71C99">
            <w:pPr>
              <w:spacing w:line="460" w:lineRule="exact"/>
              <w:jc w:val="center"/>
              <w:rPr>
                <w:rFonts w:hint="eastAsia" w:ascii="新宋体" w:hAnsi="新宋体" w:eastAsia="新宋体" w:cs="新宋体"/>
                <w:b/>
                <w:bCs/>
                <w:color w:val="auto"/>
                <w:sz w:val="22"/>
                <w:highlight w:val="none"/>
              </w:rPr>
            </w:pPr>
            <w:r>
              <w:rPr>
                <w:rFonts w:hint="eastAsia" w:ascii="新宋体" w:hAnsi="新宋体" w:eastAsia="新宋体" w:cs="新宋体"/>
                <w:b/>
                <w:bCs/>
                <w:color w:val="auto"/>
                <w:sz w:val="22"/>
                <w:highlight w:val="none"/>
              </w:rPr>
              <w:t>合同</w:t>
            </w:r>
            <w:r>
              <w:rPr>
                <w:rFonts w:hint="eastAsia" w:ascii="新宋体" w:hAnsi="新宋体" w:eastAsia="新宋体" w:cs="新宋体"/>
                <w:b/>
                <w:bCs/>
                <w:color w:val="auto"/>
                <w:sz w:val="22"/>
                <w:highlight w:val="none"/>
                <w:lang w:val="en-US" w:eastAsia="zh-CN"/>
              </w:rPr>
              <w:t>签订</w:t>
            </w:r>
            <w:r>
              <w:rPr>
                <w:rFonts w:hint="eastAsia" w:ascii="新宋体" w:hAnsi="新宋体" w:eastAsia="新宋体" w:cs="新宋体"/>
                <w:b/>
                <w:bCs/>
                <w:color w:val="auto"/>
                <w:sz w:val="22"/>
                <w:highlight w:val="none"/>
              </w:rPr>
              <w:t>时间</w:t>
            </w:r>
          </w:p>
        </w:tc>
        <w:tc>
          <w:tcPr>
            <w:tcW w:w="2422" w:type="dxa"/>
            <w:shd w:val="clear" w:color="auto" w:fill="auto"/>
            <w:vAlign w:val="center"/>
          </w:tcPr>
          <w:p w14:paraId="4234A6A6">
            <w:pPr>
              <w:spacing w:line="460" w:lineRule="exact"/>
              <w:jc w:val="center"/>
              <w:rPr>
                <w:rFonts w:hint="eastAsia" w:ascii="新宋体" w:hAnsi="新宋体" w:eastAsia="新宋体" w:cs="新宋体"/>
                <w:b/>
                <w:bCs/>
                <w:color w:val="auto"/>
                <w:sz w:val="22"/>
                <w:highlight w:val="none"/>
              </w:rPr>
            </w:pPr>
            <w:r>
              <w:rPr>
                <w:rFonts w:hint="eastAsia" w:ascii="新宋体" w:hAnsi="新宋体" w:eastAsia="新宋体" w:cs="新宋体"/>
                <w:b/>
                <w:bCs/>
                <w:color w:val="auto"/>
                <w:sz w:val="22"/>
                <w:highlight w:val="none"/>
              </w:rPr>
              <w:t>用户联系人/联系方式</w:t>
            </w:r>
          </w:p>
        </w:tc>
      </w:tr>
      <w:tr w14:paraId="6DD10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vAlign w:val="center"/>
          </w:tcPr>
          <w:p w14:paraId="01A534B4">
            <w:pPr>
              <w:spacing w:line="460" w:lineRule="exact"/>
              <w:jc w:val="center"/>
              <w:rPr>
                <w:rFonts w:hint="eastAsia" w:ascii="新宋体" w:hAnsi="新宋体" w:eastAsia="新宋体" w:cs="新宋体"/>
                <w:b/>
                <w:bCs/>
                <w:color w:val="auto"/>
                <w:sz w:val="22"/>
                <w:highlight w:val="none"/>
              </w:rPr>
            </w:pPr>
          </w:p>
        </w:tc>
        <w:tc>
          <w:tcPr>
            <w:tcW w:w="2192" w:type="dxa"/>
            <w:vAlign w:val="center"/>
          </w:tcPr>
          <w:p w14:paraId="7A30B2DC">
            <w:pPr>
              <w:spacing w:line="460" w:lineRule="exact"/>
              <w:jc w:val="center"/>
              <w:rPr>
                <w:rFonts w:hint="eastAsia" w:ascii="新宋体" w:hAnsi="新宋体" w:eastAsia="新宋体" w:cs="新宋体"/>
                <w:b/>
                <w:bCs/>
                <w:color w:val="auto"/>
                <w:sz w:val="22"/>
                <w:highlight w:val="none"/>
              </w:rPr>
            </w:pPr>
          </w:p>
        </w:tc>
        <w:tc>
          <w:tcPr>
            <w:tcW w:w="1636" w:type="dxa"/>
            <w:vAlign w:val="center"/>
          </w:tcPr>
          <w:p w14:paraId="17990704">
            <w:pPr>
              <w:spacing w:line="460" w:lineRule="exact"/>
              <w:jc w:val="center"/>
              <w:rPr>
                <w:rFonts w:hint="eastAsia" w:ascii="新宋体" w:hAnsi="新宋体" w:eastAsia="新宋体" w:cs="新宋体"/>
                <w:b/>
                <w:bCs/>
                <w:color w:val="auto"/>
                <w:sz w:val="22"/>
                <w:highlight w:val="none"/>
              </w:rPr>
            </w:pPr>
          </w:p>
        </w:tc>
        <w:tc>
          <w:tcPr>
            <w:tcW w:w="1260" w:type="dxa"/>
            <w:vAlign w:val="center"/>
          </w:tcPr>
          <w:p w14:paraId="6E7AF07B">
            <w:pPr>
              <w:spacing w:line="460" w:lineRule="exact"/>
              <w:jc w:val="center"/>
              <w:rPr>
                <w:rFonts w:hint="eastAsia" w:ascii="新宋体" w:hAnsi="新宋体" w:eastAsia="新宋体" w:cs="新宋体"/>
                <w:b/>
                <w:bCs/>
                <w:color w:val="auto"/>
                <w:sz w:val="22"/>
                <w:highlight w:val="none"/>
              </w:rPr>
            </w:pPr>
          </w:p>
        </w:tc>
        <w:tc>
          <w:tcPr>
            <w:tcW w:w="1587" w:type="dxa"/>
            <w:vAlign w:val="center"/>
          </w:tcPr>
          <w:p w14:paraId="7EB8313A">
            <w:pPr>
              <w:spacing w:line="460" w:lineRule="exact"/>
              <w:jc w:val="center"/>
              <w:rPr>
                <w:rFonts w:hint="eastAsia" w:ascii="新宋体" w:hAnsi="新宋体" w:eastAsia="新宋体" w:cs="新宋体"/>
                <w:b/>
                <w:bCs/>
                <w:color w:val="auto"/>
                <w:sz w:val="22"/>
                <w:highlight w:val="none"/>
              </w:rPr>
            </w:pPr>
          </w:p>
        </w:tc>
        <w:tc>
          <w:tcPr>
            <w:tcW w:w="2422" w:type="dxa"/>
            <w:vAlign w:val="center"/>
          </w:tcPr>
          <w:p w14:paraId="0DCE0C9D">
            <w:pPr>
              <w:spacing w:line="460" w:lineRule="exact"/>
              <w:jc w:val="center"/>
              <w:rPr>
                <w:rFonts w:hint="eastAsia" w:ascii="新宋体" w:hAnsi="新宋体" w:eastAsia="新宋体" w:cs="新宋体"/>
                <w:b/>
                <w:bCs/>
                <w:color w:val="auto"/>
                <w:sz w:val="22"/>
                <w:highlight w:val="none"/>
              </w:rPr>
            </w:pPr>
          </w:p>
        </w:tc>
      </w:tr>
      <w:tr w14:paraId="5E8A6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vAlign w:val="center"/>
          </w:tcPr>
          <w:p w14:paraId="6167B867">
            <w:pPr>
              <w:spacing w:line="460" w:lineRule="exact"/>
              <w:jc w:val="center"/>
              <w:rPr>
                <w:rFonts w:hint="eastAsia" w:ascii="新宋体" w:hAnsi="新宋体" w:eastAsia="新宋体" w:cs="新宋体"/>
                <w:b/>
                <w:bCs/>
                <w:color w:val="auto"/>
                <w:sz w:val="22"/>
                <w:highlight w:val="none"/>
              </w:rPr>
            </w:pPr>
          </w:p>
        </w:tc>
        <w:tc>
          <w:tcPr>
            <w:tcW w:w="2192" w:type="dxa"/>
            <w:vAlign w:val="center"/>
          </w:tcPr>
          <w:p w14:paraId="720A327F">
            <w:pPr>
              <w:spacing w:line="460" w:lineRule="exact"/>
              <w:jc w:val="center"/>
              <w:rPr>
                <w:rFonts w:hint="eastAsia" w:ascii="新宋体" w:hAnsi="新宋体" w:eastAsia="新宋体" w:cs="新宋体"/>
                <w:b/>
                <w:bCs/>
                <w:color w:val="auto"/>
                <w:sz w:val="22"/>
                <w:highlight w:val="none"/>
              </w:rPr>
            </w:pPr>
          </w:p>
        </w:tc>
        <w:tc>
          <w:tcPr>
            <w:tcW w:w="1636" w:type="dxa"/>
            <w:vAlign w:val="center"/>
          </w:tcPr>
          <w:p w14:paraId="5D23ED20">
            <w:pPr>
              <w:spacing w:line="460" w:lineRule="exact"/>
              <w:jc w:val="center"/>
              <w:rPr>
                <w:rFonts w:hint="eastAsia" w:ascii="新宋体" w:hAnsi="新宋体" w:eastAsia="新宋体" w:cs="新宋体"/>
                <w:b/>
                <w:bCs/>
                <w:color w:val="auto"/>
                <w:sz w:val="22"/>
                <w:highlight w:val="none"/>
              </w:rPr>
            </w:pPr>
          </w:p>
        </w:tc>
        <w:tc>
          <w:tcPr>
            <w:tcW w:w="1260" w:type="dxa"/>
            <w:vAlign w:val="center"/>
          </w:tcPr>
          <w:p w14:paraId="23929CC4">
            <w:pPr>
              <w:spacing w:line="460" w:lineRule="exact"/>
              <w:jc w:val="center"/>
              <w:rPr>
                <w:rFonts w:hint="eastAsia" w:ascii="新宋体" w:hAnsi="新宋体" w:eastAsia="新宋体" w:cs="新宋体"/>
                <w:b/>
                <w:bCs/>
                <w:color w:val="auto"/>
                <w:sz w:val="22"/>
                <w:highlight w:val="none"/>
              </w:rPr>
            </w:pPr>
          </w:p>
        </w:tc>
        <w:tc>
          <w:tcPr>
            <w:tcW w:w="1587" w:type="dxa"/>
            <w:vAlign w:val="center"/>
          </w:tcPr>
          <w:p w14:paraId="6E0EE00D">
            <w:pPr>
              <w:spacing w:line="460" w:lineRule="exact"/>
              <w:jc w:val="center"/>
              <w:rPr>
                <w:rFonts w:hint="eastAsia" w:ascii="新宋体" w:hAnsi="新宋体" w:eastAsia="新宋体" w:cs="新宋体"/>
                <w:b/>
                <w:bCs/>
                <w:color w:val="auto"/>
                <w:sz w:val="22"/>
                <w:highlight w:val="none"/>
              </w:rPr>
            </w:pPr>
          </w:p>
        </w:tc>
        <w:tc>
          <w:tcPr>
            <w:tcW w:w="2422" w:type="dxa"/>
            <w:vAlign w:val="center"/>
          </w:tcPr>
          <w:p w14:paraId="1C438FBB">
            <w:pPr>
              <w:spacing w:line="460" w:lineRule="exact"/>
              <w:jc w:val="center"/>
              <w:rPr>
                <w:rFonts w:hint="eastAsia" w:ascii="新宋体" w:hAnsi="新宋体" w:eastAsia="新宋体" w:cs="新宋体"/>
                <w:b/>
                <w:bCs/>
                <w:color w:val="auto"/>
                <w:sz w:val="22"/>
                <w:highlight w:val="none"/>
              </w:rPr>
            </w:pPr>
          </w:p>
        </w:tc>
      </w:tr>
      <w:tr w14:paraId="0AD5E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vAlign w:val="center"/>
          </w:tcPr>
          <w:p w14:paraId="78CEC37A">
            <w:pPr>
              <w:spacing w:line="460" w:lineRule="exact"/>
              <w:jc w:val="center"/>
              <w:rPr>
                <w:rFonts w:hint="eastAsia" w:ascii="新宋体" w:hAnsi="新宋体" w:eastAsia="新宋体" w:cs="新宋体"/>
                <w:b/>
                <w:bCs/>
                <w:color w:val="auto"/>
                <w:sz w:val="22"/>
                <w:highlight w:val="none"/>
              </w:rPr>
            </w:pPr>
          </w:p>
        </w:tc>
        <w:tc>
          <w:tcPr>
            <w:tcW w:w="2192" w:type="dxa"/>
            <w:vAlign w:val="center"/>
          </w:tcPr>
          <w:p w14:paraId="7EF88F9A">
            <w:pPr>
              <w:spacing w:line="460" w:lineRule="exact"/>
              <w:jc w:val="center"/>
              <w:rPr>
                <w:rFonts w:hint="eastAsia" w:ascii="新宋体" w:hAnsi="新宋体" w:eastAsia="新宋体" w:cs="新宋体"/>
                <w:b/>
                <w:bCs/>
                <w:color w:val="auto"/>
                <w:sz w:val="22"/>
                <w:highlight w:val="none"/>
              </w:rPr>
            </w:pPr>
          </w:p>
        </w:tc>
        <w:tc>
          <w:tcPr>
            <w:tcW w:w="1636" w:type="dxa"/>
            <w:vAlign w:val="center"/>
          </w:tcPr>
          <w:p w14:paraId="779EE2BC">
            <w:pPr>
              <w:spacing w:line="460" w:lineRule="exact"/>
              <w:jc w:val="center"/>
              <w:rPr>
                <w:rFonts w:hint="eastAsia" w:ascii="新宋体" w:hAnsi="新宋体" w:eastAsia="新宋体" w:cs="新宋体"/>
                <w:b/>
                <w:bCs/>
                <w:color w:val="auto"/>
                <w:sz w:val="22"/>
                <w:highlight w:val="none"/>
              </w:rPr>
            </w:pPr>
          </w:p>
        </w:tc>
        <w:tc>
          <w:tcPr>
            <w:tcW w:w="1260" w:type="dxa"/>
            <w:vAlign w:val="center"/>
          </w:tcPr>
          <w:p w14:paraId="2856365A">
            <w:pPr>
              <w:spacing w:line="460" w:lineRule="exact"/>
              <w:jc w:val="center"/>
              <w:rPr>
                <w:rFonts w:hint="eastAsia" w:ascii="新宋体" w:hAnsi="新宋体" w:eastAsia="新宋体" w:cs="新宋体"/>
                <w:b/>
                <w:bCs/>
                <w:color w:val="auto"/>
                <w:sz w:val="22"/>
                <w:highlight w:val="none"/>
              </w:rPr>
            </w:pPr>
          </w:p>
        </w:tc>
        <w:tc>
          <w:tcPr>
            <w:tcW w:w="1587" w:type="dxa"/>
            <w:vAlign w:val="center"/>
          </w:tcPr>
          <w:p w14:paraId="4024682A">
            <w:pPr>
              <w:spacing w:line="460" w:lineRule="exact"/>
              <w:jc w:val="center"/>
              <w:rPr>
                <w:rFonts w:hint="eastAsia" w:ascii="新宋体" w:hAnsi="新宋体" w:eastAsia="新宋体" w:cs="新宋体"/>
                <w:b/>
                <w:bCs/>
                <w:color w:val="auto"/>
                <w:sz w:val="22"/>
                <w:highlight w:val="none"/>
              </w:rPr>
            </w:pPr>
          </w:p>
        </w:tc>
        <w:tc>
          <w:tcPr>
            <w:tcW w:w="2422" w:type="dxa"/>
            <w:vAlign w:val="center"/>
          </w:tcPr>
          <w:p w14:paraId="7A5A227E">
            <w:pPr>
              <w:spacing w:line="460" w:lineRule="exact"/>
              <w:jc w:val="center"/>
              <w:rPr>
                <w:rFonts w:hint="eastAsia" w:ascii="新宋体" w:hAnsi="新宋体" w:eastAsia="新宋体" w:cs="新宋体"/>
                <w:b/>
                <w:bCs/>
                <w:color w:val="auto"/>
                <w:sz w:val="22"/>
                <w:highlight w:val="none"/>
              </w:rPr>
            </w:pPr>
          </w:p>
        </w:tc>
      </w:tr>
      <w:tr w14:paraId="1CA13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vAlign w:val="center"/>
          </w:tcPr>
          <w:p w14:paraId="1800959D">
            <w:pPr>
              <w:spacing w:line="460" w:lineRule="exact"/>
              <w:jc w:val="center"/>
              <w:rPr>
                <w:rFonts w:hint="eastAsia" w:ascii="新宋体" w:hAnsi="新宋体" w:eastAsia="新宋体" w:cs="新宋体"/>
                <w:b/>
                <w:bCs/>
                <w:color w:val="auto"/>
                <w:sz w:val="22"/>
                <w:highlight w:val="none"/>
              </w:rPr>
            </w:pPr>
          </w:p>
        </w:tc>
        <w:tc>
          <w:tcPr>
            <w:tcW w:w="2192" w:type="dxa"/>
            <w:vAlign w:val="center"/>
          </w:tcPr>
          <w:p w14:paraId="6FC1B8A9">
            <w:pPr>
              <w:spacing w:line="460" w:lineRule="exact"/>
              <w:jc w:val="center"/>
              <w:rPr>
                <w:rFonts w:hint="eastAsia" w:ascii="新宋体" w:hAnsi="新宋体" w:eastAsia="新宋体" w:cs="新宋体"/>
                <w:b/>
                <w:bCs/>
                <w:color w:val="auto"/>
                <w:sz w:val="22"/>
                <w:highlight w:val="none"/>
              </w:rPr>
            </w:pPr>
          </w:p>
        </w:tc>
        <w:tc>
          <w:tcPr>
            <w:tcW w:w="1636" w:type="dxa"/>
            <w:vAlign w:val="center"/>
          </w:tcPr>
          <w:p w14:paraId="34C38B10">
            <w:pPr>
              <w:spacing w:line="460" w:lineRule="exact"/>
              <w:jc w:val="center"/>
              <w:rPr>
                <w:rFonts w:hint="eastAsia" w:ascii="新宋体" w:hAnsi="新宋体" w:eastAsia="新宋体" w:cs="新宋体"/>
                <w:b/>
                <w:bCs/>
                <w:color w:val="auto"/>
                <w:sz w:val="22"/>
                <w:highlight w:val="none"/>
              </w:rPr>
            </w:pPr>
          </w:p>
        </w:tc>
        <w:tc>
          <w:tcPr>
            <w:tcW w:w="1260" w:type="dxa"/>
            <w:vAlign w:val="center"/>
          </w:tcPr>
          <w:p w14:paraId="4F91BBD3">
            <w:pPr>
              <w:spacing w:line="460" w:lineRule="exact"/>
              <w:jc w:val="center"/>
              <w:rPr>
                <w:rFonts w:hint="eastAsia" w:ascii="新宋体" w:hAnsi="新宋体" w:eastAsia="新宋体" w:cs="新宋体"/>
                <w:b/>
                <w:bCs/>
                <w:color w:val="auto"/>
                <w:sz w:val="22"/>
                <w:highlight w:val="none"/>
              </w:rPr>
            </w:pPr>
          </w:p>
        </w:tc>
        <w:tc>
          <w:tcPr>
            <w:tcW w:w="1587" w:type="dxa"/>
            <w:vAlign w:val="center"/>
          </w:tcPr>
          <w:p w14:paraId="292AA6B2">
            <w:pPr>
              <w:spacing w:line="460" w:lineRule="exact"/>
              <w:jc w:val="center"/>
              <w:rPr>
                <w:rFonts w:hint="eastAsia" w:ascii="新宋体" w:hAnsi="新宋体" w:eastAsia="新宋体" w:cs="新宋体"/>
                <w:b/>
                <w:bCs/>
                <w:color w:val="auto"/>
                <w:sz w:val="22"/>
                <w:highlight w:val="none"/>
              </w:rPr>
            </w:pPr>
          </w:p>
        </w:tc>
        <w:tc>
          <w:tcPr>
            <w:tcW w:w="2422" w:type="dxa"/>
            <w:vAlign w:val="center"/>
          </w:tcPr>
          <w:p w14:paraId="56CCF6BC">
            <w:pPr>
              <w:spacing w:line="460" w:lineRule="exact"/>
              <w:jc w:val="center"/>
              <w:rPr>
                <w:rFonts w:hint="eastAsia" w:ascii="新宋体" w:hAnsi="新宋体" w:eastAsia="新宋体" w:cs="新宋体"/>
                <w:b/>
                <w:bCs/>
                <w:color w:val="auto"/>
                <w:sz w:val="22"/>
                <w:highlight w:val="none"/>
              </w:rPr>
            </w:pPr>
          </w:p>
        </w:tc>
      </w:tr>
      <w:tr w14:paraId="5E089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vAlign w:val="center"/>
          </w:tcPr>
          <w:p w14:paraId="3B7762F3">
            <w:pPr>
              <w:spacing w:line="460" w:lineRule="exact"/>
              <w:jc w:val="center"/>
              <w:rPr>
                <w:rFonts w:hint="eastAsia" w:ascii="新宋体" w:hAnsi="新宋体" w:eastAsia="新宋体" w:cs="新宋体"/>
                <w:b/>
                <w:bCs/>
                <w:color w:val="auto"/>
                <w:sz w:val="22"/>
                <w:highlight w:val="none"/>
              </w:rPr>
            </w:pPr>
          </w:p>
        </w:tc>
        <w:tc>
          <w:tcPr>
            <w:tcW w:w="2192" w:type="dxa"/>
            <w:vAlign w:val="center"/>
          </w:tcPr>
          <w:p w14:paraId="1AC14F3A">
            <w:pPr>
              <w:spacing w:line="460" w:lineRule="exact"/>
              <w:jc w:val="center"/>
              <w:rPr>
                <w:rFonts w:hint="eastAsia" w:ascii="新宋体" w:hAnsi="新宋体" w:eastAsia="新宋体" w:cs="新宋体"/>
                <w:b/>
                <w:bCs/>
                <w:color w:val="auto"/>
                <w:sz w:val="22"/>
                <w:highlight w:val="none"/>
              </w:rPr>
            </w:pPr>
          </w:p>
        </w:tc>
        <w:tc>
          <w:tcPr>
            <w:tcW w:w="1636" w:type="dxa"/>
            <w:vAlign w:val="center"/>
          </w:tcPr>
          <w:p w14:paraId="5D856FEC">
            <w:pPr>
              <w:spacing w:line="460" w:lineRule="exact"/>
              <w:jc w:val="center"/>
              <w:rPr>
                <w:rFonts w:hint="eastAsia" w:ascii="新宋体" w:hAnsi="新宋体" w:eastAsia="新宋体" w:cs="新宋体"/>
                <w:b/>
                <w:bCs/>
                <w:color w:val="auto"/>
                <w:sz w:val="22"/>
                <w:highlight w:val="none"/>
              </w:rPr>
            </w:pPr>
          </w:p>
        </w:tc>
        <w:tc>
          <w:tcPr>
            <w:tcW w:w="1260" w:type="dxa"/>
            <w:vAlign w:val="center"/>
          </w:tcPr>
          <w:p w14:paraId="37FB55C4">
            <w:pPr>
              <w:spacing w:line="460" w:lineRule="exact"/>
              <w:jc w:val="center"/>
              <w:rPr>
                <w:rFonts w:hint="eastAsia" w:ascii="新宋体" w:hAnsi="新宋体" w:eastAsia="新宋体" w:cs="新宋体"/>
                <w:b/>
                <w:bCs/>
                <w:color w:val="auto"/>
                <w:sz w:val="22"/>
                <w:highlight w:val="none"/>
              </w:rPr>
            </w:pPr>
          </w:p>
        </w:tc>
        <w:tc>
          <w:tcPr>
            <w:tcW w:w="1587" w:type="dxa"/>
            <w:vAlign w:val="center"/>
          </w:tcPr>
          <w:p w14:paraId="7EB83E9F">
            <w:pPr>
              <w:spacing w:line="460" w:lineRule="exact"/>
              <w:jc w:val="center"/>
              <w:rPr>
                <w:rFonts w:hint="eastAsia" w:ascii="新宋体" w:hAnsi="新宋体" w:eastAsia="新宋体" w:cs="新宋体"/>
                <w:b/>
                <w:bCs/>
                <w:color w:val="auto"/>
                <w:sz w:val="22"/>
                <w:highlight w:val="none"/>
              </w:rPr>
            </w:pPr>
          </w:p>
        </w:tc>
        <w:tc>
          <w:tcPr>
            <w:tcW w:w="2422" w:type="dxa"/>
            <w:vAlign w:val="center"/>
          </w:tcPr>
          <w:p w14:paraId="5BABEB70">
            <w:pPr>
              <w:spacing w:line="460" w:lineRule="exact"/>
              <w:jc w:val="center"/>
              <w:rPr>
                <w:rFonts w:hint="eastAsia" w:ascii="新宋体" w:hAnsi="新宋体" w:eastAsia="新宋体" w:cs="新宋体"/>
                <w:b/>
                <w:bCs/>
                <w:color w:val="auto"/>
                <w:sz w:val="22"/>
                <w:highlight w:val="none"/>
              </w:rPr>
            </w:pPr>
          </w:p>
        </w:tc>
      </w:tr>
      <w:tr w14:paraId="0F43E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vAlign w:val="center"/>
          </w:tcPr>
          <w:p w14:paraId="41AF8BD7">
            <w:pPr>
              <w:spacing w:line="460" w:lineRule="exact"/>
              <w:jc w:val="center"/>
              <w:rPr>
                <w:rFonts w:hint="eastAsia" w:ascii="新宋体" w:hAnsi="新宋体" w:eastAsia="新宋体" w:cs="新宋体"/>
                <w:b/>
                <w:bCs/>
                <w:color w:val="auto"/>
                <w:sz w:val="22"/>
                <w:highlight w:val="none"/>
              </w:rPr>
            </w:pPr>
          </w:p>
        </w:tc>
        <w:tc>
          <w:tcPr>
            <w:tcW w:w="2192" w:type="dxa"/>
            <w:vAlign w:val="center"/>
          </w:tcPr>
          <w:p w14:paraId="5A41FFB6">
            <w:pPr>
              <w:spacing w:line="460" w:lineRule="exact"/>
              <w:jc w:val="center"/>
              <w:rPr>
                <w:rFonts w:hint="eastAsia" w:ascii="新宋体" w:hAnsi="新宋体" w:eastAsia="新宋体" w:cs="新宋体"/>
                <w:b/>
                <w:bCs/>
                <w:color w:val="auto"/>
                <w:sz w:val="22"/>
                <w:highlight w:val="none"/>
              </w:rPr>
            </w:pPr>
          </w:p>
        </w:tc>
        <w:tc>
          <w:tcPr>
            <w:tcW w:w="1636" w:type="dxa"/>
            <w:vAlign w:val="center"/>
          </w:tcPr>
          <w:p w14:paraId="1E83FF62">
            <w:pPr>
              <w:spacing w:line="460" w:lineRule="exact"/>
              <w:jc w:val="center"/>
              <w:rPr>
                <w:rFonts w:hint="eastAsia" w:ascii="新宋体" w:hAnsi="新宋体" w:eastAsia="新宋体" w:cs="新宋体"/>
                <w:b/>
                <w:bCs/>
                <w:color w:val="auto"/>
                <w:sz w:val="22"/>
                <w:highlight w:val="none"/>
              </w:rPr>
            </w:pPr>
          </w:p>
        </w:tc>
        <w:tc>
          <w:tcPr>
            <w:tcW w:w="1260" w:type="dxa"/>
            <w:vAlign w:val="center"/>
          </w:tcPr>
          <w:p w14:paraId="6EB1451B">
            <w:pPr>
              <w:spacing w:line="460" w:lineRule="exact"/>
              <w:jc w:val="center"/>
              <w:rPr>
                <w:rFonts w:hint="eastAsia" w:ascii="新宋体" w:hAnsi="新宋体" w:eastAsia="新宋体" w:cs="新宋体"/>
                <w:b/>
                <w:bCs/>
                <w:color w:val="auto"/>
                <w:sz w:val="22"/>
                <w:highlight w:val="none"/>
              </w:rPr>
            </w:pPr>
          </w:p>
        </w:tc>
        <w:tc>
          <w:tcPr>
            <w:tcW w:w="1587" w:type="dxa"/>
            <w:vAlign w:val="center"/>
          </w:tcPr>
          <w:p w14:paraId="302FA80D">
            <w:pPr>
              <w:spacing w:line="460" w:lineRule="exact"/>
              <w:jc w:val="center"/>
              <w:rPr>
                <w:rFonts w:hint="eastAsia" w:ascii="新宋体" w:hAnsi="新宋体" w:eastAsia="新宋体" w:cs="新宋体"/>
                <w:b/>
                <w:bCs/>
                <w:color w:val="auto"/>
                <w:sz w:val="22"/>
                <w:highlight w:val="none"/>
              </w:rPr>
            </w:pPr>
          </w:p>
        </w:tc>
        <w:tc>
          <w:tcPr>
            <w:tcW w:w="2422" w:type="dxa"/>
            <w:vAlign w:val="center"/>
          </w:tcPr>
          <w:p w14:paraId="16B1E8A9">
            <w:pPr>
              <w:spacing w:line="460" w:lineRule="exact"/>
              <w:jc w:val="center"/>
              <w:rPr>
                <w:rFonts w:hint="eastAsia" w:ascii="新宋体" w:hAnsi="新宋体" w:eastAsia="新宋体" w:cs="新宋体"/>
                <w:b/>
                <w:bCs/>
                <w:color w:val="auto"/>
                <w:sz w:val="22"/>
                <w:highlight w:val="none"/>
              </w:rPr>
            </w:pPr>
          </w:p>
        </w:tc>
      </w:tr>
      <w:tr w14:paraId="4BADA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vAlign w:val="center"/>
          </w:tcPr>
          <w:p w14:paraId="28709ACE">
            <w:pPr>
              <w:spacing w:line="460" w:lineRule="exact"/>
              <w:jc w:val="center"/>
              <w:rPr>
                <w:rFonts w:hint="eastAsia" w:ascii="新宋体" w:hAnsi="新宋体" w:eastAsia="新宋体" w:cs="新宋体"/>
                <w:b/>
                <w:bCs/>
                <w:color w:val="auto"/>
                <w:sz w:val="22"/>
                <w:highlight w:val="none"/>
              </w:rPr>
            </w:pPr>
          </w:p>
        </w:tc>
        <w:tc>
          <w:tcPr>
            <w:tcW w:w="2192" w:type="dxa"/>
            <w:vAlign w:val="center"/>
          </w:tcPr>
          <w:p w14:paraId="32E840AC">
            <w:pPr>
              <w:spacing w:line="460" w:lineRule="exact"/>
              <w:jc w:val="center"/>
              <w:rPr>
                <w:rFonts w:hint="eastAsia" w:ascii="新宋体" w:hAnsi="新宋体" w:eastAsia="新宋体" w:cs="新宋体"/>
                <w:b/>
                <w:bCs/>
                <w:color w:val="auto"/>
                <w:sz w:val="22"/>
                <w:highlight w:val="none"/>
              </w:rPr>
            </w:pPr>
          </w:p>
        </w:tc>
        <w:tc>
          <w:tcPr>
            <w:tcW w:w="1636" w:type="dxa"/>
            <w:vAlign w:val="center"/>
          </w:tcPr>
          <w:p w14:paraId="069E75EC">
            <w:pPr>
              <w:spacing w:line="460" w:lineRule="exact"/>
              <w:jc w:val="center"/>
              <w:rPr>
                <w:rFonts w:hint="eastAsia" w:ascii="新宋体" w:hAnsi="新宋体" w:eastAsia="新宋体" w:cs="新宋体"/>
                <w:b/>
                <w:bCs/>
                <w:color w:val="auto"/>
                <w:sz w:val="22"/>
                <w:highlight w:val="none"/>
              </w:rPr>
            </w:pPr>
          </w:p>
        </w:tc>
        <w:tc>
          <w:tcPr>
            <w:tcW w:w="1260" w:type="dxa"/>
            <w:vAlign w:val="center"/>
          </w:tcPr>
          <w:p w14:paraId="63EDCCDB">
            <w:pPr>
              <w:spacing w:line="460" w:lineRule="exact"/>
              <w:jc w:val="center"/>
              <w:rPr>
                <w:rFonts w:hint="eastAsia" w:ascii="新宋体" w:hAnsi="新宋体" w:eastAsia="新宋体" w:cs="新宋体"/>
                <w:b/>
                <w:bCs/>
                <w:color w:val="auto"/>
                <w:sz w:val="22"/>
                <w:highlight w:val="none"/>
              </w:rPr>
            </w:pPr>
          </w:p>
        </w:tc>
        <w:tc>
          <w:tcPr>
            <w:tcW w:w="1587" w:type="dxa"/>
            <w:vAlign w:val="center"/>
          </w:tcPr>
          <w:p w14:paraId="52C3945A">
            <w:pPr>
              <w:spacing w:line="460" w:lineRule="exact"/>
              <w:jc w:val="center"/>
              <w:rPr>
                <w:rFonts w:hint="eastAsia" w:ascii="新宋体" w:hAnsi="新宋体" w:eastAsia="新宋体" w:cs="新宋体"/>
                <w:b/>
                <w:bCs/>
                <w:color w:val="auto"/>
                <w:sz w:val="22"/>
                <w:highlight w:val="none"/>
              </w:rPr>
            </w:pPr>
          </w:p>
        </w:tc>
        <w:tc>
          <w:tcPr>
            <w:tcW w:w="2422" w:type="dxa"/>
            <w:vAlign w:val="center"/>
          </w:tcPr>
          <w:p w14:paraId="43D291C9">
            <w:pPr>
              <w:spacing w:line="460" w:lineRule="exact"/>
              <w:jc w:val="center"/>
              <w:rPr>
                <w:rFonts w:hint="eastAsia" w:ascii="新宋体" w:hAnsi="新宋体" w:eastAsia="新宋体" w:cs="新宋体"/>
                <w:b/>
                <w:bCs/>
                <w:color w:val="auto"/>
                <w:sz w:val="22"/>
                <w:highlight w:val="none"/>
              </w:rPr>
            </w:pPr>
          </w:p>
        </w:tc>
      </w:tr>
      <w:tr w14:paraId="7FCF5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vAlign w:val="center"/>
          </w:tcPr>
          <w:p w14:paraId="7EC6D8C2">
            <w:pPr>
              <w:spacing w:line="460" w:lineRule="exact"/>
              <w:jc w:val="center"/>
              <w:rPr>
                <w:rFonts w:hint="eastAsia" w:ascii="新宋体" w:hAnsi="新宋体" w:eastAsia="新宋体" w:cs="新宋体"/>
                <w:b/>
                <w:bCs/>
                <w:color w:val="auto"/>
                <w:sz w:val="22"/>
                <w:highlight w:val="none"/>
              </w:rPr>
            </w:pPr>
          </w:p>
        </w:tc>
        <w:tc>
          <w:tcPr>
            <w:tcW w:w="2192" w:type="dxa"/>
            <w:vAlign w:val="center"/>
          </w:tcPr>
          <w:p w14:paraId="0FA8BC26">
            <w:pPr>
              <w:spacing w:line="460" w:lineRule="exact"/>
              <w:jc w:val="center"/>
              <w:rPr>
                <w:rFonts w:hint="eastAsia" w:ascii="新宋体" w:hAnsi="新宋体" w:eastAsia="新宋体" w:cs="新宋体"/>
                <w:b/>
                <w:bCs/>
                <w:color w:val="auto"/>
                <w:sz w:val="22"/>
                <w:highlight w:val="none"/>
              </w:rPr>
            </w:pPr>
          </w:p>
        </w:tc>
        <w:tc>
          <w:tcPr>
            <w:tcW w:w="1636" w:type="dxa"/>
            <w:vAlign w:val="center"/>
          </w:tcPr>
          <w:p w14:paraId="1B6CC9B3">
            <w:pPr>
              <w:spacing w:line="460" w:lineRule="exact"/>
              <w:jc w:val="center"/>
              <w:rPr>
                <w:rFonts w:hint="eastAsia" w:ascii="新宋体" w:hAnsi="新宋体" w:eastAsia="新宋体" w:cs="新宋体"/>
                <w:b/>
                <w:bCs/>
                <w:color w:val="auto"/>
                <w:sz w:val="22"/>
                <w:highlight w:val="none"/>
              </w:rPr>
            </w:pPr>
          </w:p>
        </w:tc>
        <w:tc>
          <w:tcPr>
            <w:tcW w:w="1260" w:type="dxa"/>
            <w:vAlign w:val="center"/>
          </w:tcPr>
          <w:p w14:paraId="7D48C18A">
            <w:pPr>
              <w:spacing w:line="460" w:lineRule="exact"/>
              <w:jc w:val="center"/>
              <w:rPr>
                <w:rFonts w:hint="eastAsia" w:ascii="新宋体" w:hAnsi="新宋体" w:eastAsia="新宋体" w:cs="新宋体"/>
                <w:b/>
                <w:bCs/>
                <w:color w:val="auto"/>
                <w:sz w:val="22"/>
                <w:highlight w:val="none"/>
              </w:rPr>
            </w:pPr>
          </w:p>
        </w:tc>
        <w:tc>
          <w:tcPr>
            <w:tcW w:w="1587" w:type="dxa"/>
            <w:vAlign w:val="center"/>
          </w:tcPr>
          <w:p w14:paraId="23732846">
            <w:pPr>
              <w:spacing w:line="460" w:lineRule="exact"/>
              <w:jc w:val="center"/>
              <w:rPr>
                <w:rFonts w:hint="eastAsia" w:ascii="新宋体" w:hAnsi="新宋体" w:eastAsia="新宋体" w:cs="新宋体"/>
                <w:b/>
                <w:bCs/>
                <w:color w:val="auto"/>
                <w:sz w:val="22"/>
                <w:highlight w:val="none"/>
              </w:rPr>
            </w:pPr>
          </w:p>
        </w:tc>
        <w:tc>
          <w:tcPr>
            <w:tcW w:w="2422" w:type="dxa"/>
            <w:vAlign w:val="center"/>
          </w:tcPr>
          <w:p w14:paraId="39DAAD1B">
            <w:pPr>
              <w:spacing w:line="460" w:lineRule="exact"/>
              <w:jc w:val="center"/>
              <w:rPr>
                <w:rFonts w:hint="eastAsia" w:ascii="新宋体" w:hAnsi="新宋体" w:eastAsia="新宋体" w:cs="新宋体"/>
                <w:b/>
                <w:bCs/>
                <w:color w:val="auto"/>
                <w:sz w:val="22"/>
                <w:highlight w:val="none"/>
              </w:rPr>
            </w:pPr>
          </w:p>
        </w:tc>
      </w:tr>
      <w:tr w14:paraId="7C42F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vAlign w:val="center"/>
          </w:tcPr>
          <w:p w14:paraId="47018E63">
            <w:pPr>
              <w:spacing w:line="460" w:lineRule="exact"/>
              <w:jc w:val="center"/>
              <w:rPr>
                <w:rFonts w:hint="eastAsia" w:ascii="新宋体" w:hAnsi="新宋体" w:eastAsia="新宋体" w:cs="新宋体"/>
                <w:b/>
                <w:bCs/>
                <w:color w:val="auto"/>
                <w:sz w:val="22"/>
                <w:highlight w:val="none"/>
              </w:rPr>
            </w:pPr>
          </w:p>
        </w:tc>
        <w:tc>
          <w:tcPr>
            <w:tcW w:w="2192" w:type="dxa"/>
            <w:vAlign w:val="center"/>
          </w:tcPr>
          <w:p w14:paraId="260B9EAD">
            <w:pPr>
              <w:spacing w:line="460" w:lineRule="exact"/>
              <w:jc w:val="center"/>
              <w:rPr>
                <w:rFonts w:hint="eastAsia" w:ascii="新宋体" w:hAnsi="新宋体" w:eastAsia="新宋体" w:cs="新宋体"/>
                <w:b/>
                <w:bCs/>
                <w:color w:val="auto"/>
                <w:sz w:val="22"/>
                <w:highlight w:val="none"/>
              </w:rPr>
            </w:pPr>
          </w:p>
        </w:tc>
        <w:tc>
          <w:tcPr>
            <w:tcW w:w="1636" w:type="dxa"/>
            <w:vAlign w:val="center"/>
          </w:tcPr>
          <w:p w14:paraId="3D0096CA">
            <w:pPr>
              <w:spacing w:line="460" w:lineRule="exact"/>
              <w:jc w:val="center"/>
              <w:rPr>
                <w:rFonts w:hint="eastAsia" w:ascii="新宋体" w:hAnsi="新宋体" w:eastAsia="新宋体" w:cs="新宋体"/>
                <w:b/>
                <w:bCs/>
                <w:color w:val="auto"/>
                <w:sz w:val="22"/>
                <w:highlight w:val="none"/>
              </w:rPr>
            </w:pPr>
          </w:p>
        </w:tc>
        <w:tc>
          <w:tcPr>
            <w:tcW w:w="1260" w:type="dxa"/>
            <w:vAlign w:val="center"/>
          </w:tcPr>
          <w:p w14:paraId="2B5FCEC2">
            <w:pPr>
              <w:spacing w:line="460" w:lineRule="exact"/>
              <w:jc w:val="center"/>
              <w:rPr>
                <w:rFonts w:hint="eastAsia" w:ascii="新宋体" w:hAnsi="新宋体" w:eastAsia="新宋体" w:cs="新宋体"/>
                <w:b/>
                <w:bCs/>
                <w:color w:val="auto"/>
                <w:sz w:val="22"/>
                <w:highlight w:val="none"/>
              </w:rPr>
            </w:pPr>
          </w:p>
        </w:tc>
        <w:tc>
          <w:tcPr>
            <w:tcW w:w="1587" w:type="dxa"/>
            <w:vAlign w:val="center"/>
          </w:tcPr>
          <w:p w14:paraId="000A2A0B">
            <w:pPr>
              <w:spacing w:line="460" w:lineRule="exact"/>
              <w:jc w:val="center"/>
              <w:rPr>
                <w:rFonts w:hint="eastAsia" w:ascii="新宋体" w:hAnsi="新宋体" w:eastAsia="新宋体" w:cs="新宋体"/>
                <w:b/>
                <w:bCs/>
                <w:color w:val="auto"/>
                <w:sz w:val="22"/>
                <w:highlight w:val="none"/>
              </w:rPr>
            </w:pPr>
          </w:p>
        </w:tc>
        <w:tc>
          <w:tcPr>
            <w:tcW w:w="2422" w:type="dxa"/>
            <w:vAlign w:val="center"/>
          </w:tcPr>
          <w:p w14:paraId="2B6068C7">
            <w:pPr>
              <w:spacing w:line="460" w:lineRule="exact"/>
              <w:jc w:val="center"/>
              <w:rPr>
                <w:rFonts w:hint="eastAsia" w:ascii="新宋体" w:hAnsi="新宋体" w:eastAsia="新宋体" w:cs="新宋体"/>
                <w:b/>
                <w:bCs/>
                <w:color w:val="auto"/>
                <w:sz w:val="22"/>
                <w:highlight w:val="none"/>
              </w:rPr>
            </w:pPr>
          </w:p>
        </w:tc>
      </w:tr>
    </w:tbl>
    <w:p w14:paraId="02E3A4F7">
      <w:pPr>
        <w:spacing w:line="4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注：</w:t>
      </w:r>
    </w:p>
    <w:p w14:paraId="00DC85F1">
      <w:pPr>
        <w:spacing w:line="4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1.此表仅提供了表格形式，投标供应商应根据需要准备足够数量的表格来填写。</w:t>
      </w:r>
    </w:p>
    <w:p w14:paraId="74CB1396">
      <w:pPr>
        <w:spacing w:line="4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2.每项业绩须根据商务技术文件评分细则的要求提供证明材料； </w:t>
      </w:r>
    </w:p>
    <w:p w14:paraId="3C88C615">
      <w:pPr>
        <w:spacing w:line="40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3.投标供应商</w:t>
      </w:r>
      <w:r>
        <w:rPr>
          <w:rFonts w:hint="eastAsia" w:ascii="新宋体" w:hAnsi="新宋体" w:eastAsia="新宋体" w:cs="新宋体"/>
          <w:color w:val="auto"/>
          <w:sz w:val="22"/>
          <w:szCs w:val="22"/>
          <w:highlight w:val="none"/>
          <w:lang w:val="en-US" w:eastAsia="zh-CN"/>
        </w:rPr>
        <w:t>未提供本表</w:t>
      </w:r>
      <w:r>
        <w:rPr>
          <w:rFonts w:hint="eastAsia" w:ascii="新宋体" w:hAnsi="新宋体" w:eastAsia="新宋体" w:cs="新宋体"/>
          <w:color w:val="auto"/>
          <w:sz w:val="22"/>
          <w:szCs w:val="22"/>
          <w:highlight w:val="none"/>
        </w:rPr>
        <w:t>或未按要求提供业绩证明材料将视为无业绩，不纳入评分范围。</w:t>
      </w:r>
    </w:p>
    <w:p w14:paraId="3F0FBD14">
      <w:pPr>
        <w:spacing w:line="400" w:lineRule="exact"/>
        <w:ind w:left="180"/>
        <w:rPr>
          <w:rFonts w:hint="eastAsia" w:ascii="新宋体" w:hAnsi="新宋体" w:eastAsia="新宋体" w:cs="新宋体"/>
          <w:b/>
          <w:color w:val="auto"/>
          <w:sz w:val="22"/>
          <w:szCs w:val="22"/>
          <w:highlight w:val="none"/>
        </w:rPr>
      </w:pPr>
    </w:p>
    <w:p w14:paraId="18EACC54">
      <w:pPr>
        <w:tabs>
          <w:tab w:val="left" w:pos="840"/>
          <w:tab w:val="left" w:pos="5400"/>
        </w:tabs>
        <w:adjustRightInd w:val="0"/>
        <w:snapToGrid w:val="0"/>
        <w:spacing w:line="400" w:lineRule="exact"/>
        <w:ind w:left="420" w:leftChars="200" w:firstLine="4620" w:firstLineChars="2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投标供应商全称（盖章）：</w:t>
      </w:r>
    </w:p>
    <w:p w14:paraId="71DE363B">
      <w:pPr>
        <w:tabs>
          <w:tab w:val="left" w:pos="840"/>
          <w:tab w:val="left" w:pos="5400"/>
        </w:tabs>
        <w:adjustRightInd w:val="0"/>
        <w:snapToGrid w:val="0"/>
        <w:spacing w:line="400" w:lineRule="exact"/>
        <w:ind w:firstLine="2640" w:firstLineChars="1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法定代表人（负责人）</w:t>
      </w:r>
      <w:r>
        <w:rPr>
          <w:rFonts w:hint="eastAsia" w:ascii="新宋体" w:hAnsi="新宋体" w:eastAsia="新宋体" w:cs="新宋体"/>
          <w:color w:val="auto"/>
          <w:sz w:val="22"/>
          <w:szCs w:val="22"/>
          <w:highlight w:val="none"/>
        </w:rPr>
        <w:t>或授权代表（签字或盖章）：</w:t>
      </w:r>
    </w:p>
    <w:p w14:paraId="345A58A1">
      <w:pPr>
        <w:tabs>
          <w:tab w:val="left" w:pos="840"/>
          <w:tab w:val="left" w:pos="5400"/>
        </w:tabs>
        <w:adjustRightInd w:val="0"/>
        <w:snapToGrid w:val="0"/>
        <w:spacing w:line="400" w:lineRule="exact"/>
        <w:ind w:left="420" w:leftChars="200" w:firstLine="4620" w:firstLineChars="21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14:paraId="741AE752">
      <w:pPr>
        <w:tabs>
          <w:tab w:val="left" w:pos="840"/>
        </w:tabs>
        <w:adjustRightInd w:val="0"/>
        <w:snapToGrid w:val="0"/>
        <w:spacing w:line="360" w:lineRule="auto"/>
        <w:ind w:left="18" w:hanging="18" w:hangingChars="8"/>
        <w:jc w:val="left"/>
        <w:rPr>
          <w:rFonts w:hint="eastAsia" w:ascii="新宋体" w:hAnsi="新宋体" w:eastAsia="新宋体" w:cs="新宋体"/>
          <w:b/>
          <w:bCs/>
          <w:color w:val="auto"/>
          <w:sz w:val="22"/>
          <w:szCs w:val="22"/>
          <w:highlight w:val="none"/>
        </w:rPr>
      </w:pPr>
    </w:p>
    <w:p w14:paraId="264EB302">
      <w:pPr>
        <w:tabs>
          <w:tab w:val="left" w:pos="840"/>
        </w:tabs>
        <w:adjustRightInd w:val="0"/>
        <w:snapToGrid w:val="0"/>
        <w:spacing w:line="360" w:lineRule="auto"/>
        <w:ind w:left="18" w:hanging="18" w:hangingChars="8"/>
        <w:jc w:val="left"/>
        <w:rPr>
          <w:rFonts w:hint="eastAsia" w:ascii="新宋体" w:hAnsi="新宋体" w:eastAsia="新宋体" w:cs="新宋体"/>
          <w:b/>
          <w:bCs/>
          <w:color w:val="auto"/>
          <w:sz w:val="22"/>
          <w:szCs w:val="22"/>
          <w:highlight w:val="none"/>
        </w:rPr>
      </w:pPr>
    </w:p>
    <w:p w14:paraId="0F587BFB">
      <w:pPr>
        <w:tabs>
          <w:tab w:val="left" w:pos="840"/>
        </w:tabs>
        <w:adjustRightInd w:val="0"/>
        <w:snapToGrid w:val="0"/>
        <w:spacing w:line="360" w:lineRule="auto"/>
        <w:ind w:left="18" w:hanging="18" w:hangingChars="8"/>
        <w:jc w:val="left"/>
        <w:rPr>
          <w:rFonts w:hint="eastAsia" w:ascii="新宋体" w:hAnsi="新宋体" w:eastAsia="新宋体" w:cs="新宋体"/>
          <w:b/>
          <w:bCs/>
          <w:color w:val="auto"/>
          <w:sz w:val="22"/>
          <w:szCs w:val="22"/>
          <w:highlight w:val="none"/>
        </w:rPr>
      </w:pPr>
    </w:p>
    <w:p w14:paraId="02E5D20D">
      <w:pPr>
        <w:tabs>
          <w:tab w:val="left" w:pos="840"/>
        </w:tabs>
        <w:adjustRightInd w:val="0"/>
        <w:snapToGrid w:val="0"/>
        <w:spacing w:line="360" w:lineRule="auto"/>
        <w:ind w:left="18" w:hanging="18" w:hangingChars="8"/>
        <w:jc w:val="left"/>
        <w:rPr>
          <w:rFonts w:hint="eastAsia" w:ascii="新宋体" w:hAnsi="新宋体" w:eastAsia="新宋体" w:cs="新宋体"/>
          <w:b/>
          <w:bCs/>
          <w:color w:val="auto"/>
          <w:sz w:val="22"/>
          <w:szCs w:val="22"/>
          <w:highlight w:val="none"/>
        </w:rPr>
      </w:pPr>
    </w:p>
    <w:p w14:paraId="62EF3C03">
      <w:pPr>
        <w:tabs>
          <w:tab w:val="left" w:pos="840"/>
        </w:tabs>
        <w:adjustRightInd w:val="0"/>
        <w:snapToGrid w:val="0"/>
        <w:spacing w:line="360" w:lineRule="auto"/>
        <w:ind w:left="18" w:hanging="18" w:hangingChars="8"/>
        <w:jc w:val="left"/>
        <w:rPr>
          <w:rFonts w:hint="eastAsia" w:ascii="新宋体" w:hAnsi="新宋体" w:eastAsia="新宋体" w:cs="新宋体"/>
          <w:b/>
          <w:bCs/>
          <w:color w:val="auto"/>
          <w:sz w:val="22"/>
          <w:szCs w:val="22"/>
          <w:highlight w:val="none"/>
        </w:rPr>
      </w:pPr>
    </w:p>
    <w:p w14:paraId="0F07B7A1">
      <w:pPr>
        <w:tabs>
          <w:tab w:val="left" w:pos="840"/>
        </w:tabs>
        <w:adjustRightInd w:val="0"/>
        <w:snapToGrid w:val="0"/>
        <w:spacing w:line="360" w:lineRule="auto"/>
        <w:ind w:left="18" w:hanging="18" w:hangingChars="8"/>
        <w:jc w:val="left"/>
        <w:rPr>
          <w:rFonts w:hint="eastAsia" w:ascii="新宋体" w:hAnsi="新宋体" w:eastAsia="新宋体" w:cs="新宋体"/>
          <w:b/>
          <w:bCs/>
          <w:color w:val="auto"/>
          <w:sz w:val="22"/>
          <w:szCs w:val="22"/>
          <w:highlight w:val="none"/>
        </w:rPr>
      </w:pPr>
    </w:p>
    <w:p w14:paraId="5970431B">
      <w:pPr>
        <w:rPr>
          <w:rFonts w:hint="eastAsia" w:ascii="新宋体" w:hAnsi="新宋体" w:eastAsia="新宋体" w:cs="新宋体"/>
          <w:b/>
          <w:bCs/>
          <w:color w:val="auto"/>
          <w:sz w:val="22"/>
          <w:szCs w:val="22"/>
          <w:highlight w:val="none"/>
        </w:rPr>
      </w:pPr>
    </w:p>
    <w:p w14:paraId="7B488E5E">
      <w:pPr>
        <w:adjustRightInd/>
        <w:snapToGrid/>
        <w:spacing w:line="240" w:lineRule="auto"/>
        <w:ind w:left="0" w:firstLine="0" w:firstLineChars="0"/>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p>
    <w:p w14:paraId="1C7BF4EE">
      <w:pPr>
        <w:tabs>
          <w:tab w:val="left" w:pos="840"/>
        </w:tabs>
        <w:adjustRightInd w:val="0"/>
        <w:snapToGrid w:val="0"/>
        <w:spacing w:line="360" w:lineRule="auto"/>
        <w:ind w:left="18" w:hanging="18" w:hangingChars="8"/>
        <w:jc w:val="left"/>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附件</w:t>
      </w:r>
      <w:r>
        <w:rPr>
          <w:rFonts w:hint="eastAsia" w:ascii="新宋体" w:hAnsi="新宋体" w:eastAsia="新宋体" w:cs="新宋体"/>
          <w:b/>
          <w:bCs/>
          <w:color w:val="auto"/>
          <w:sz w:val="22"/>
          <w:szCs w:val="22"/>
          <w:highlight w:val="none"/>
          <w:lang w:val="en-US" w:eastAsia="zh-CN"/>
        </w:rPr>
        <w:t>六：</w:t>
      </w:r>
    </w:p>
    <w:p w14:paraId="20E54CB2">
      <w:pPr>
        <w:tabs>
          <w:tab w:val="left" w:pos="840"/>
        </w:tabs>
        <w:adjustRightInd w:val="0"/>
        <w:snapToGrid w:val="0"/>
        <w:spacing w:line="360" w:lineRule="auto"/>
        <w:ind w:left="22" w:hanging="22" w:hangingChars="8"/>
        <w:jc w:val="center"/>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lang w:val="en-US" w:eastAsia="zh-CN"/>
        </w:rPr>
        <w:t>投标</w:t>
      </w:r>
      <w:r>
        <w:rPr>
          <w:rFonts w:hint="eastAsia" w:ascii="新宋体" w:hAnsi="新宋体" w:eastAsia="新宋体" w:cs="新宋体"/>
          <w:b/>
          <w:bCs/>
          <w:color w:val="auto"/>
          <w:sz w:val="28"/>
          <w:szCs w:val="28"/>
          <w:highlight w:val="none"/>
        </w:rPr>
        <w:t>供应商为完成本项目组建的工作小组名单</w:t>
      </w:r>
    </w:p>
    <w:p w14:paraId="15CBBD51">
      <w:pPr>
        <w:pStyle w:val="14"/>
        <w:spacing w:line="400" w:lineRule="atLeast"/>
        <w:ind w:left="17" w:hanging="17" w:hangingChars="6"/>
        <w:jc w:val="center"/>
        <w:rPr>
          <w:rFonts w:hint="eastAsia" w:ascii="新宋体" w:hAnsi="新宋体" w:eastAsia="新宋体" w:cs="新宋体"/>
          <w:b/>
          <w:color w:val="auto"/>
          <w:sz w:val="28"/>
          <w:highlight w:val="none"/>
        </w:rPr>
      </w:pPr>
      <w:r>
        <w:rPr>
          <w:rFonts w:hint="eastAsia" w:ascii="新宋体" w:hAnsi="新宋体" w:eastAsia="新宋体" w:cs="新宋体"/>
          <w:b/>
          <w:color w:val="auto"/>
          <w:sz w:val="28"/>
          <w:highlight w:val="none"/>
        </w:rPr>
        <w:t>（1）项目负责人简历表</w:t>
      </w:r>
    </w:p>
    <w:p w14:paraId="693E89A5">
      <w:pPr>
        <w:pStyle w:val="14"/>
        <w:spacing w:line="400" w:lineRule="atLeast"/>
        <w:ind w:left="663" w:hanging="663" w:hangingChars="300"/>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项目名称：                                            项目编号：</w:t>
      </w:r>
    </w:p>
    <w:tbl>
      <w:tblPr>
        <w:tblStyle w:val="31"/>
        <w:tblW w:w="0" w:type="auto"/>
        <w:jc w:val="center"/>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1018"/>
        <w:gridCol w:w="439"/>
        <w:gridCol w:w="1799"/>
        <w:gridCol w:w="1189"/>
        <w:gridCol w:w="378"/>
        <w:gridCol w:w="1062"/>
        <w:gridCol w:w="2074"/>
        <w:gridCol w:w="1568"/>
      </w:tblGrid>
      <w:tr w14:paraId="7CBA955D">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cantSplit/>
          <w:trHeight w:val="756" w:hRule="atLeast"/>
          <w:jc w:val="center"/>
        </w:trPr>
        <w:tc>
          <w:tcPr>
            <w:tcW w:w="9527" w:type="dxa"/>
            <w:gridSpan w:val="8"/>
            <w:tcBorders>
              <w:bottom w:val="single" w:color="auto" w:sz="4" w:space="0"/>
            </w:tcBorders>
            <w:vAlign w:val="center"/>
          </w:tcPr>
          <w:p w14:paraId="6395FCF9">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1、一般情况</w:t>
            </w:r>
          </w:p>
        </w:tc>
      </w:tr>
      <w:tr w14:paraId="24DBE185">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cantSplit/>
          <w:trHeight w:val="740" w:hRule="exact"/>
          <w:jc w:val="center"/>
        </w:trPr>
        <w:tc>
          <w:tcPr>
            <w:tcW w:w="1457" w:type="dxa"/>
            <w:gridSpan w:val="2"/>
            <w:tcBorders>
              <w:top w:val="single" w:color="auto" w:sz="4" w:space="0"/>
              <w:bottom w:val="single" w:color="auto" w:sz="4" w:space="0"/>
            </w:tcBorders>
            <w:vAlign w:val="center"/>
          </w:tcPr>
          <w:p w14:paraId="0AD6F1C5">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姓名</w:t>
            </w:r>
          </w:p>
        </w:tc>
        <w:tc>
          <w:tcPr>
            <w:tcW w:w="1799" w:type="dxa"/>
            <w:tcBorders>
              <w:top w:val="single" w:color="auto" w:sz="4" w:space="0"/>
              <w:bottom w:val="single" w:color="auto" w:sz="4" w:space="0"/>
            </w:tcBorders>
            <w:vAlign w:val="center"/>
          </w:tcPr>
          <w:p w14:paraId="7A6C3DDC">
            <w:pPr>
              <w:spacing w:line="360" w:lineRule="exact"/>
              <w:jc w:val="center"/>
              <w:rPr>
                <w:rFonts w:hint="eastAsia" w:ascii="新宋体" w:hAnsi="新宋体" w:eastAsia="新宋体" w:cs="新宋体"/>
                <w:color w:val="auto"/>
                <w:sz w:val="22"/>
                <w:szCs w:val="22"/>
                <w:highlight w:val="none"/>
              </w:rPr>
            </w:pPr>
          </w:p>
        </w:tc>
        <w:tc>
          <w:tcPr>
            <w:tcW w:w="1567" w:type="dxa"/>
            <w:gridSpan w:val="2"/>
            <w:tcBorders>
              <w:top w:val="single" w:color="auto" w:sz="4" w:space="0"/>
              <w:bottom w:val="single" w:color="auto" w:sz="4" w:space="0"/>
            </w:tcBorders>
            <w:vAlign w:val="center"/>
          </w:tcPr>
          <w:p w14:paraId="22465DE3">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年龄</w:t>
            </w:r>
          </w:p>
        </w:tc>
        <w:tc>
          <w:tcPr>
            <w:tcW w:w="1062" w:type="dxa"/>
            <w:tcBorders>
              <w:top w:val="single" w:color="auto" w:sz="4" w:space="0"/>
              <w:bottom w:val="single" w:color="auto" w:sz="4" w:space="0"/>
            </w:tcBorders>
            <w:vAlign w:val="center"/>
          </w:tcPr>
          <w:p w14:paraId="6032685C">
            <w:pPr>
              <w:spacing w:line="360" w:lineRule="exact"/>
              <w:jc w:val="center"/>
              <w:rPr>
                <w:rFonts w:hint="eastAsia" w:ascii="新宋体" w:hAnsi="新宋体" w:eastAsia="新宋体" w:cs="新宋体"/>
                <w:color w:val="auto"/>
                <w:sz w:val="22"/>
                <w:szCs w:val="22"/>
                <w:highlight w:val="none"/>
              </w:rPr>
            </w:pPr>
          </w:p>
        </w:tc>
        <w:tc>
          <w:tcPr>
            <w:tcW w:w="2074" w:type="dxa"/>
            <w:tcBorders>
              <w:top w:val="single" w:color="auto" w:sz="4" w:space="0"/>
              <w:bottom w:val="single" w:color="auto" w:sz="4" w:space="0"/>
            </w:tcBorders>
            <w:vAlign w:val="center"/>
          </w:tcPr>
          <w:p w14:paraId="03D723C4">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学历</w:t>
            </w:r>
          </w:p>
        </w:tc>
        <w:tc>
          <w:tcPr>
            <w:tcW w:w="1568" w:type="dxa"/>
            <w:tcBorders>
              <w:top w:val="single" w:color="auto" w:sz="4" w:space="0"/>
              <w:bottom w:val="single" w:color="auto" w:sz="4" w:space="0"/>
            </w:tcBorders>
            <w:vAlign w:val="center"/>
          </w:tcPr>
          <w:p w14:paraId="764A0ECA">
            <w:pPr>
              <w:spacing w:line="360" w:lineRule="exact"/>
              <w:jc w:val="center"/>
              <w:rPr>
                <w:rFonts w:hint="eastAsia" w:ascii="新宋体" w:hAnsi="新宋体" w:eastAsia="新宋体" w:cs="新宋体"/>
                <w:color w:val="auto"/>
                <w:sz w:val="22"/>
                <w:szCs w:val="22"/>
                <w:highlight w:val="none"/>
              </w:rPr>
            </w:pPr>
          </w:p>
        </w:tc>
      </w:tr>
      <w:tr w14:paraId="35987040">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cantSplit/>
          <w:trHeight w:val="740" w:hRule="exact"/>
          <w:jc w:val="center"/>
        </w:trPr>
        <w:tc>
          <w:tcPr>
            <w:tcW w:w="1457" w:type="dxa"/>
            <w:gridSpan w:val="2"/>
            <w:tcBorders>
              <w:top w:val="single" w:color="auto" w:sz="4" w:space="0"/>
              <w:bottom w:val="single" w:color="auto" w:sz="4" w:space="0"/>
            </w:tcBorders>
            <w:vAlign w:val="center"/>
          </w:tcPr>
          <w:p w14:paraId="0038B10A">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毕业学校</w:t>
            </w:r>
          </w:p>
        </w:tc>
        <w:tc>
          <w:tcPr>
            <w:tcW w:w="1799" w:type="dxa"/>
            <w:tcBorders>
              <w:top w:val="single" w:color="auto" w:sz="4" w:space="0"/>
              <w:bottom w:val="single" w:color="auto" w:sz="4" w:space="0"/>
            </w:tcBorders>
            <w:vAlign w:val="center"/>
          </w:tcPr>
          <w:p w14:paraId="1FD27A08">
            <w:pPr>
              <w:spacing w:line="360" w:lineRule="exact"/>
              <w:rPr>
                <w:rFonts w:hint="eastAsia" w:ascii="新宋体" w:hAnsi="新宋体" w:eastAsia="新宋体" w:cs="新宋体"/>
                <w:color w:val="auto"/>
                <w:sz w:val="22"/>
                <w:szCs w:val="22"/>
                <w:highlight w:val="none"/>
              </w:rPr>
            </w:pPr>
          </w:p>
        </w:tc>
        <w:tc>
          <w:tcPr>
            <w:tcW w:w="1567" w:type="dxa"/>
            <w:gridSpan w:val="2"/>
            <w:tcBorders>
              <w:top w:val="single" w:color="auto" w:sz="4" w:space="0"/>
              <w:bottom w:val="single" w:color="auto" w:sz="4" w:space="0"/>
            </w:tcBorders>
            <w:vAlign w:val="center"/>
          </w:tcPr>
          <w:p w14:paraId="4DC0439A">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专业</w:t>
            </w:r>
          </w:p>
        </w:tc>
        <w:tc>
          <w:tcPr>
            <w:tcW w:w="1062" w:type="dxa"/>
            <w:tcBorders>
              <w:top w:val="single" w:color="auto" w:sz="4" w:space="0"/>
              <w:bottom w:val="single" w:color="auto" w:sz="4" w:space="0"/>
            </w:tcBorders>
            <w:vAlign w:val="center"/>
          </w:tcPr>
          <w:p w14:paraId="378E49A7">
            <w:pPr>
              <w:spacing w:line="360" w:lineRule="exact"/>
              <w:jc w:val="center"/>
              <w:rPr>
                <w:rFonts w:hint="eastAsia" w:ascii="新宋体" w:hAnsi="新宋体" w:eastAsia="新宋体" w:cs="新宋体"/>
                <w:color w:val="auto"/>
                <w:sz w:val="22"/>
                <w:szCs w:val="22"/>
                <w:highlight w:val="none"/>
              </w:rPr>
            </w:pPr>
          </w:p>
        </w:tc>
        <w:tc>
          <w:tcPr>
            <w:tcW w:w="2074" w:type="dxa"/>
            <w:tcBorders>
              <w:top w:val="single" w:color="auto" w:sz="4" w:space="0"/>
              <w:bottom w:val="single" w:color="auto" w:sz="4" w:space="0"/>
            </w:tcBorders>
            <w:vAlign w:val="center"/>
          </w:tcPr>
          <w:p w14:paraId="498EDFD1">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职务</w:t>
            </w:r>
          </w:p>
        </w:tc>
        <w:tc>
          <w:tcPr>
            <w:tcW w:w="1568" w:type="dxa"/>
            <w:tcBorders>
              <w:top w:val="single" w:color="auto" w:sz="4" w:space="0"/>
              <w:bottom w:val="single" w:color="auto" w:sz="4" w:space="0"/>
            </w:tcBorders>
            <w:vAlign w:val="center"/>
          </w:tcPr>
          <w:p w14:paraId="19C48F13">
            <w:pPr>
              <w:spacing w:line="360" w:lineRule="exact"/>
              <w:jc w:val="center"/>
              <w:rPr>
                <w:rFonts w:hint="eastAsia" w:ascii="新宋体" w:hAnsi="新宋体" w:eastAsia="新宋体" w:cs="新宋体"/>
                <w:color w:val="auto"/>
                <w:sz w:val="22"/>
                <w:szCs w:val="22"/>
                <w:highlight w:val="none"/>
              </w:rPr>
            </w:pPr>
          </w:p>
        </w:tc>
      </w:tr>
      <w:tr w14:paraId="3A03CB8E">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cantSplit/>
          <w:trHeight w:val="963" w:hRule="exact"/>
          <w:jc w:val="center"/>
        </w:trPr>
        <w:tc>
          <w:tcPr>
            <w:tcW w:w="1457" w:type="dxa"/>
            <w:gridSpan w:val="2"/>
            <w:tcBorders>
              <w:top w:val="single" w:color="auto" w:sz="4" w:space="0"/>
              <w:bottom w:val="single" w:color="auto" w:sz="4" w:space="0"/>
            </w:tcBorders>
            <w:vAlign w:val="center"/>
          </w:tcPr>
          <w:p w14:paraId="427A7A21">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职称</w:t>
            </w:r>
          </w:p>
        </w:tc>
        <w:tc>
          <w:tcPr>
            <w:tcW w:w="1799" w:type="dxa"/>
            <w:tcBorders>
              <w:top w:val="single" w:color="auto" w:sz="4" w:space="0"/>
              <w:bottom w:val="single" w:color="auto" w:sz="4" w:space="0"/>
            </w:tcBorders>
            <w:vAlign w:val="center"/>
          </w:tcPr>
          <w:p w14:paraId="5B20EC6F">
            <w:pPr>
              <w:spacing w:line="360" w:lineRule="exact"/>
              <w:rPr>
                <w:rFonts w:hint="eastAsia" w:ascii="新宋体" w:hAnsi="新宋体" w:eastAsia="新宋体" w:cs="新宋体"/>
                <w:color w:val="auto"/>
                <w:sz w:val="22"/>
                <w:szCs w:val="22"/>
                <w:highlight w:val="none"/>
              </w:rPr>
            </w:pPr>
          </w:p>
        </w:tc>
        <w:tc>
          <w:tcPr>
            <w:tcW w:w="1567" w:type="dxa"/>
            <w:gridSpan w:val="2"/>
            <w:tcBorders>
              <w:top w:val="single" w:color="auto" w:sz="4" w:space="0"/>
              <w:bottom w:val="single" w:color="auto" w:sz="4" w:space="0"/>
            </w:tcBorders>
            <w:vAlign w:val="center"/>
          </w:tcPr>
          <w:p w14:paraId="596565E1">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拟任何职</w:t>
            </w:r>
          </w:p>
        </w:tc>
        <w:tc>
          <w:tcPr>
            <w:tcW w:w="1062" w:type="dxa"/>
            <w:tcBorders>
              <w:top w:val="single" w:color="auto" w:sz="4" w:space="0"/>
              <w:bottom w:val="single" w:color="auto" w:sz="4" w:space="0"/>
            </w:tcBorders>
            <w:vAlign w:val="center"/>
          </w:tcPr>
          <w:p w14:paraId="709C0D4B">
            <w:pPr>
              <w:spacing w:line="360" w:lineRule="exact"/>
              <w:jc w:val="center"/>
              <w:rPr>
                <w:rFonts w:hint="eastAsia" w:ascii="新宋体" w:hAnsi="新宋体" w:eastAsia="新宋体" w:cs="新宋体"/>
                <w:color w:val="auto"/>
                <w:sz w:val="22"/>
                <w:szCs w:val="22"/>
                <w:highlight w:val="none"/>
              </w:rPr>
            </w:pPr>
          </w:p>
        </w:tc>
        <w:tc>
          <w:tcPr>
            <w:tcW w:w="2074" w:type="dxa"/>
            <w:tcBorders>
              <w:top w:val="single" w:color="auto" w:sz="4" w:space="0"/>
              <w:bottom w:val="single" w:color="auto" w:sz="4" w:space="0"/>
            </w:tcBorders>
            <w:vAlign w:val="center"/>
          </w:tcPr>
          <w:p w14:paraId="3CB8D502">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参加工作</w:t>
            </w:r>
          </w:p>
          <w:p w14:paraId="6FB2BA91">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时间</w:t>
            </w:r>
          </w:p>
        </w:tc>
        <w:tc>
          <w:tcPr>
            <w:tcW w:w="1568" w:type="dxa"/>
            <w:tcBorders>
              <w:top w:val="single" w:color="auto" w:sz="4" w:space="0"/>
              <w:bottom w:val="single" w:color="auto" w:sz="4" w:space="0"/>
            </w:tcBorders>
            <w:vAlign w:val="center"/>
          </w:tcPr>
          <w:p w14:paraId="2349E279">
            <w:pPr>
              <w:spacing w:line="360" w:lineRule="exact"/>
              <w:jc w:val="center"/>
              <w:rPr>
                <w:rFonts w:hint="eastAsia" w:ascii="新宋体" w:hAnsi="新宋体" w:eastAsia="新宋体" w:cs="新宋体"/>
                <w:color w:val="auto"/>
                <w:sz w:val="22"/>
                <w:szCs w:val="22"/>
                <w:highlight w:val="none"/>
              </w:rPr>
            </w:pPr>
          </w:p>
        </w:tc>
      </w:tr>
      <w:tr w14:paraId="1225072E">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cantSplit/>
          <w:trHeight w:val="740" w:hRule="exact"/>
          <w:jc w:val="center"/>
        </w:trPr>
        <w:tc>
          <w:tcPr>
            <w:tcW w:w="9527" w:type="dxa"/>
            <w:gridSpan w:val="8"/>
            <w:tcBorders>
              <w:top w:val="single" w:color="auto" w:sz="4" w:space="0"/>
              <w:bottom w:val="single" w:color="auto" w:sz="4" w:space="0"/>
            </w:tcBorders>
            <w:vAlign w:val="center"/>
          </w:tcPr>
          <w:p w14:paraId="2DEC07F6">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2、个人简历</w:t>
            </w:r>
          </w:p>
        </w:tc>
      </w:tr>
      <w:tr w14:paraId="385276CE">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cantSplit/>
          <w:trHeight w:val="740" w:hRule="exact"/>
          <w:jc w:val="center"/>
        </w:trPr>
        <w:tc>
          <w:tcPr>
            <w:tcW w:w="1457" w:type="dxa"/>
            <w:gridSpan w:val="2"/>
            <w:tcBorders>
              <w:top w:val="single" w:color="auto" w:sz="4" w:space="0"/>
              <w:bottom w:val="single" w:color="auto" w:sz="4" w:space="0"/>
            </w:tcBorders>
            <w:vAlign w:val="center"/>
          </w:tcPr>
          <w:p w14:paraId="4B8680BD">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时间</w:t>
            </w:r>
          </w:p>
        </w:tc>
        <w:tc>
          <w:tcPr>
            <w:tcW w:w="8070" w:type="dxa"/>
            <w:gridSpan w:val="6"/>
            <w:tcBorders>
              <w:top w:val="single" w:color="auto" w:sz="4" w:space="0"/>
              <w:bottom w:val="single" w:color="auto" w:sz="4" w:space="0"/>
            </w:tcBorders>
            <w:vAlign w:val="center"/>
          </w:tcPr>
          <w:p w14:paraId="3AF744E2">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专业工作经历</w:t>
            </w:r>
          </w:p>
        </w:tc>
      </w:tr>
      <w:tr w14:paraId="343E4F7B">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cantSplit/>
          <w:trHeight w:val="740" w:hRule="exact"/>
          <w:jc w:val="center"/>
        </w:trPr>
        <w:tc>
          <w:tcPr>
            <w:tcW w:w="1457" w:type="dxa"/>
            <w:gridSpan w:val="2"/>
            <w:tcBorders>
              <w:top w:val="single" w:color="auto" w:sz="4" w:space="0"/>
              <w:bottom w:val="single" w:color="auto" w:sz="4" w:space="0"/>
            </w:tcBorders>
            <w:vAlign w:val="center"/>
          </w:tcPr>
          <w:p w14:paraId="6CA8952B">
            <w:pPr>
              <w:spacing w:line="360" w:lineRule="exact"/>
              <w:rPr>
                <w:rFonts w:hint="eastAsia" w:ascii="新宋体" w:hAnsi="新宋体" w:eastAsia="新宋体" w:cs="新宋体"/>
                <w:color w:val="auto"/>
                <w:sz w:val="22"/>
                <w:szCs w:val="22"/>
                <w:highlight w:val="none"/>
              </w:rPr>
            </w:pPr>
          </w:p>
        </w:tc>
        <w:tc>
          <w:tcPr>
            <w:tcW w:w="8070" w:type="dxa"/>
            <w:gridSpan w:val="6"/>
            <w:tcBorders>
              <w:top w:val="single" w:color="auto" w:sz="4" w:space="0"/>
              <w:bottom w:val="single" w:color="auto" w:sz="4" w:space="0"/>
            </w:tcBorders>
            <w:vAlign w:val="center"/>
          </w:tcPr>
          <w:p w14:paraId="23015857">
            <w:pPr>
              <w:spacing w:line="360" w:lineRule="exact"/>
              <w:rPr>
                <w:rFonts w:hint="eastAsia" w:ascii="新宋体" w:hAnsi="新宋体" w:eastAsia="新宋体" w:cs="新宋体"/>
                <w:color w:val="auto"/>
                <w:sz w:val="22"/>
                <w:szCs w:val="22"/>
                <w:highlight w:val="none"/>
              </w:rPr>
            </w:pPr>
          </w:p>
        </w:tc>
      </w:tr>
      <w:tr w14:paraId="0C4E899B">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cantSplit/>
          <w:trHeight w:val="740" w:hRule="exact"/>
          <w:jc w:val="center"/>
        </w:trPr>
        <w:tc>
          <w:tcPr>
            <w:tcW w:w="1457" w:type="dxa"/>
            <w:gridSpan w:val="2"/>
            <w:tcBorders>
              <w:top w:val="single" w:color="auto" w:sz="4" w:space="0"/>
              <w:bottom w:val="single" w:color="auto" w:sz="4" w:space="0"/>
            </w:tcBorders>
            <w:vAlign w:val="center"/>
          </w:tcPr>
          <w:p w14:paraId="75FC32FE">
            <w:pPr>
              <w:spacing w:line="360" w:lineRule="exact"/>
              <w:rPr>
                <w:rFonts w:hint="eastAsia" w:ascii="新宋体" w:hAnsi="新宋体" w:eastAsia="新宋体" w:cs="新宋体"/>
                <w:color w:val="auto"/>
                <w:sz w:val="22"/>
                <w:szCs w:val="22"/>
                <w:highlight w:val="none"/>
              </w:rPr>
            </w:pPr>
          </w:p>
        </w:tc>
        <w:tc>
          <w:tcPr>
            <w:tcW w:w="8070" w:type="dxa"/>
            <w:gridSpan w:val="6"/>
            <w:tcBorders>
              <w:top w:val="single" w:color="auto" w:sz="4" w:space="0"/>
              <w:bottom w:val="single" w:color="auto" w:sz="4" w:space="0"/>
            </w:tcBorders>
            <w:vAlign w:val="center"/>
          </w:tcPr>
          <w:p w14:paraId="3007F57E">
            <w:pPr>
              <w:spacing w:line="360" w:lineRule="exact"/>
              <w:rPr>
                <w:rFonts w:hint="eastAsia" w:ascii="新宋体" w:hAnsi="新宋体" w:eastAsia="新宋体" w:cs="新宋体"/>
                <w:color w:val="auto"/>
                <w:sz w:val="22"/>
                <w:szCs w:val="22"/>
                <w:highlight w:val="none"/>
              </w:rPr>
            </w:pPr>
          </w:p>
        </w:tc>
      </w:tr>
      <w:tr w14:paraId="58CC3092">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cantSplit/>
          <w:trHeight w:val="740" w:hRule="exact"/>
          <w:jc w:val="center"/>
        </w:trPr>
        <w:tc>
          <w:tcPr>
            <w:tcW w:w="9527" w:type="dxa"/>
            <w:gridSpan w:val="8"/>
            <w:tcBorders>
              <w:top w:val="single" w:color="auto" w:sz="4" w:space="0"/>
              <w:bottom w:val="single" w:color="auto" w:sz="4" w:space="0"/>
            </w:tcBorders>
            <w:vAlign w:val="center"/>
          </w:tcPr>
          <w:p w14:paraId="18CD4B20">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3、项目负责人业绩</w:t>
            </w:r>
          </w:p>
        </w:tc>
      </w:tr>
      <w:tr w14:paraId="6213E50B">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cantSplit/>
          <w:trHeight w:val="740" w:hRule="exact"/>
          <w:jc w:val="center"/>
        </w:trPr>
        <w:tc>
          <w:tcPr>
            <w:tcW w:w="1018" w:type="dxa"/>
            <w:tcBorders>
              <w:top w:val="single" w:color="auto" w:sz="4" w:space="0"/>
              <w:bottom w:val="single" w:color="auto" w:sz="4" w:space="0"/>
            </w:tcBorders>
            <w:vAlign w:val="center"/>
          </w:tcPr>
          <w:p w14:paraId="38375C7E">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3427" w:type="dxa"/>
            <w:gridSpan w:val="3"/>
            <w:tcBorders>
              <w:top w:val="single" w:color="auto" w:sz="4" w:space="0"/>
              <w:bottom w:val="single" w:color="auto" w:sz="4" w:space="0"/>
            </w:tcBorders>
            <w:vAlign w:val="center"/>
          </w:tcPr>
          <w:p w14:paraId="0AD855E0">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项目名称</w:t>
            </w:r>
          </w:p>
        </w:tc>
        <w:tc>
          <w:tcPr>
            <w:tcW w:w="1440" w:type="dxa"/>
            <w:gridSpan w:val="2"/>
            <w:tcBorders>
              <w:top w:val="single" w:color="auto" w:sz="4" w:space="0"/>
              <w:bottom w:val="single" w:color="auto" w:sz="4" w:space="0"/>
            </w:tcBorders>
            <w:vAlign w:val="center"/>
          </w:tcPr>
          <w:p w14:paraId="71E8DC1A">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完成年份</w:t>
            </w:r>
          </w:p>
        </w:tc>
        <w:tc>
          <w:tcPr>
            <w:tcW w:w="3642" w:type="dxa"/>
            <w:gridSpan w:val="2"/>
            <w:tcBorders>
              <w:top w:val="single" w:color="auto" w:sz="4" w:space="0"/>
              <w:bottom w:val="single" w:color="auto" w:sz="4" w:space="0"/>
            </w:tcBorders>
            <w:vAlign w:val="center"/>
          </w:tcPr>
          <w:p w14:paraId="6BD2554C">
            <w:pPr>
              <w:spacing w:line="3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获奖情况</w:t>
            </w:r>
          </w:p>
        </w:tc>
      </w:tr>
      <w:tr w14:paraId="68A879A8">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cantSplit/>
          <w:trHeight w:val="740" w:hRule="exact"/>
          <w:jc w:val="center"/>
        </w:trPr>
        <w:tc>
          <w:tcPr>
            <w:tcW w:w="1018" w:type="dxa"/>
            <w:tcBorders>
              <w:top w:val="single" w:color="auto" w:sz="4" w:space="0"/>
              <w:bottom w:val="single" w:color="auto" w:sz="4" w:space="0"/>
            </w:tcBorders>
            <w:vAlign w:val="center"/>
          </w:tcPr>
          <w:p w14:paraId="7CE970E7">
            <w:pPr>
              <w:spacing w:line="360" w:lineRule="exact"/>
              <w:rPr>
                <w:rFonts w:hint="eastAsia" w:ascii="新宋体" w:hAnsi="新宋体" w:eastAsia="新宋体" w:cs="新宋体"/>
                <w:color w:val="auto"/>
                <w:sz w:val="22"/>
                <w:szCs w:val="22"/>
                <w:highlight w:val="none"/>
              </w:rPr>
            </w:pPr>
          </w:p>
        </w:tc>
        <w:tc>
          <w:tcPr>
            <w:tcW w:w="3427" w:type="dxa"/>
            <w:gridSpan w:val="3"/>
            <w:tcBorders>
              <w:top w:val="single" w:color="auto" w:sz="4" w:space="0"/>
              <w:bottom w:val="single" w:color="auto" w:sz="4" w:space="0"/>
            </w:tcBorders>
            <w:vAlign w:val="center"/>
          </w:tcPr>
          <w:p w14:paraId="3DA5937F">
            <w:pPr>
              <w:spacing w:line="360" w:lineRule="exact"/>
              <w:rPr>
                <w:rFonts w:hint="eastAsia" w:ascii="新宋体" w:hAnsi="新宋体" w:eastAsia="新宋体" w:cs="新宋体"/>
                <w:color w:val="auto"/>
                <w:sz w:val="22"/>
                <w:szCs w:val="22"/>
                <w:highlight w:val="none"/>
              </w:rPr>
            </w:pPr>
          </w:p>
        </w:tc>
        <w:tc>
          <w:tcPr>
            <w:tcW w:w="1440" w:type="dxa"/>
            <w:gridSpan w:val="2"/>
            <w:tcBorders>
              <w:top w:val="single" w:color="auto" w:sz="4" w:space="0"/>
              <w:bottom w:val="single" w:color="auto" w:sz="4" w:space="0"/>
            </w:tcBorders>
            <w:vAlign w:val="center"/>
          </w:tcPr>
          <w:p w14:paraId="7D785831">
            <w:pPr>
              <w:spacing w:line="360" w:lineRule="exact"/>
              <w:rPr>
                <w:rFonts w:hint="eastAsia" w:ascii="新宋体" w:hAnsi="新宋体" w:eastAsia="新宋体" w:cs="新宋体"/>
                <w:color w:val="auto"/>
                <w:sz w:val="22"/>
                <w:szCs w:val="22"/>
                <w:highlight w:val="none"/>
              </w:rPr>
            </w:pPr>
          </w:p>
        </w:tc>
        <w:tc>
          <w:tcPr>
            <w:tcW w:w="3642" w:type="dxa"/>
            <w:gridSpan w:val="2"/>
            <w:tcBorders>
              <w:top w:val="single" w:color="auto" w:sz="4" w:space="0"/>
              <w:bottom w:val="single" w:color="auto" w:sz="4" w:space="0"/>
            </w:tcBorders>
            <w:vAlign w:val="center"/>
          </w:tcPr>
          <w:p w14:paraId="3B3105BE">
            <w:pPr>
              <w:spacing w:line="360" w:lineRule="exact"/>
              <w:rPr>
                <w:rFonts w:hint="eastAsia" w:ascii="新宋体" w:hAnsi="新宋体" w:eastAsia="新宋体" w:cs="新宋体"/>
                <w:color w:val="auto"/>
                <w:sz w:val="22"/>
                <w:szCs w:val="22"/>
                <w:highlight w:val="none"/>
              </w:rPr>
            </w:pPr>
          </w:p>
        </w:tc>
      </w:tr>
      <w:tr w14:paraId="14C73290">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cantSplit/>
          <w:trHeight w:val="740" w:hRule="exact"/>
          <w:jc w:val="center"/>
        </w:trPr>
        <w:tc>
          <w:tcPr>
            <w:tcW w:w="1018" w:type="dxa"/>
            <w:tcBorders>
              <w:top w:val="single" w:color="auto" w:sz="4" w:space="0"/>
              <w:bottom w:val="single" w:color="auto" w:sz="4" w:space="0"/>
            </w:tcBorders>
            <w:vAlign w:val="center"/>
          </w:tcPr>
          <w:p w14:paraId="7632AB1D">
            <w:pPr>
              <w:spacing w:line="360" w:lineRule="exact"/>
              <w:rPr>
                <w:rFonts w:hint="eastAsia" w:ascii="新宋体" w:hAnsi="新宋体" w:eastAsia="新宋体" w:cs="新宋体"/>
                <w:color w:val="auto"/>
                <w:sz w:val="22"/>
                <w:szCs w:val="22"/>
                <w:highlight w:val="none"/>
              </w:rPr>
            </w:pPr>
          </w:p>
        </w:tc>
        <w:tc>
          <w:tcPr>
            <w:tcW w:w="3427" w:type="dxa"/>
            <w:gridSpan w:val="3"/>
            <w:tcBorders>
              <w:top w:val="single" w:color="auto" w:sz="4" w:space="0"/>
              <w:bottom w:val="single" w:color="auto" w:sz="4" w:space="0"/>
            </w:tcBorders>
            <w:vAlign w:val="center"/>
          </w:tcPr>
          <w:p w14:paraId="15DB9A46">
            <w:pPr>
              <w:spacing w:line="360" w:lineRule="exact"/>
              <w:rPr>
                <w:rFonts w:hint="eastAsia" w:ascii="新宋体" w:hAnsi="新宋体" w:eastAsia="新宋体" w:cs="新宋体"/>
                <w:color w:val="auto"/>
                <w:sz w:val="22"/>
                <w:szCs w:val="22"/>
                <w:highlight w:val="none"/>
              </w:rPr>
            </w:pPr>
          </w:p>
        </w:tc>
        <w:tc>
          <w:tcPr>
            <w:tcW w:w="1440" w:type="dxa"/>
            <w:gridSpan w:val="2"/>
            <w:tcBorders>
              <w:top w:val="single" w:color="auto" w:sz="4" w:space="0"/>
              <w:bottom w:val="single" w:color="auto" w:sz="4" w:space="0"/>
            </w:tcBorders>
            <w:vAlign w:val="center"/>
          </w:tcPr>
          <w:p w14:paraId="4BE58B74">
            <w:pPr>
              <w:spacing w:line="360" w:lineRule="exact"/>
              <w:rPr>
                <w:rFonts w:hint="eastAsia" w:ascii="新宋体" w:hAnsi="新宋体" w:eastAsia="新宋体" w:cs="新宋体"/>
                <w:color w:val="auto"/>
                <w:sz w:val="22"/>
                <w:szCs w:val="22"/>
                <w:highlight w:val="none"/>
              </w:rPr>
            </w:pPr>
          </w:p>
        </w:tc>
        <w:tc>
          <w:tcPr>
            <w:tcW w:w="3642" w:type="dxa"/>
            <w:gridSpan w:val="2"/>
            <w:tcBorders>
              <w:top w:val="single" w:color="auto" w:sz="4" w:space="0"/>
              <w:bottom w:val="single" w:color="auto" w:sz="4" w:space="0"/>
            </w:tcBorders>
            <w:vAlign w:val="center"/>
          </w:tcPr>
          <w:p w14:paraId="1C92A313">
            <w:pPr>
              <w:spacing w:line="360" w:lineRule="exact"/>
              <w:rPr>
                <w:rFonts w:hint="eastAsia" w:ascii="新宋体" w:hAnsi="新宋体" w:eastAsia="新宋体" w:cs="新宋体"/>
                <w:color w:val="auto"/>
                <w:sz w:val="22"/>
                <w:szCs w:val="22"/>
                <w:highlight w:val="none"/>
              </w:rPr>
            </w:pPr>
          </w:p>
        </w:tc>
      </w:tr>
      <w:tr w14:paraId="3FC3191C">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cantSplit/>
          <w:trHeight w:val="740" w:hRule="exact"/>
          <w:jc w:val="center"/>
        </w:trPr>
        <w:tc>
          <w:tcPr>
            <w:tcW w:w="1018" w:type="dxa"/>
            <w:tcBorders>
              <w:top w:val="single" w:color="auto" w:sz="4" w:space="0"/>
              <w:bottom w:val="single" w:color="auto" w:sz="12" w:space="0"/>
            </w:tcBorders>
            <w:vAlign w:val="center"/>
          </w:tcPr>
          <w:p w14:paraId="56BD8E15">
            <w:pPr>
              <w:spacing w:line="360" w:lineRule="exact"/>
              <w:rPr>
                <w:rFonts w:hint="eastAsia" w:ascii="新宋体" w:hAnsi="新宋体" w:eastAsia="新宋体" w:cs="新宋体"/>
                <w:color w:val="auto"/>
                <w:sz w:val="22"/>
                <w:szCs w:val="22"/>
                <w:highlight w:val="none"/>
              </w:rPr>
            </w:pPr>
          </w:p>
        </w:tc>
        <w:tc>
          <w:tcPr>
            <w:tcW w:w="3427" w:type="dxa"/>
            <w:gridSpan w:val="3"/>
            <w:tcBorders>
              <w:top w:val="single" w:color="auto" w:sz="4" w:space="0"/>
              <w:bottom w:val="single" w:color="auto" w:sz="12" w:space="0"/>
            </w:tcBorders>
            <w:vAlign w:val="center"/>
          </w:tcPr>
          <w:p w14:paraId="78CC8679">
            <w:pPr>
              <w:spacing w:line="360" w:lineRule="exact"/>
              <w:rPr>
                <w:rFonts w:hint="eastAsia" w:ascii="新宋体" w:hAnsi="新宋体" w:eastAsia="新宋体" w:cs="新宋体"/>
                <w:color w:val="auto"/>
                <w:sz w:val="22"/>
                <w:szCs w:val="22"/>
                <w:highlight w:val="none"/>
              </w:rPr>
            </w:pPr>
          </w:p>
        </w:tc>
        <w:tc>
          <w:tcPr>
            <w:tcW w:w="1440" w:type="dxa"/>
            <w:gridSpan w:val="2"/>
            <w:tcBorders>
              <w:top w:val="single" w:color="auto" w:sz="4" w:space="0"/>
              <w:bottom w:val="single" w:color="auto" w:sz="12" w:space="0"/>
            </w:tcBorders>
            <w:vAlign w:val="center"/>
          </w:tcPr>
          <w:p w14:paraId="5ABE7FFC">
            <w:pPr>
              <w:spacing w:line="360" w:lineRule="exact"/>
              <w:rPr>
                <w:rFonts w:hint="eastAsia" w:ascii="新宋体" w:hAnsi="新宋体" w:eastAsia="新宋体" w:cs="新宋体"/>
                <w:color w:val="auto"/>
                <w:sz w:val="22"/>
                <w:szCs w:val="22"/>
                <w:highlight w:val="none"/>
              </w:rPr>
            </w:pPr>
          </w:p>
        </w:tc>
        <w:tc>
          <w:tcPr>
            <w:tcW w:w="3642" w:type="dxa"/>
            <w:gridSpan w:val="2"/>
            <w:tcBorders>
              <w:top w:val="single" w:color="auto" w:sz="4" w:space="0"/>
              <w:bottom w:val="single" w:color="auto" w:sz="12" w:space="0"/>
            </w:tcBorders>
            <w:vAlign w:val="center"/>
          </w:tcPr>
          <w:p w14:paraId="7DA1150D">
            <w:pPr>
              <w:spacing w:line="360" w:lineRule="exact"/>
              <w:rPr>
                <w:rFonts w:hint="eastAsia" w:ascii="新宋体" w:hAnsi="新宋体" w:eastAsia="新宋体" w:cs="新宋体"/>
                <w:color w:val="auto"/>
                <w:sz w:val="22"/>
                <w:szCs w:val="22"/>
                <w:highlight w:val="none"/>
              </w:rPr>
            </w:pPr>
          </w:p>
        </w:tc>
      </w:tr>
    </w:tbl>
    <w:p w14:paraId="36C2CC36">
      <w:pPr>
        <w:pStyle w:val="14"/>
        <w:spacing w:line="360" w:lineRule="auto"/>
        <w:ind w:left="660" w:hanging="660" w:hangingChars="3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注：</w:t>
      </w:r>
      <w:r>
        <w:rPr>
          <w:rFonts w:hint="eastAsia" w:ascii="新宋体" w:hAnsi="新宋体" w:eastAsia="新宋体" w:cs="新宋体"/>
          <w:color w:val="auto"/>
          <w:sz w:val="22"/>
          <w:szCs w:val="24"/>
          <w:highlight w:val="none"/>
        </w:rPr>
        <w:t>1.</w:t>
      </w:r>
      <w:r>
        <w:rPr>
          <w:rFonts w:hint="eastAsia" w:ascii="新宋体" w:hAnsi="新宋体" w:eastAsia="新宋体" w:cs="新宋体"/>
          <w:color w:val="auto"/>
          <w:sz w:val="22"/>
          <w:highlight w:val="none"/>
        </w:rPr>
        <w:t>此表仅提供了表格形式，</w:t>
      </w:r>
      <w:r>
        <w:rPr>
          <w:rFonts w:hint="eastAsia" w:ascii="新宋体" w:hAnsi="新宋体" w:eastAsia="新宋体" w:cs="新宋体"/>
          <w:color w:val="auto"/>
          <w:sz w:val="22"/>
          <w:highlight w:val="none"/>
          <w:lang w:eastAsia="zh-CN"/>
        </w:rPr>
        <w:t>投标供应商</w:t>
      </w:r>
      <w:r>
        <w:rPr>
          <w:rFonts w:hint="eastAsia" w:ascii="新宋体" w:hAnsi="新宋体" w:eastAsia="新宋体" w:cs="新宋体"/>
          <w:color w:val="auto"/>
          <w:sz w:val="22"/>
          <w:highlight w:val="none"/>
        </w:rPr>
        <w:t>可按此表格复制。</w:t>
      </w:r>
    </w:p>
    <w:p w14:paraId="5AA02923">
      <w:pPr>
        <w:tabs>
          <w:tab w:val="left" w:pos="780"/>
        </w:tabs>
        <w:spacing w:line="360" w:lineRule="auto"/>
        <w:ind w:left="180"/>
        <w:jc w:val="lef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 xml:space="preserve">  2.列入本表人员的更换需经采购人同意，擅自更改或不到位均属违约行为。</w:t>
      </w:r>
    </w:p>
    <w:p w14:paraId="5359E033">
      <w:pPr>
        <w:pStyle w:val="11"/>
        <w:ind w:left="440" w:hanging="440"/>
        <w:rPr>
          <w:rFonts w:hint="eastAsia" w:ascii="新宋体" w:hAnsi="新宋体" w:eastAsia="新宋体" w:cs="新宋体"/>
          <w:color w:val="auto"/>
          <w:highlight w:val="none"/>
        </w:rPr>
      </w:pPr>
      <w:r>
        <w:rPr>
          <w:rFonts w:hint="eastAsia" w:ascii="新宋体" w:hAnsi="新宋体" w:eastAsia="新宋体" w:cs="新宋体"/>
          <w:color w:val="auto"/>
          <w:sz w:val="22"/>
          <w:highlight w:val="none"/>
        </w:rPr>
        <w:t xml:space="preserve">    3.须按</w:t>
      </w:r>
      <w:r>
        <w:rPr>
          <w:rFonts w:hint="eastAsia" w:ascii="新宋体" w:hAnsi="新宋体" w:eastAsia="新宋体" w:cs="新宋体"/>
          <w:color w:val="auto"/>
          <w:sz w:val="22"/>
          <w:highlight w:val="none"/>
          <w:lang w:eastAsia="zh-CN"/>
        </w:rPr>
        <w:t>采购文件</w:t>
      </w:r>
      <w:r>
        <w:rPr>
          <w:rFonts w:hint="eastAsia" w:ascii="新宋体" w:hAnsi="新宋体" w:eastAsia="新宋体" w:cs="新宋体"/>
          <w:color w:val="auto"/>
          <w:sz w:val="22"/>
          <w:highlight w:val="none"/>
        </w:rPr>
        <w:t>要求提供相关证明材料。</w:t>
      </w:r>
    </w:p>
    <w:p w14:paraId="55FF6425">
      <w:pPr>
        <w:spacing w:line="44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投标供应商全称（公章）：</w:t>
      </w:r>
    </w:p>
    <w:p w14:paraId="53EF15D0">
      <w:pPr>
        <w:spacing w:line="44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法定代表人（负责人）</w:t>
      </w:r>
      <w:r>
        <w:rPr>
          <w:rFonts w:hint="eastAsia" w:ascii="新宋体" w:hAnsi="新宋体" w:eastAsia="新宋体" w:cs="新宋体"/>
          <w:color w:val="auto"/>
          <w:sz w:val="22"/>
          <w:szCs w:val="22"/>
          <w:highlight w:val="none"/>
        </w:rPr>
        <w:t>或授权代表（签字或盖章）：</w:t>
      </w:r>
    </w:p>
    <w:p w14:paraId="22E883BB">
      <w:pPr>
        <w:spacing w:line="44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14:paraId="31F005DE">
      <w:pPr>
        <w:rPr>
          <w:rFonts w:hint="eastAsia" w:ascii="宋体" w:hAnsi="宋体" w:cs="宋体"/>
          <w:b/>
          <w:bCs/>
          <w:color w:val="auto"/>
          <w:sz w:val="22"/>
          <w:szCs w:val="22"/>
          <w:highlight w:val="none"/>
        </w:rPr>
      </w:pPr>
      <w:r>
        <w:rPr>
          <w:rFonts w:hint="eastAsia" w:ascii="新宋体" w:hAnsi="新宋体" w:eastAsia="新宋体" w:cs="新宋体"/>
          <w:b/>
          <w:color w:val="auto"/>
          <w:sz w:val="28"/>
          <w:highlight w:val="none"/>
        </w:rPr>
        <w:br w:type="page"/>
      </w:r>
      <w:r>
        <w:rPr>
          <w:rFonts w:hint="eastAsia" w:ascii="新宋体" w:hAnsi="新宋体" w:eastAsia="新宋体" w:cs="新宋体"/>
          <w:b/>
          <w:color w:val="auto"/>
          <w:sz w:val="28"/>
          <w:szCs w:val="21"/>
          <w:highlight w:val="none"/>
          <w:lang w:val="en-US" w:eastAsia="zh-CN"/>
        </w:rPr>
        <w:t xml:space="preserve">                      （2）</w:t>
      </w:r>
      <w:r>
        <w:rPr>
          <w:rFonts w:hint="eastAsia" w:ascii="新宋体" w:hAnsi="新宋体" w:eastAsia="新宋体" w:cs="新宋体"/>
          <w:b/>
          <w:color w:val="auto"/>
          <w:kern w:val="0"/>
          <w:sz w:val="28"/>
          <w:szCs w:val="28"/>
          <w:highlight w:val="none"/>
        </w:rPr>
        <w:t>项目组服务人员汇总表</w:t>
      </w:r>
    </w:p>
    <w:p w14:paraId="6290F42C">
      <w:pPr>
        <w:tabs>
          <w:tab w:val="left" w:pos="840"/>
        </w:tabs>
        <w:adjustRightInd w:val="0"/>
        <w:snapToGrid w:val="0"/>
        <w:spacing w:line="400" w:lineRule="exact"/>
        <w:rPr>
          <w:rFonts w:hint="eastAsia" w:ascii="宋体" w:hAnsi="宋体" w:cs="宋体"/>
          <w:b/>
          <w:bCs/>
          <w:color w:val="auto"/>
          <w:sz w:val="22"/>
          <w:szCs w:val="22"/>
          <w:highlight w:val="none"/>
        </w:rPr>
      </w:pPr>
    </w:p>
    <w:p w14:paraId="398A2828">
      <w:pPr>
        <w:rPr>
          <w:rFonts w:hint="eastAsia" w:ascii="宋体" w:hAnsi="宋体" w:cs="宋体"/>
          <w:color w:val="auto"/>
          <w:sz w:val="22"/>
          <w:highlight w:val="none"/>
        </w:rPr>
      </w:pPr>
      <w:r>
        <w:rPr>
          <w:rFonts w:hint="eastAsia" w:ascii="宋体" w:hAnsi="宋体" w:cs="宋体"/>
          <w:bCs/>
          <w:color w:val="auto"/>
          <w:sz w:val="24"/>
          <w:highlight w:val="none"/>
        </w:rPr>
        <w:t>项目名称：</w:t>
      </w:r>
      <w:r>
        <w:rPr>
          <w:rFonts w:hint="eastAsia" w:ascii="宋体" w:hAnsi="宋体" w:cs="宋体"/>
          <w:bCs/>
          <w:color w:val="auto"/>
          <w:sz w:val="22"/>
          <w:highlight w:val="none"/>
        </w:rPr>
        <w:t xml:space="preserve">                                         项目编号：</w:t>
      </w:r>
      <w:r>
        <w:rPr>
          <w:rFonts w:hint="eastAsia" w:ascii="宋体" w:hAnsi="宋体" w:cs="宋体"/>
          <w:color w:val="auto"/>
          <w:sz w:val="22"/>
          <w:highlight w:val="none"/>
        </w:rPr>
        <w:t xml:space="preserve"> </w:t>
      </w:r>
    </w:p>
    <w:tbl>
      <w:tblPr>
        <w:tblStyle w:val="3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81"/>
        <w:gridCol w:w="898"/>
        <w:gridCol w:w="634"/>
        <w:gridCol w:w="759"/>
        <w:gridCol w:w="942"/>
        <w:gridCol w:w="1256"/>
        <w:gridCol w:w="1243"/>
        <w:gridCol w:w="1711"/>
        <w:gridCol w:w="1075"/>
      </w:tblGrid>
      <w:tr w14:paraId="7AA754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4" w:hRule="atLeast"/>
          <w:jc w:val="center"/>
        </w:trPr>
        <w:tc>
          <w:tcPr>
            <w:tcW w:w="1081" w:type="dxa"/>
            <w:noWrap w:val="0"/>
            <w:vAlign w:val="center"/>
          </w:tcPr>
          <w:p w14:paraId="484A3F69">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898" w:type="dxa"/>
            <w:noWrap w:val="0"/>
            <w:vAlign w:val="center"/>
          </w:tcPr>
          <w:p w14:paraId="4BA665F0">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姓名</w:t>
            </w:r>
          </w:p>
        </w:tc>
        <w:tc>
          <w:tcPr>
            <w:tcW w:w="634" w:type="dxa"/>
            <w:noWrap w:val="0"/>
            <w:vAlign w:val="center"/>
          </w:tcPr>
          <w:p w14:paraId="39167DDC">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性别</w:t>
            </w:r>
          </w:p>
        </w:tc>
        <w:tc>
          <w:tcPr>
            <w:tcW w:w="759" w:type="dxa"/>
            <w:noWrap w:val="0"/>
            <w:vAlign w:val="center"/>
          </w:tcPr>
          <w:p w14:paraId="2A230C6C">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年龄</w:t>
            </w:r>
          </w:p>
        </w:tc>
        <w:tc>
          <w:tcPr>
            <w:tcW w:w="942" w:type="dxa"/>
            <w:noWrap w:val="0"/>
            <w:vAlign w:val="center"/>
          </w:tcPr>
          <w:p w14:paraId="6953F729">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学历</w:t>
            </w:r>
          </w:p>
        </w:tc>
        <w:tc>
          <w:tcPr>
            <w:tcW w:w="1256" w:type="dxa"/>
            <w:noWrap w:val="0"/>
            <w:vAlign w:val="center"/>
          </w:tcPr>
          <w:p w14:paraId="322955B4">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职称/职务</w:t>
            </w:r>
          </w:p>
        </w:tc>
        <w:tc>
          <w:tcPr>
            <w:tcW w:w="1243" w:type="dxa"/>
            <w:noWrap w:val="0"/>
            <w:vAlign w:val="center"/>
          </w:tcPr>
          <w:p w14:paraId="406D782D">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本项目中的岗位</w:t>
            </w:r>
          </w:p>
        </w:tc>
        <w:tc>
          <w:tcPr>
            <w:tcW w:w="1711" w:type="dxa"/>
            <w:noWrap w:val="0"/>
            <w:vAlign w:val="center"/>
          </w:tcPr>
          <w:p w14:paraId="70635DB1">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从事专业年限</w:t>
            </w:r>
          </w:p>
        </w:tc>
        <w:tc>
          <w:tcPr>
            <w:tcW w:w="1075" w:type="dxa"/>
            <w:noWrap w:val="0"/>
            <w:vAlign w:val="center"/>
          </w:tcPr>
          <w:p w14:paraId="647D01E5">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14:paraId="18900A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4" w:hRule="exact"/>
          <w:jc w:val="center"/>
        </w:trPr>
        <w:tc>
          <w:tcPr>
            <w:tcW w:w="1081" w:type="dxa"/>
            <w:noWrap w:val="0"/>
            <w:vAlign w:val="center"/>
          </w:tcPr>
          <w:p w14:paraId="148C0082">
            <w:pPr>
              <w:jc w:val="center"/>
              <w:rPr>
                <w:rFonts w:hint="eastAsia" w:ascii="宋体" w:hAnsi="宋体" w:cs="宋体"/>
                <w:color w:val="auto"/>
                <w:sz w:val="22"/>
                <w:highlight w:val="none"/>
              </w:rPr>
            </w:pPr>
          </w:p>
        </w:tc>
        <w:tc>
          <w:tcPr>
            <w:tcW w:w="898" w:type="dxa"/>
            <w:noWrap w:val="0"/>
            <w:vAlign w:val="center"/>
          </w:tcPr>
          <w:p w14:paraId="22CD1615">
            <w:pPr>
              <w:jc w:val="center"/>
              <w:rPr>
                <w:rFonts w:hint="eastAsia" w:ascii="宋体" w:hAnsi="宋体" w:cs="宋体"/>
                <w:color w:val="auto"/>
                <w:sz w:val="22"/>
                <w:highlight w:val="none"/>
              </w:rPr>
            </w:pPr>
          </w:p>
        </w:tc>
        <w:tc>
          <w:tcPr>
            <w:tcW w:w="634" w:type="dxa"/>
            <w:noWrap w:val="0"/>
            <w:vAlign w:val="center"/>
          </w:tcPr>
          <w:p w14:paraId="5DC7DE5A">
            <w:pPr>
              <w:jc w:val="center"/>
              <w:rPr>
                <w:rFonts w:hint="eastAsia" w:ascii="宋体" w:hAnsi="宋体" w:cs="宋体"/>
                <w:color w:val="auto"/>
                <w:sz w:val="22"/>
                <w:highlight w:val="none"/>
              </w:rPr>
            </w:pPr>
          </w:p>
        </w:tc>
        <w:tc>
          <w:tcPr>
            <w:tcW w:w="759" w:type="dxa"/>
            <w:noWrap w:val="0"/>
            <w:vAlign w:val="center"/>
          </w:tcPr>
          <w:p w14:paraId="7139E269">
            <w:pPr>
              <w:jc w:val="center"/>
              <w:rPr>
                <w:rFonts w:hint="eastAsia" w:ascii="宋体" w:hAnsi="宋体" w:cs="宋体"/>
                <w:color w:val="auto"/>
                <w:sz w:val="22"/>
                <w:highlight w:val="none"/>
              </w:rPr>
            </w:pPr>
          </w:p>
        </w:tc>
        <w:tc>
          <w:tcPr>
            <w:tcW w:w="942" w:type="dxa"/>
            <w:noWrap w:val="0"/>
            <w:vAlign w:val="center"/>
          </w:tcPr>
          <w:p w14:paraId="5566EDB6">
            <w:pPr>
              <w:jc w:val="center"/>
              <w:rPr>
                <w:rFonts w:hint="eastAsia" w:ascii="宋体" w:hAnsi="宋体" w:cs="宋体"/>
                <w:color w:val="auto"/>
                <w:sz w:val="22"/>
                <w:highlight w:val="none"/>
              </w:rPr>
            </w:pPr>
          </w:p>
        </w:tc>
        <w:tc>
          <w:tcPr>
            <w:tcW w:w="1256" w:type="dxa"/>
            <w:noWrap w:val="0"/>
            <w:vAlign w:val="center"/>
          </w:tcPr>
          <w:p w14:paraId="47D201D8">
            <w:pPr>
              <w:jc w:val="center"/>
              <w:rPr>
                <w:rFonts w:hint="eastAsia" w:ascii="宋体" w:hAnsi="宋体" w:cs="宋体"/>
                <w:color w:val="auto"/>
                <w:sz w:val="22"/>
                <w:highlight w:val="none"/>
              </w:rPr>
            </w:pPr>
          </w:p>
        </w:tc>
        <w:tc>
          <w:tcPr>
            <w:tcW w:w="1243" w:type="dxa"/>
            <w:noWrap w:val="0"/>
            <w:vAlign w:val="center"/>
          </w:tcPr>
          <w:p w14:paraId="311A95D2">
            <w:pPr>
              <w:jc w:val="center"/>
              <w:rPr>
                <w:rFonts w:hint="eastAsia" w:ascii="宋体" w:hAnsi="宋体" w:cs="宋体"/>
                <w:color w:val="auto"/>
                <w:sz w:val="22"/>
                <w:highlight w:val="none"/>
              </w:rPr>
            </w:pPr>
          </w:p>
        </w:tc>
        <w:tc>
          <w:tcPr>
            <w:tcW w:w="1711" w:type="dxa"/>
            <w:noWrap w:val="0"/>
            <w:vAlign w:val="top"/>
          </w:tcPr>
          <w:p w14:paraId="7BD63FAA">
            <w:pPr>
              <w:jc w:val="center"/>
              <w:rPr>
                <w:rFonts w:hint="eastAsia" w:ascii="宋体" w:hAnsi="宋体" w:cs="宋体"/>
                <w:color w:val="auto"/>
                <w:sz w:val="22"/>
                <w:highlight w:val="none"/>
              </w:rPr>
            </w:pPr>
          </w:p>
        </w:tc>
        <w:tc>
          <w:tcPr>
            <w:tcW w:w="1075" w:type="dxa"/>
            <w:noWrap w:val="0"/>
            <w:vAlign w:val="center"/>
          </w:tcPr>
          <w:p w14:paraId="7FB24025">
            <w:pPr>
              <w:jc w:val="center"/>
              <w:rPr>
                <w:rFonts w:hint="eastAsia" w:ascii="宋体" w:hAnsi="宋体" w:cs="宋体"/>
                <w:color w:val="auto"/>
                <w:sz w:val="22"/>
                <w:highlight w:val="none"/>
              </w:rPr>
            </w:pPr>
          </w:p>
        </w:tc>
      </w:tr>
      <w:tr w14:paraId="5FC4A2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4" w:hRule="exact"/>
          <w:jc w:val="center"/>
        </w:trPr>
        <w:tc>
          <w:tcPr>
            <w:tcW w:w="1081" w:type="dxa"/>
            <w:noWrap w:val="0"/>
            <w:vAlign w:val="center"/>
          </w:tcPr>
          <w:p w14:paraId="22275964">
            <w:pPr>
              <w:jc w:val="center"/>
              <w:rPr>
                <w:rFonts w:hint="eastAsia" w:ascii="宋体" w:hAnsi="宋体" w:cs="宋体"/>
                <w:color w:val="auto"/>
                <w:sz w:val="22"/>
                <w:highlight w:val="none"/>
              </w:rPr>
            </w:pPr>
          </w:p>
        </w:tc>
        <w:tc>
          <w:tcPr>
            <w:tcW w:w="898" w:type="dxa"/>
            <w:noWrap w:val="0"/>
            <w:vAlign w:val="center"/>
          </w:tcPr>
          <w:p w14:paraId="1DEC663B">
            <w:pPr>
              <w:jc w:val="center"/>
              <w:rPr>
                <w:rFonts w:hint="eastAsia" w:ascii="宋体" w:hAnsi="宋体" w:cs="宋体"/>
                <w:color w:val="auto"/>
                <w:sz w:val="22"/>
                <w:highlight w:val="none"/>
              </w:rPr>
            </w:pPr>
          </w:p>
        </w:tc>
        <w:tc>
          <w:tcPr>
            <w:tcW w:w="634" w:type="dxa"/>
            <w:noWrap w:val="0"/>
            <w:vAlign w:val="center"/>
          </w:tcPr>
          <w:p w14:paraId="2026CD61">
            <w:pPr>
              <w:jc w:val="center"/>
              <w:rPr>
                <w:rFonts w:hint="eastAsia" w:ascii="宋体" w:hAnsi="宋体" w:cs="宋体"/>
                <w:color w:val="auto"/>
                <w:sz w:val="22"/>
                <w:highlight w:val="none"/>
              </w:rPr>
            </w:pPr>
          </w:p>
        </w:tc>
        <w:tc>
          <w:tcPr>
            <w:tcW w:w="759" w:type="dxa"/>
            <w:noWrap w:val="0"/>
            <w:vAlign w:val="center"/>
          </w:tcPr>
          <w:p w14:paraId="07CD6568">
            <w:pPr>
              <w:jc w:val="center"/>
              <w:rPr>
                <w:rFonts w:hint="eastAsia" w:ascii="宋体" w:hAnsi="宋体" w:cs="宋体"/>
                <w:color w:val="auto"/>
                <w:sz w:val="22"/>
                <w:highlight w:val="none"/>
              </w:rPr>
            </w:pPr>
          </w:p>
        </w:tc>
        <w:tc>
          <w:tcPr>
            <w:tcW w:w="942" w:type="dxa"/>
            <w:noWrap w:val="0"/>
            <w:vAlign w:val="center"/>
          </w:tcPr>
          <w:p w14:paraId="4C48A20C">
            <w:pPr>
              <w:jc w:val="center"/>
              <w:rPr>
                <w:rFonts w:hint="eastAsia" w:ascii="宋体" w:hAnsi="宋体" w:cs="宋体"/>
                <w:color w:val="auto"/>
                <w:sz w:val="22"/>
                <w:highlight w:val="none"/>
              </w:rPr>
            </w:pPr>
          </w:p>
        </w:tc>
        <w:tc>
          <w:tcPr>
            <w:tcW w:w="1256" w:type="dxa"/>
            <w:noWrap w:val="0"/>
            <w:vAlign w:val="center"/>
          </w:tcPr>
          <w:p w14:paraId="31FC0AD9">
            <w:pPr>
              <w:jc w:val="center"/>
              <w:rPr>
                <w:rFonts w:hint="eastAsia" w:ascii="宋体" w:hAnsi="宋体" w:cs="宋体"/>
                <w:color w:val="auto"/>
                <w:sz w:val="22"/>
                <w:highlight w:val="none"/>
              </w:rPr>
            </w:pPr>
          </w:p>
        </w:tc>
        <w:tc>
          <w:tcPr>
            <w:tcW w:w="1243" w:type="dxa"/>
            <w:noWrap w:val="0"/>
            <w:vAlign w:val="center"/>
          </w:tcPr>
          <w:p w14:paraId="0BAB13DA">
            <w:pPr>
              <w:jc w:val="center"/>
              <w:rPr>
                <w:rFonts w:hint="eastAsia" w:ascii="宋体" w:hAnsi="宋体" w:cs="宋体"/>
                <w:color w:val="auto"/>
                <w:sz w:val="22"/>
                <w:highlight w:val="none"/>
              </w:rPr>
            </w:pPr>
          </w:p>
        </w:tc>
        <w:tc>
          <w:tcPr>
            <w:tcW w:w="1711" w:type="dxa"/>
            <w:noWrap w:val="0"/>
            <w:vAlign w:val="top"/>
          </w:tcPr>
          <w:p w14:paraId="39F52890">
            <w:pPr>
              <w:jc w:val="center"/>
              <w:rPr>
                <w:rFonts w:hint="eastAsia" w:ascii="宋体" w:hAnsi="宋体" w:cs="宋体"/>
                <w:color w:val="auto"/>
                <w:sz w:val="22"/>
                <w:highlight w:val="none"/>
              </w:rPr>
            </w:pPr>
          </w:p>
        </w:tc>
        <w:tc>
          <w:tcPr>
            <w:tcW w:w="1075" w:type="dxa"/>
            <w:noWrap w:val="0"/>
            <w:vAlign w:val="center"/>
          </w:tcPr>
          <w:p w14:paraId="05D230F9">
            <w:pPr>
              <w:jc w:val="center"/>
              <w:rPr>
                <w:rFonts w:hint="eastAsia" w:ascii="宋体" w:hAnsi="宋体" w:cs="宋体"/>
                <w:color w:val="auto"/>
                <w:sz w:val="22"/>
                <w:highlight w:val="none"/>
              </w:rPr>
            </w:pPr>
          </w:p>
        </w:tc>
      </w:tr>
      <w:tr w14:paraId="0AD5FB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4" w:hRule="exact"/>
          <w:jc w:val="center"/>
        </w:trPr>
        <w:tc>
          <w:tcPr>
            <w:tcW w:w="1081" w:type="dxa"/>
            <w:noWrap w:val="0"/>
            <w:vAlign w:val="center"/>
          </w:tcPr>
          <w:p w14:paraId="757A7A1C">
            <w:pPr>
              <w:jc w:val="center"/>
              <w:rPr>
                <w:rFonts w:hint="eastAsia" w:ascii="宋体" w:hAnsi="宋体" w:cs="宋体"/>
                <w:color w:val="auto"/>
                <w:sz w:val="22"/>
                <w:highlight w:val="none"/>
              </w:rPr>
            </w:pPr>
          </w:p>
        </w:tc>
        <w:tc>
          <w:tcPr>
            <w:tcW w:w="898" w:type="dxa"/>
            <w:noWrap w:val="0"/>
            <w:vAlign w:val="center"/>
          </w:tcPr>
          <w:p w14:paraId="5CB4C452">
            <w:pPr>
              <w:jc w:val="center"/>
              <w:rPr>
                <w:rFonts w:hint="eastAsia" w:ascii="宋体" w:hAnsi="宋体" w:cs="宋体"/>
                <w:color w:val="auto"/>
                <w:sz w:val="22"/>
                <w:highlight w:val="none"/>
              </w:rPr>
            </w:pPr>
          </w:p>
        </w:tc>
        <w:tc>
          <w:tcPr>
            <w:tcW w:w="634" w:type="dxa"/>
            <w:noWrap w:val="0"/>
            <w:vAlign w:val="center"/>
          </w:tcPr>
          <w:p w14:paraId="14153EFF">
            <w:pPr>
              <w:jc w:val="center"/>
              <w:rPr>
                <w:rFonts w:hint="eastAsia" w:ascii="宋体" w:hAnsi="宋体" w:cs="宋体"/>
                <w:color w:val="auto"/>
                <w:sz w:val="22"/>
                <w:highlight w:val="none"/>
              </w:rPr>
            </w:pPr>
          </w:p>
        </w:tc>
        <w:tc>
          <w:tcPr>
            <w:tcW w:w="759" w:type="dxa"/>
            <w:noWrap w:val="0"/>
            <w:vAlign w:val="center"/>
          </w:tcPr>
          <w:p w14:paraId="27EE19C4">
            <w:pPr>
              <w:jc w:val="center"/>
              <w:rPr>
                <w:rFonts w:hint="eastAsia" w:ascii="宋体" w:hAnsi="宋体" w:cs="宋体"/>
                <w:color w:val="auto"/>
                <w:sz w:val="22"/>
                <w:highlight w:val="none"/>
              </w:rPr>
            </w:pPr>
          </w:p>
        </w:tc>
        <w:tc>
          <w:tcPr>
            <w:tcW w:w="942" w:type="dxa"/>
            <w:noWrap w:val="0"/>
            <w:vAlign w:val="center"/>
          </w:tcPr>
          <w:p w14:paraId="2330B2F8">
            <w:pPr>
              <w:jc w:val="center"/>
              <w:rPr>
                <w:rFonts w:hint="eastAsia" w:ascii="宋体" w:hAnsi="宋体" w:cs="宋体"/>
                <w:color w:val="auto"/>
                <w:sz w:val="22"/>
                <w:highlight w:val="none"/>
              </w:rPr>
            </w:pPr>
          </w:p>
        </w:tc>
        <w:tc>
          <w:tcPr>
            <w:tcW w:w="1256" w:type="dxa"/>
            <w:noWrap w:val="0"/>
            <w:vAlign w:val="center"/>
          </w:tcPr>
          <w:p w14:paraId="2A3E518C">
            <w:pPr>
              <w:jc w:val="center"/>
              <w:rPr>
                <w:rFonts w:hint="eastAsia" w:ascii="宋体" w:hAnsi="宋体" w:cs="宋体"/>
                <w:color w:val="auto"/>
                <w:sz w:val="22"/>
                <w:highlight w:val="none"/>
              </w:rPr>
            </w:pPr>
          </w:p>
        </w:tc>
        <w:tc>
          <w:tcPr>
            <w:tcW w:w="1243" w:type="dxa"/>
            <w:noWrap w:val="0"/>
            <w:vAlign w:val="center"/>
          </w:tcPr>
          <w:p w14:paraId="07D70FBE">
            <w:pPr>
              <w:jc w:val="center"/>
              <w:rPr>
                <w:rFonts w:hint="eastAsia" w:ascii="宋体" w:hAnsi="宋体" w:cs="宋体"/>
                <w:color w:val="auto"/>
                <w:sz w:val="22"/>
                <w:highlight w:val="none"/>
              </w:rPr>
            </w:pPr>
          </w:p>
        </w:tc>
        <w:tc>
          <w:tcPr>
            <w:tcW w:w="1711" w:type="dxa"/>
            <w:noWrap w:val="0"/>
            <w:vAlign w:val="top"/>
          </w:tcPr>
          <w:p w14:paraId="6046E35D">
            <w:pPr>
              <w:jc w:val="center"/>
              <w:rPr>
                <w:rFonts w:hint="eastAsia" w:ascii="宋体" w:hAnsi="宋体" w:cs="宋体"/>
                <w:color w:val="auto"/>
                <w:sz w:val="22"/>
                <w:highlight w:val="none"/>
              </w:rPr>
            </w:pPr>
          </w:p>
        </w:tc>
        <w:tc>
          <w:tcPr>
            <w:tcW w:w="1075" w:type="dxa"/>
            <w:noWrap w:val="0"/>
            <w:vAlign w:val="center"/>
          </w:tcPr>
          <w:p w14:paraId="3F6D3EA1">
            <w:pPr>
              <w:jc w:val="center"/>
              <w:rPr>
                <w:rFonts w:hint="eastAsia" w:ascii="宋体" w:hAnsi="宋体" w:cs="宋体"/>
                <w:color w:val="auto"/>
                <w:sz w:val="22"/>
                <w:highlight w:val="none"/>
              </w:rPr>
            </w:pPr>
          </w:p>
        </w:tc>
      </w:tr>
      <w:tr w14:paraId="5CEF152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4" w:hRule="exact"/>
          <w:jc w:val="center"/>
        </w:trPr>
        <w:tc>
          <w:tcPr>
            <w:tcW w:w="1081" w:type="dxa"/>
            <w:noWrap w:val="0"/>
            <w:vAlign w:val="center"/>
          </w:tcPr>
          <w:p w14:paraId="2B30F049">
            <w:pPr>
              <w:jc w:val="center"/>
              <w:rPr>
                <w:rFonts w:hint="eastAsia" w:ascii="宋体" w:hAnsi="宋体" w:cs="宋体"/>
                <w:color w:val="auto"/>
                <w:sz w:val="22"/>
                <w:highlight w:val="none"/>
              </w:rPr>
            </w:pPr>
          </w:p>
        </w:tc>
        <w:tc>
          <w:tcPr>
            <w:tcW w:w="898" w:type="dxa"/>
            <w:noWrap w:val="0"/>
            <w:vAlign w:val="center"/>
          </w:tcPr>
          <w:p w14:paraId="791E6522">
            <w:pPr>
              <w:jc w:val="center"/>
              <w:rPr>
                <w:rFonts w:hint="eastAsia" w:ascii="宋体" w:hAnsi="宋体" w:cs="宋体"/>
                <w:color w:val="auto"/>
                <w:sz w:val="22"/>
                <w:highlight w:val="none"/>
              </w:rPr>
            </w:pPr>
          </w:p>
        </w:tc>
        <w:tc>
          <w:tcPr>
            <w:tcW w:w="634" w:type="dxa"/>
            <w:noWrap w:val="0"/>
            <w:vAlign w:val="center"/>
          </w:tcPr>
          <w:p w14:paraId="52DE2A43">
            <w:pPr>
              <w:jc w:val="center"/>
              <w:rPr>
                <w:rFonts w:hint="eastAsia" w:ascii="宋体" w:hAnsi="宋体" w:cs="宋体"/>
                <w:color w:val="auto"/>
                <w:sz w:val="22"/>
                <w:highlight w:val="none"/>
              </w:rPr>
            </w:pPr>
          </w:p>
        </w:tc>
        <w:tc>
          <w:tcPr>
            <w:tcW w:w="759" w:type="dxa"/>
            <w:noWrap w:val="0"/>
            <w:vAlign w:val="center"/>
          </w:tcPr>
          <w:p w14:paraId="51631AE7">
            <w:pPr>
              <w:jc w:val="center"/>
              <w:rPr>
                <w:rFonts w:hint="eastAsia" w:ascii="宋体" w:hAnsi="宋体" w:cs="宋体"/>
                <w:color w:val="auto"/>
                <w:sz w:val="22"/>
                <w:highlight w:val="none"/>
              </w:rPr>
            </w:pPr>
          </w:p>
        </w:tc>
        <w:tc>
          <w:tcPr>
            <w:tcW w:w="942" w:type="dxa"/>
            <w:noWrap w:val="0"/>
            <w:vAlign w:val="center"/>
          </w:tcPr>
          <w:p w14:paraId="04ACBEBC">
            <w:pPr>
              <w:jc w:val="center"/>
              <w:rPr>
                <w:rFonts w:hint="eastAsia" w:ascii="宋体" w:hAnsi="宋体" w:cs="宋体"/>
                <w:color w:val="auto"/>
                <w:sz w:val="22"/>
                <w:highlight w:val="none"/>
              </w:rPr>
            </w:pPr>
          </w:p>
        </w:tc>
        <w:tc>
          <w:tcPr>
            <w:tcW w:w="1256" w:type="dxa"/>
            <w:noWrap w:val="0"/>
            <w:vAlign w:val="center"/>
          </w:tcPr>
          <w:p w14:paraId="36181469">
            <w:pPr>
              <w:jc w:val="center"/>
              <w:rPr>
                <w:rFonts w:hint="eastAsia" w:ascii="宋体" w:hAnsi="宋体" w:cs="宋体"/>
                <w:color w:val="auto"/>
                <w:sz w:val="22"/>
                <w:highlight w:val="none"/>
              </w:rPr>
            </w:pPr>
          </w:p>
        </w:tc>
        <w:tc>
          <w:tcPr>
            <w:tcW w:w="1243" w:type="dxa"/>
            <w:noWrap w:val="0"/>
            <w:vAlign w:val="center"/>
          </w:tcPr>
          <w:p w14:paraId="180FCA2A">
            <w:pPr>
              <w:jc w:val="center"/>
              <w:rPr>
                <w:rFonts w:hint="eastAsia" w:ascii="宋体" w:hAnsi="宋体" w:cs="宋体"/>
                <w:color w:val="auto"/>
                <w:sz w:val="22"/>
                <w:highlight w:val="none"/>
              </w:rPr>
            </w:pPr>
          </w:p>
        </w:tc>
        <w:tc>
          <w:tcPr>
            <w:tcW w:w="1711" w:type="dxa"/>
            <w:noWrap w:val="0"/>
            <w:vAlign w:val="top"/>
          </w:tcPr>
          <w:p w14:paraId="5F80FF94">
            <w:pPr>
              <w:jc w:val="center"/>
              <w:rPr>
                <w:rFonts w:hint="eastAsia" w:ascii="宋体" w:hAnsi="宋体" w:cs="宋体"/>
                <w:color w:val="auto"/>
                <w:sz w:val="22"/>
                <w:highlight w:val="none"/>
              </w:rPr>
            </w:pPr>
          </w:p>
        </w:tc>
        <w:tc>
          <w:tcPr>
            <w:tcW w:w="1075" w:type="dxa"/>
            <w:noWrap w:val="0"/>
            <w:vAlign w:val="center"/>
          </w:tcPr>
          <w:p w14:paraId="7F0F9D1C">
            <w:pPr>
              <w:jc w:val="center"/>
              <w:rPr>
                <w:rFonts w:hint="eastAsia" w:ascii="宋体" w:hAnsi="宋体" w:cs="宋体"/>
                <w:color w:val="auto"/>
                <w:sz w:val="22"/>
                <w:highlight w:val="none"/>
              </w:rPr>
            </w:pPr>
          </w:p>
        </w:tc>
      </w:tr>
      <w:tr w14:paraId="75A6AD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4" w:hRule="exact"/>
          <w:jc w:val="center"/>
        </w:trPr>
        <w:tc>
          <w:tcPr>
            <w:tcW w:w="1081" w:type="dxa"/>
            <w:noWrap w:val="0"/>
            <w:vAlign w:val="center"/>
          </w:tcPr>
          <w:p w14:paraId="5CD4BB99">
            <w:pPr>
              <w:jc w:val="center"/>
              <w:rPr>
                <w:rFonts w:hint="eastAsia" w:ascii="宋体" w:hAnsi="宋体" w:cs="宋体"/>
                <w:color w:val="auto"/>
                <w:sz w:val="22"/>
                <w:highlight w:val="none"/>
              </w:rPr>
            </w:pPr>
          </w:p>
        </w:tc>
        <w:tc>
          <w:tcPr>
            <w:tcW w:w="898" w:type="dxa"/>
            <w:noWrap w:val="0"/>
            <w:vAlign w:val="center"/>
          </w:tcPr>
          <w:p w14:paraId="776B0B99">
            <w:pPr>
              <w:jc w:val="center"/>
              <w:rPr>
                <w:rFonts w:hint="eastAsia" w:ascii="宋体" w:hAnsi="宋体" w:cs="宋体"/>
                <w:color w:val="auto"/>
                <w:sz w:val="22"/>
                <w:highlight w:val="none"/>
              </w:rPr>
            </w:pPr>
          </w:p>
        </w:tc>
        <w:tc>
          <w:tcPr>
            <w:tcW w:w="634" w:type="dxa"/>
            <w:noWrap w:val="0"/>
            <w:vAlign w:val="center"/>
          </w:tcPr>
          <w:p w14:paraId="2B25B8DC">
            <w:pPr>
              <w:jc w:val="center"/>
              <w:rPr>
                <w:rFonts w:hint="eastAsia" w:ascii="宋体" w:hAnsi="宋体" w:cs="宋体"/>
                <w:color w:val="auto"/>
                <w:sz w:val="22"/>
                <w:highlight w:val="none"/>
              </w:rPr>
            </w:pPr>
          </w:p>
        </w:tc>
        <w:tc>
          <w:tcPr>
            <w:tcW w:w="759" w:type="dxa"/>
            <w:noWrap w:val="0"/>
            <w:vAlign w:val="center"/>
          </w:tcPr>
          <w:p w14:paraId="7AC1DE63">
            <w:pPr>
              <w:jc w:val="center"/>
              <w:rPr>
                <w:rFonts w:hint="eastAsia" w:ascii="宋体" w:hAnsi="宋体" w:cs="宋体"/>
                <w:color w:val="auto"/>
                <w:sz w:val="22"/>
                <w:highlight w:val="none"/>
              </w:rPr>
            </w:pPr>
          </w:p>
        </w:tc>
        <w:tc>
          <w:tcPr>
            <w:tcW w:w="942" w:type="dxa"/>
            <w:noWrap w:val="0"/>
            <w:vAlign w:val="center"/>
          </w:tcPr>
          <w:p w14:paraId="2F93222E">
            <w:pPr>
              <w:jc w:val="center"/>
              <w:rPr>
                <w:rFonts w:hint="eastAsia" w:ascii="宋体" w:hAnsi="宋体" w:cs="宋体"/>
                <w:color w:val="auto"/>
                <w:sz w:val="22"/>
                <w:highlight w:val="none"/>
              </w:rPr>
            </w:pPr>
          </w:p>
        </w:tc>
        <w:tc>
          <w:tcPr>
            <w:tcW w:w="1256" w:type="dxa"/>
            <w:noWrap w:val="0"/>
            <w:vAlign w:val="center"/>
          </w:tcPr>
          <w:p w14:paraId="766F67B4">
            <w:pPr>
              <w:jc w:val="center"/>
              <w:rPr>
                <w:rFonts w:hint="eastAsia" w:ascii="宋体" w:hAnsi="宋体" w:cs="宋体"/>
                <w:color w:val="auto"/>
                <w:sz w:val="22"/>
                <w:highlight w:val="none"/>
              </w:rPr>
            </w:pPr>
          </w:p>
        </w:tc>
        <w:tc>
          <w:tcPr>
            <w:tcW w:w="1243" w:type="dxa"/>
            <w:noWrap w:val="0"/>
            <w:vAlign w:val="center"/>
          </w:tcPr>
          <w:p w14:paraId="6425E258">
            <w:pPr>
              <w:jc w:val="center"/>
              <w:rPr>
                <w:rFonts w:hint="eastAsia" w:ascii="宋体" w:hAnsi="宋体" w:cs="宋体"/>
                <w:color w:val="auto"/>
                <w:sz w:val="22"/>
                <w:highlight w:val="none"/>
              </w:rPr>
            </w:pPr>
          </w:p>
        </w:tc>
        <w:tc>
          <w:tcPr>
            <w:tcW w:w="1711" w:type="dxa"/>
            <w:noWrap w:val="0"/>
            <w:vAlign w:val="top"/>
          </w:tcPr>
          <w:p w14:paraId="22BEB57B">
            <w:pPr>
              <w:jc w:val="center"/>
              <w:rPr>
                <w:rFonts w:hint="eastAsia" w:ascii="宋体" w:hAnsi="宋体" w:cs="宋体"/>
                <w:color w:val="auto"/>
                <w:sz w:val="22"/>
                <w:highlight w:val="none"/>
              </w:rPr>
            </w:pPr>
          </w:p>
        </w:tc>
        <w:tc>
          <w:tcPr>
            <w:tcW w:w="1075" w:type="dxa"/>
            <w:noWrap w:val="0"/>
            <w:vAlign w:val="center"/>
          </w:tcPr>
          <w:p w14:paraId="3D85594B">
            <w:pPr>
              <w:jc w:val="center"/>
              <w:rPr>
                <w:rFonts w:hint="eastAsia" w:ascii="宋体" w:hAnsi="宋体" w:cs="宋体"/>
                <w:color w:val="auto"/>
                <w:sz w:val="22"/>
                <w:highlight w:val="none"/>
              </w:rPr>
            </w:pPr>
          </w:p>
        </w:tc>
      </w:tr>
      <w:tr w14:paraId="30DA7D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4" w:hRule="exact"/>
          <w:jc w:val="center"/>
        </w:trPr>
        <w:tc>
          <w:tcPr>
            <w:tcW w:w="1081" w:type="dxa"/>
            <w:noWrap w:val="0"/>
            <w:vAlign w:val="center"/>
          </w:tcPr>
          <w:p w14:paraId="79722B75">
            <w:pPr>
              <w:jc w:val="center"/>
              <w:rPr>
                <w:rFonts w:hint="eastAsia" w:ascii="宋体" w:hAnsi="宋体" w:cs="宋体"/>
                <w:color w:val="auto"/>
                <w:sz w:val="22"/>
                <w:highlight w:val="none"/>
              </w:rPr>
            </w:pPr>
          </w:p>
        </w:tc>
        <w:tc>
          <w:tcPr>
            <w:tcW w:w="898" w:type="dxa"/>
            <w:noWrap w:val="0"/>
            <w:vAlign w:val="center"/>
          </w:tcPr>
          <w:p w14:paraId="67FF3972">
            <w:pPr>
              <w:jc w:val="center"/>
              <w:rPr>
                <w:rFonts w:hint="eastAsia" w:ascii="宋体" w:hAnsi="宋体" w:cs="宋体"/>
                <w:color w:val="auto"/>
                <w:sz w:val="22"/>
                <w:highlight w:val="none"/>
              </w:rPr>
            </w:pPr>
          </w:p>
        </w:tc>
        <w:tc>
          <w:tcPr>
            <w:tcW w:w="634" w:type="dxa"/>
            <w:noWrap w:val="0"/>
            <w:vAlign w:val="center"/>
          </w:tcPr>
          <w:p w14:paraId="48681348">
            <w:pPr>
              <w:jc w:val="center"/>
              <w:rPr>
                <w:rFonts w:hint="eastAsia" w:ascii="宋体" w:hAnsi="宋体" w:cs="宋体"/>
                <w:color w:val="auto"/>
                <w:sz w:val="22"/>
                <w:highlight w:val="none"/>
              </w:rPr>
            </w:pPr>
          </w:p>
        </w:tc>
        <w:tc>
          <w:tcPr>
            <w:tcW w:w="759" w:type="dxa"/>
            <w:noWrap w:val="0"/>
            <w:vAlign w:val="center"/>
          </w:tcPr>
          <w:p w14:paraId="1749B136">
            <w:pPr>
              <w:jc w:val="center"/>
              <w:rPr>
                <w:rFonts w:hint="eastAsia" w:ascii="宋体" w:hAnsi="宋体" w:cs="宋体"/>
                <w:color w:val="auto"/>
                <w:sz w:val="22"/>
                <w:highlight w:val="none"/>
              </w:rPr>
            </w:pPr>
          </w:p>
        </w:tc>
        <w:tc>
          <w:tcPr>
            <w:tcW w:w="942" w:type="dxa"/>
            <w:noWrap w:val="0"/>
            <w:vAlign w:val="center"/>
          </w:tcPr>
          <w:p w14:paraId="512672F3">
            <w:pPr>
              <w:jc w:val="center"/>
              <w:rPr>
                <w:rFonts w:hint="eastAsia" w:ascii="宋体" w:hAnsi="宋体" w:cs="宋体"/>
                <w:color w:val="auto"/>
                <w:sz w:val="22"/>
                <w:highlight w:val="none"/>
              </w:rPr>
            </w:pPr>
          </w:p>
        </w:tc>
        <w:tc>
          <w:tcPr>
            <w:tcW w:w="1256" w:type="dxa"/>
            <w:noWrap w:val="0"/>
            <w:vAlign w:val="center"/>
          </w:tcPr>
          <w:p w14:paraId="0DA0686B">
            <w:pPr>
              <w:jc w:val="center"/>
              <w:rPr>
                <w:rFonts w:hint="eastAsia" w:ascii="宋体" w:hAnsi="宋体" w:cs="宋体"/>
                <w:color w:val="auto"/>
                <w:sz w:val="22"/>
                <w:highlight w:val="none"/>
              </w:rPr>
            </w:pPr>
          </w:p>
        </w:tc>
        <w:tc>
          <w:tcPr>
            <w:tcW w:w="1243" w:type="dxa"/>
            <w:noWrap w:val="0"/>
            <w:vAlign w:val="center"/>
          </w:tcPr>
          <w:p w14:paraId="3441ADC4">
            <w:pPr>
              <w:jc w:val="center"/>
              <w:rPr>
                <w:rFonts w:hint="eastAsia" w:ascii="宋体" w:hAnsi="宋体" w:cs="宋体"/>
                <w:color w:val="auto"/>
                <w:sz w:val="22"/>
                <w:highlight w:val="none"/>
              </w:rPr>
            </w:pPr>
          </w:p>
        </w:tc>
        <w:tc>
          <w:tcPr>
            <w:tcW w:w="1711" w:type="dxa"/>
            <w:noWrap w:val="0"/>
            <w:vAlign w:val="top"/>
          </w:tcPr>
          <w:p w14:paraId="300D96CD">
            <w:pPr>
              <w:jc w:val="center"/>
              <w:rPr>
                <w:rFonts w:hint="eastAsia" w:ascii="宋体" w:hAnsi="宋体" w:cs="宋体"/>
                <w:color w:val="auto"/>
                <w:sz w:val="22"/>
                <w:highlight w:val="none"/>
              </w:rPr>
            </w:pPr>
          </w:p>
        </w:tc>
        <w:tc>
          <w:tcPr>
            <w:tcW w:w="1075" w:type="dxa"/>
            <w:noWrap w:val="0"/>
            <w:vAlign w:val="center"/>
          </w:tcPr>
          <w:p w14:paraId="0636BFFF">
            <w:pPr>
              <w:jc w:val="center"/>
              <w:rPr>
                <w:rFonts w:hint="eastAsia" w:ascii="宋体" w:hAnsi="宋体" w:cs="宋体"/>
                <w:color w:val="auto"/>
                <w:sz w:val="22"/>
                <w:highlight w:val="none"/>
              </w:rPr>
            </w:pPr>
          </w:p>
        </w:tc>
      </w:tr>
      <w:tr w14:paraId="0ADD57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4" w:hRule="exact"/>
          <w:jc w:val="center"/>
        </w:trPr>
        <w:tc>
          <w:tcPr>
            <w:tcW w:w="1081" w:type="dxa"/>
            <w:noWrap w:val="0"/>
            <w:vAlign w:val="center"/>
          </w:tcPr>
          <w:p w14:paraId="18CA5AF2">
            <w:pPr>
              <w:jc w:val="center"/>
              <w:rPr>
                <w:rFonts w:hint="eastAsia" w:ascii="宋体" w:hAnsi="宋体" w:cs="宋体"/>
                <w:color w:val="auto"/>
                <w:sz w:val="22"/>
                <w:highlight w:val="none"/>
              </w:rPr>
            </w:pPr>
          </w:p>
        </w:tc>
        <w:tc>
          <w:tcPr>
            <w:tcW w:w="898" w:type="dxa"/>
            <w:noWrap w:val="0"/>
            <w:vAlign w:val="center"/>
          </w:tcPr>
          <w:p w14:paraId="7D1FEA29">
            <w:pPr>
              <w:jc w:val="center"/>
              <w:rPr>
                <w:rFonts w:hint="eastAsia" w:ascii="宋体" w:hAnsi="宋体" w:cs="宋体"/>
                <w:color w:val="auto"/>
                <w:sz w:val="22"/>
                <w:highlight w:val="none"/>
              </w:rPr>
            </w:pPr>
          </w:p>
        </w:tc>
        <w:tc>
          <w:tcPr>
            <w:tcW w:w="634" w:type="dxa"/>
            <w:noWrap w:val="0"/>
            <w:vAlign w:val="center"/>
          </w:tcPr>
          <w:p w14:paraId="67956B4F">
            <w:pPr>
              <w:jc w:val="center"/>
              <w:rPr>
                <w:rFonts w:hint="eastAsia" w:ascii="宋体" w:hAnsi="宋体" w:cs="宋体"/>
                <w:color w:val="auto"/>
                <w:sz w:val="22"/>
                <w:highlight w:val="none"/>
              </w:rPr>
            </w:pPr>
          </w:p>
        </w:tc>
        <w:tc>
          <w:tcPr>
            <w:tcW w:w="759" w:type="dxa"/>
            <w:noWrap w:val="0"/>
            <w:vAlign w:val="center"/>
          </w:tcPr>
          <w:p w14:paraId="2977AE64">
            <w:pPr>
              <w:jc w:val="center"/>
              <w:rPr>
                <w:rFonts w:hint="eastAsia" w:ascii="宋体" w:hAnsi="宋体" w:cs="宋体"/>
                <w:color w:val="auto"/>
                <w:sz w:val="22"/>
                <w:highlight w:val="none"/>
              </w:rPr>
            </w:pPr>
          </w:p>
        </w:tc>
        <w:tc>
          <w:tcPr>
            <w:tcW w:w="942" w:type="dxa"/>
            <w:noWrap w:val="0"/>
            <w:vAlign w:val="center"/>
          </w:tcPr>
          <w:p w14:paraId="5716DA77">
            <w:pPr>
              <w:jc w:val="center"/>
              <w:rPr>
                <w:rFonts w:hint="eastAsia" w:ascii="宋体" w:hAnsi="宋体" w:cs="宋体"/>
                <w:color w:val="auto"/>
                <w:sz w:val="22"/>
                <w:highlight w:val="none"/>
              </w:rPr>
            </w:pPr>
          </w:p>
        </w:tc>
        <w:tc>
          <w:tcPr>
            <w:tcW w:w="1256" w:type="dxa"/>
            <w:noWrap w:val="0"/>
            <w:vAlign w:val="center"/>
          </w:tcPr>
          <w:p w14:paraId="6635CFC0">
            <w:pPr>
              <w:jc w:val="center"/>
              <w:rPr>
                <w:rFonts w:hint="eastAsia" w:ascii="宋体" w:hAnsi="宋体" w:cs="宋体"/>
                <w:color w:val="auto"/>
                <w:sz w:val="22"/>
                <w:highlight w:val="none"/>
              </w:rPr>
            </w:pPr>
          </w:p>
        </w:tc>
        <w:tc>
          <w:tcPr>
            <w:tcW w:w="1243" w:type="dxa"/>
            <w:noWrap w:val="0"/>
            <w:vAlign w:val="center"/>
          </w:tcPr>
          <w:p w14:paraId="1F350BCF">
            <w:pPr>
              <w:jc w:val="center"/>
              <w:rPr>
                <w:rFonts w:hint="eastAsia" w:ascii="宋体" w:hAnsi="宋体" w:cs="宋体"/>
                <w:color w:val="auto"/>
                <w:sz w:val="22"/>
                <w:highlight w:val="none"/>
              </w:rPr>
            </w:pPr>
          </w:p>
        </w:tc>
        <w:tc>
          <w:tcPr>
            <w:tcW w:w="1711" w:type="dxa"/>
            <w:noWrap w:val="0"/>
            <w:vAlign w:val="top"/>
          </w:tcPr>
          <w:p w14:paraId="12034707">
            <w:pPr>
              <w:jc w:val="center"/>
              <w:rPr>
                <w:rFonts w:hint="eastAsia" w:ascii="宋体" w:hAnsi="宋体" w:cs="宋体"/>
                <w:color w:val="auto"/>
                <w:sz w:val="22"/>
                <w:highlight w:val="none"/>
              </w:rPr>
            </w:pPr>
          </w:p>
        </w:tc>
        <w:tc>
          <w:tcPr>
            <w:tcW w:w="1075" w:type="dxa"/>
            <w:noWrap w:val="0"/>
            <w:vAlign w:val="center"/>
          </w:tcPr>
          <w:p w14:paraId="4F66872D">
            <w:pPr>
              <w:jc w:val="center"/>
              <w:rPr>
                <w:rFonts w:hint="eastAsia" w:ascii="宋体" w:hAnsi="宋体" w:cs="宋体"/>
                <w:color w:val="auto"/>
                <w:sz w:val="22"/>
                <w:highlight w:val="none"/>
              </w:rPr>
            </w:pPr>
          </w:p>
        </w:tc>
      </w:tr>
      <w:tr w14:paraId="0B78E5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4" w:hRule="exact"/>
          <w:jc w:val="center"/>
        </w:trPr>
        <w:tc>
          <w:tcPr>
            <w:tcW w:w="1081" w:type="dxa"/>
            <w:noWrap w:val="0"/>
            <w:vAlign w:val="center"/>
          </w:tcPr>
          <w:p w14:paraId="1D6B75E1">
            <w:pPr>
              <w:jc w:val="center"/>
              <w:rPr>
                <w:rFonts w:hint="eastAsia" w:ascii="宋体" w:hAnsi="宋体" w:cs="宋体"/>
                <w:color w:val="auto"/>
                <w:sz w:val="22"/>
                <w:highlight w:val="none"/>
              </w:rPr>
            </w:pPr>
          </w:p>
        </w:tc>
        <w:tc>
          <w:tcPr>
            <w:tcW w:w="898" w:type="dxa"/>
            <w:noWrap w:val="0"/>
            <w:vAlign w:val="center"/>
          </w:tcPr>
          <w:p w14:paraId="24DE9F02">
            <w:pPr>
              <w:jc w:val="center"/>
              <w:rPr>
                <w:rFonts w:hint="eastAsia" w:ascii="宋体" w:hAnsi="宋体" w:cs="宋体"/>
                <w:color w:val="auto"/>
                <w:sz w:val="22"/>
                <w:highlight w:val="none"/>
              </w:rPr>
            </w:pPr>
          </w:p>
        </w:tc>
        <w:tc>
          <w:tcPr>
            <w:tcW w:w="634" w:type="dxa"/>
            <w:noWrap w:val="0"/>
            <w:vAlign w:val="center"/>
          </w:tcPr>
          <w:p w14:paraId="30DCA835">
            <w:pPr>
              <w:jc w:val="center"/>
              <w:rPr>
                <w:rFonts w:hint="eastAsia" w:ascii="宋体" w:hAnsi="宋体" w:cs="宋体"/>
                <w:color w:val="auto"/>
                <w:sz w:val="22"/>
                <w:highlight w:val="none"/>
              </w:rPr>
            </w:pPr>
          </w:p>
        </w:tc>
        <w:tc>
          <w:tcPr>
            <w:tcW w:w="759" w:type="dxa"/>
            <w:noWrap w:val="0"/>
            <w:vAlign w:val="center"/>
          </w:tcPr>
          <w:p w14:paraId="58AAF6C6">
            <w:pPr>
              <w:jc w:val="center"/>
              <w:rPr>
                <w:rFonts w:hint="eastAsia" w:ascii="宋体" w:hAnsi="宋体" w:cs="宋体"/>
                <w:color w:val="auto"/>
                <w:sz w:val="22"/>
                <w:highlight w:val="none"/>
              </w:rPr>
            </w:pPr>
          </w:p>
        </w:tc>
        <w:tc>
          <w:tcPr>
            <w:tcW w:w="942" w:type="dxa"/>
            <w:noWrap w:val="0"/>
            <w:vAlign w:val="center"/>
          </w:tcPr>
          <w:p w14:paraId="6E0EE319">
            <w:pPr>
              <w:jc w:val="center"/>
              <w:rPr>
                <w:rFonts w:hint="eastAsia" w:ascii="宋体" w:hAnsi="宋体" w:cs="宋体"/>
                <w:color w:val="auto"/>
                <w:sz w:val="22"/>
                <w:highlight w:val="none"/>
              </w:rPr>
            </w:pPr>
          </w:p>
        </w:tc>
        <w:tc>
          <w:tcPr>
            <w:tcW w:w="1256" w:type="dxa"/>
            <w:noWrap w:val="0"/>
            <w:vAlign w:val="center"/>
          </w:tcPr>
          <w:p w14:paraId="21101807">
            <w:pPr>
              <w:jc w:val="center"/>
              <w:rPr>
                <w:rFonts w:hint="eastAsia" w:ascii="宋体" w:hAnsi="宋体" w:cs="宋体"/>
                <w:color w:val="auto"/>
                <w:sz w:val="22"/>
                <w:highlight w:val="none"/>
              </w:rPr>
            </w:pPr>
          </w:p>
        </w:tc>
        <w:tc>
          <w:tcPr>
            <w:tcW w:w="1243" w:type="dxa"/>
            <w:noWrap w:val="0"/>
            <w:vAlign w:val="center"/>
          </w:tcPr>
          <w:p w14:paraId="5EDEB234">
            <w:pPr>
              <w:jc w:val="center"/>
              <w:rPr>
                <w:rFonts w:hint="eastAsia" w:ascii="宋体" w:hAnsi="宋体" w:cs="宋体"/>
                <w:color w:val="auto"/>
                <w:sz w:val="22"/>
                <w:highlight w:val="none"/>
              </w:rPr>
            </w:pPr>
          </w:p>
        </w:tc>
        <w:tc>
          <w:tcPr>
            <w:tcW w:w="1711" w:type="dxa"/>
            <w:noWrap w:val="0"/>
            <w:vAlign w:val="top"/>
          </w:tcPr>
          <w:p w14:paraId="1EF68880">
            <w:pPr>
              <w:jc w:val="center"/>
              <w:rPr>
                <w:rFonts w:hint="eastAsia" w:ascii="宋体" w:hAnsi="宋体" w:cs="宋体"/>
                <w:color w:val="auto"/>
                <w:sz w:val="22"/>
                <w:highlight w:val="none"/>
              </w:rPr>
            </w:pPr>
          </w:p>
        </w:tc>
        <w:tc>
          <w:tcPr>
            <w:tcW w:w="1075" w:type="dxa"/>
            <w:noWrap w:val="0"/>
            <w:vAlign w:val="center"/>
          </w:tcPr>
          <w:p w14:paraId="162CC6E4">
            <w:pPr>
              <w:jc w:val="center"/>
              <w:rPr>
                <w:rFonts w:hint="eastAsia" w:ascii="宋体" w:hAnsi="宋体" w:cs="宋体"/>
                <w:color w:val="auto"/>
                <w:sz w:val="22"/>
                <w:highlight w:val="none"/>
              </w:rPr>
            </w:pPr>
          </w:p>
        </w:tc>
      </w:tr>
      <w:tr w14:paraId="30A003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4" w:hRule="exact"/>
          <w:jc w:val="center"/>
        </w:trPr>
        <w:tc>
          <w:tcPr>
            <w:tcW w:w="1081" w:type="dxa"/>
            <w:noWrap w:val="0"/>
            <w:vAlign w:val="center"/>
          </w:tcPr>
          <w:p w14:paraId="284F4DE0">
            <w:pPr>
              <w:jc w:val="center"/>
              <w:rPr>
                <w:rFonts w:hint="eastAsia" w:ascii="宋体" w:hAnsi="宋体" w:cs="宋体"/>
                <w:color w:val="auto"/>
                <w:sz w:val="22"/>
                <w:highlight w:val="none"/>
              </w:rPr>
            </w:pPr>
          </w:p>
        </w:tc>
        <w:tc>
          <w:tcPr>
            <w:tcW w:w="898" w:type="dxa"/>
            <w:noWrap w:val="0"/>
            <w:vAlign w:val="center"/>
          </w:tcPr>
          <w:p w14:paraId="282EEA1B">
            <w:pPr>
              <w:jc w:val="center"/>
              <w:rPr>
                <w:rFonts w:hint="eastAsia" w:ascii="宋体" w:hAnsi="宋体" w:cs="宋体"/>
                <w:color w:val="auto"/>
                <w:sz w:val="22"/>
                <w:highlight w:val="none"/>
              </w:rPr>
            </w:pPr>
          </w:p>
        </w:tc>
        <w:tc>
          <w:tcPr>
            <w:tcW w:w="634" w:type="dxa"/>
            <w:noWrap w:val="0"/>
            <w:vAlign w:val="center"/>
          </w:tcPr>
          <w:p w14:paraId="1AD55BC1">
            <w:pPr>
              <w:jc w:val="center"/>
              <w:rPr>
                <w:rFonts w:hint="eastAsia" w:ascii="宋体" w:hAnsi="宋体" w:cs="宋体"/>
                <w:color w:val="auto"/>
                <w:sz w:val="22"/>
                <w:highlight w:val="none"/>
              </w:rPr>
            </w:pPr>
          </w:p>
        </w:tc>
        <w:tc>
          <w:tcPr>
            <w:tcW w:w="759" w:type="dxa"/>
            <w:noWrap w:val="0"/>
            <w:vAlign w:val="center"/>
          </w:tcPr>
          <w:p w14:paraId="2D7D1573">
            <w:pPr>
              <w:jc w:val="center"/>
              <w:rPr>
                <w:rFonts w:hint="eastAsia" w:ascii="宋体" w:hAnsi="宋体" w:cs="宋体"/>
                <w:color w:val="auto"/>
                <w:sz w:val="22"/>
                <w:highlight w:val="none"/>
              </w:rPr>
            </w:pPr>
          </w:p>
        </w:tc>
        <w:tc>
          <w:tcPr>
            <w:tcW w:w="942" w:type="dxa"/>
            <w:noWrap w:val="0"/>
            <w:vAlign w:val="center"/>
          </w:tcPr>
          <w:p w14:paraId="5B042BF0">
            <w:pPr>
              <w:jc w:val="center"/>
              <w:rPr>
                <w:rFonts w:hint="eastAsia" w:ascii="宋体" w:hAnsi="宋体" w:cs="宋体"/>
                <w:color w:val="auto"/>
                <w:sz w:val="22"/>
                <w:highlight w:val="none"/>
              </w:rPr>
            </w:pPr>
          </w:p>
        </w:tc>
        <w:tc>
          <w:tcPr>
            <w:tcW w:w="1256" w:type="dxa"/>
            <w:noWrap w:val="0"/>
            <w:vAlign w:val="center"/>
          </w:tcPr>
          <w:p w14:paraId="756E7038">
            <w:pPr>
              <w:jc w:val="center"/>
              <w:rPr>
                <w:rFonts w:hint="eastAsia" w:ascii="宋体" w:hAnsi="宋体" w:cs="宋体"/>
                <w:color w:val="auto"/>
                <w:sz w:val="22"/>
                <w:highlight w:val="none"/>
              </w:rPr>
            </w:pPr>
          </w:p>
        </w:tc>
        <w:tc>
          <w:tcPr>
            <w:tcW w:w="1243" w:type="dxa"/>
            <w:noWrap w:val="0"/>
            <w:vAlign w:val="center"/>
          </w:tcPr>
          <w:p w14:paraId="6C730F50">
            <w:pPr>
              <w:jc w:val="center"/>
              <w:rPr>
                <w:rFonts w:hint="eastAsia" w:ascii="宋体" w:hAnsi="宋体" w:cs="宋体"/>
                <w:color w:val="auto"/>
                <w:sz w:val="22"/>
                <w:highlight w:val="none"/>
              </w:rPr>
            </w:pPr>
          </w:p>
        </w:tc>
        <w:tc>
          <w:tcPr>
            <w:tcW w:w="1711" w:type="dxa"/>
            <w:noWrap w:val="0"/>
            <w:vAlign w:val="top"/>
          </w:tcPr>
          <w:p w14:paraId="7B6A588C">
            <w:pPr>
              <w:jc w:val="center"/>
              <w:rPr>
                <w:rFonts w:hint="eastAsia" w:ascii="宋体" w:hAnsi="宋体" w:cs="宋体"/>
                <w:color w:val="auto"/>
                <w:sz w:val="22"/>
                <w:highlight w:val="none"/>
              </w:rPr>
            </w:pPr>
          </w:p>
        </w:tc>
        <w:tc>
          <w:tcPr>
            <w:tcW w:w="1075" w:type="dxa"/>
            <w:noWrap w:val="0"/>
            <w:vAlign w:val="center"/>
          </w:tcPr>
          <w:p w14:paraId="07004EAB">
            <w:pPr>
              <w:jc w:val="center"/>
              <w:rPr>
                <w:rFonts w:hint="eastAsia" w:ascii="宋体" w:hAnsi="宋体" w:cs="宋体"/>
                <w:color w:val="auto"/>
                <w:sz w:val="22"/>
                <w:highlight w:val="none"/>
              </w:rPr>
            </w:pPr>
          </w:p>
        </w:tc>
      </w:tr>
      <w:tr w14:paraId="3634EA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4" w:hRule="exact"/>
          <w:jc w:val="center"/>
        </w:trPr>
        <w:tc>
          <w:tcPr>
            <w:tcW w:w="1081" w:type="dxa"/>
            <w:noWrap w:val="0"/>
            <w:vAlign w:val="center"/>
          </w:tcPr>
          <w:p w14:paraId="04E1B4BC">
            <w:pPr>
              <w:jc w:val="center"/>
              <w:rPr>
                <w:rFonts w:hint="eastAsia" w:ascii="宋体" w:hAnsi="宋体" w:cs="宋体"/>
                <w:color w:val="auto"/>
                <w:sz w:val="22"/>
                <w:highlight w:val="none"/>
              </w:rPr>
            </w:pPr>
          </w:p>
        </w:tc>
        <w:tc>
          <w:tcPr>
            <w:tcW w:w="898" w:type="dxa"/>
            <w:noWrap w:val="0"/>
            <w:vAlign w:val="center"/>
          </w:tcPr>
          <w:p w14:paraId="72E79963">
            <w:pPr>
              <w:jc w:val="center"/>
              <w:rPr>
                <w:rFonts w:hint="eastAsia" w:ascii="宋体" w:hAnsi="宋体" w:cs="宋体"/>
                <w:color w:val="auto"/>
                <w:sz w:val="22"/>
                <w:highlight w:val="none"/>
              </w:rPr>
            </w:pPr>
          </w:p>
        </w:tc>
        <w:tc>
          <w:tcPr>
            <w:tcW w:w="634" w:type="dxa"/>
            <w:noWrap w:val="0"/>
            <w:vAlign w:val="center"/>
          </w:tcPr>
          <w:p w14:paraId="62C6D2FA">
            <w:pPr>
              <w:jc w:val="center"/>
              <w:rPr>
                <w:rFonts w:hint="eastAsia" w:ascii="宋体" w:hAnsi="宋体" w:cs="宋体"/>
                <w:color w:val="auto"/>
                <w:sz w:val="22"/>
                <w:highlight w:val="none"/>
              </w:rPr>
            </w:pPr>
          </w:p>
        </w:tc>
        <w:tc>
          <w:tcPr>
            <w:tcW w:w="759" w:type="dxa"/>
            <w:noWrap w:val="0"/>
            <w:vAlign w:val="center"/>
          </w:tcPr>
          <w:p w14:paraId="3DE5DFEA">
            <w:pPr>
              <w:jc w:val="center"/>
              <w:rPr>
                <w:rFonts w:hint="eastAsia" w:ascii="宋体" w:hAnsi="宋体" w:cs="宋体"/>
                <w:color w:val="auto"/>
                <w:sz w:val="22"/>
                <w:highlight w:val="none"/>
              </w:rPr>
            </w:pPr>
          </w:p>
        </w:tc>
        <w:tc>
          <w:tcPr>
            <w:tcW w:w="942" w:type="dxa"/>
            <w:noWrap w:val="0"/>
            <w:vAlign w:val="center"/>
          </w:tcPr>
          <w:p w14:paraId="2AC36CC3">
            <w:pPr>
              <w:jc w:val="center"/>
              <w:rPr>
                <w:rFonts w:hint="eastAsia" w:ascii="宋体" w:hAnsi="宋体" w:cs="宋体"/>
                <w:color w:val="auto"/>
                <w:sz w:val="22"/>
                <w:highlight w:val="none"/>
              </w:rPr>
            </w:pPr>
          </w:p>
        </w:tc>
        <w:tc>
          <w:tcPr>
            <w:tcW w:w="1256" w:type="dxa"/>
            <w:noWrap w:val="0"/>
            <w:vAlign w:val="center"/>
          </w:tcPr>
          <w:p w14:paraId="1BAE89CC">
            <w:pPr>
              <w:jc w:val="center"/>
              <w:rPr>
                <w:rFonts w:hint="eastAsia" w:ascii="宋体" w:hAnsi="宋体" w:cs="宋体"/>
                <w:color w:val="auto"/>
                <w:sz w:val="22"/>
                <w:highlight w:val="none"/>
              </w:rPr>
            </w:pPr>
          </w:p>
        </w:tc>
        <w:tc>
          <w:tcPr>
            <w:tcW w:w="1243" w:type="dxa"/>
            <w:noWrap w:val="0"/>
            <w:vAlign w:val="center"/>
          </w:tcPr>
          <w:p w14:paraId="12D1C852">
            <w:pPr>
              <w:jc w:val="center"/>
              <w:rPr>
                <w:rFonts w:hint="eastAsia" w:ascii="宋体" w:hAnsi="宋体" w:cs="宋体"/>
                <w:color w:val="auto"/>
                <w:sz w:val="22"/>
                <w:highlight w:val="none"/>
              </w:rPr>
            </w:pPr>
          </w:p>
        </w:tc>
        <w:tc>
          <w:tcPr>
            <w:tcW w:w="1711" w:type="dxa"/>
            <w:noWrap w:val="0"/>
            <w:vAlign w:val="top"/>
          </w:tcPr>
          <w:p w14:paraId="14A64641">
            <w:pPr>
              <w:jc w:val="center"/>
              <w:rPr>
                <w:rFonts w:hint="eastAsia" w:ascii="宋体" w:hAnsi="宋体" w:cs="宋体"/>
                <w:color w:val="auto"/>
                <w:sz w:val="22"/>
                <w:highlight w:val="none"/>
              </w:rPr>
            </w:pPr>
          </w:p>
        </w:tc>
        <w:tc>
          <w:tcPr>
            <w:tcW w:w="1075" w:type="dxa"/>
            <w:noWrap w:val="0"/>
            <w:vAlign w:val="center"/>
          </w:tcPr>
          <w:p w14:paraId="12D92D6D">
            <w:pPr>
              <w:jc w:val="center"/>
              <w:rPr>
                <w:rFonts w:hint="eastAsia" w:ascii="宋体" w:hAnsi="宋体" w:cs="宋体"/>
                <w:color w:val="auto"/>
                <w:sz w:val="22"/>
                <w:highlight w:val="none"/>
              </w:rPr>
            </w:pPr>
          </w:p>
        </w:tc>
      </w:tr>
      <w:tr w14:paraId="1BC959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8" w:hRule="exact"/>
          <w:jc w:val="center"/>
        </w:trPr>
        <w:tc>
          <w:tcPr>
            <w:tcW w:w="1081" w:type="dxa"/>
            <w:noWrap w:val="0"/>
            <w:vAlign w:val="center"/>
          </w:tcPr>
          <w:p w14:paraId="47491460">
            <w:pPr>
              <w:jc w:val="center"/>
              <w:rPr>
                <w:rFonts w:hint="eastAsia" w:ascii="宋体" w:hAnsi="宋体" w:cs="宋体"/>
                <w:color w:val="auto"/>
                <w:sz w:val="22"/>
                <w:highlight w:val="none"/>
              </w:rPr>
            </w:pPr>
          </w:p>
        </w:tc>
        <w:tc>
          <w:tcPr>
            <w:tcW w:w="898" w:type="dxa"/>
            <w:noWrap w:val="0"/>
            <w:vAlign w:val="center"/>
          </w:tcPr>
          <w:p w14:paraId="40A03FEE">
            <w:pPr>
              <w:jc w:val="center"/>
              <w:rPr>
                <w:rFonts w:hint="eastAsia" w:ascii="宋体" w:hAnsi="宋体" w:cs="宋体"/>
                <w:color w:val="auto"/>
                <w:sz w:val="22"/>
                <w:highlight w:val="none"/>
              </w:rPr>
            </w:pPr>
          </w:p>
        </w:tc>
        <w:tc>
          <w:tcPr>
            <w:tcW w:w="634" w:type="dxa"/>
            <w:noWrap w:val="0"/>
            <w:vAlign w:val="center"/>
          </w:tcPr>
          <w:p w14:paraId="796968E0">
            <w:pPr>
              <w:jc w:val="center"/>
              <w:rPr>
                <w:rFonts w:hint="eastAsia" w:ascii="宋体" w:hAnsi="宋体" w:cs="宋体"/>
                <w:color w:val="auto"/>
                <w:sz w:val="22"/>
                <w:highlight w:val="none"/>
              </w:rPr>
            </w:pPr>
          </w:p>
        </w:tc>
        <w:tc>
          <w:tcPr>
            <w:tcW w:w="759" w:type="dxa"/>
            <w:noWrap w:val="0"/>
            <w:vAlign w:val="center"/>
          </w:tcPr>
          <w:p w14:paraId="7C9D8576">
            <w:pPr>
              <w:jc w:val="center"/>
              <w:rPr>
                <w:rFonts w:hint="eastAsia" w:ascii="宋体" w:hAnsi="宋体" w:cs="宋体"/>
                <w:color w:val="auto"/>
                <w:sz w:val="22"/>
                <w:highlight w:val="none"/>
              </w:rPr>
            </w:pPr>
          </w:p>
        </w:tc>
        <w:tc>
          <w:tcPr>
            <w:tcW w:w="942" w:type="dxa"/>
            <w:noWrap w:val="0"/>
            <w:vAlign w:val="center"/>
          </w:tcPr>
          <w:p w14:paraId="7B08FF35">
            <w:pPr>
              <w:jc w:val="center"/>
              <w:rPr>
                <w:rFonts w:hint="eastAsia" w:ascii="宋体" w:hAnsi="宋体" w:cs="宋体"/>
                <w:color w:val="auto"/>
                <w:sz w:val="22"/>
                <w:highlight w:val="none"/>
              </w:rPr>
            </w:pPr>
          </w:p>
        </w:tc>
        <w:tc>
          <w:tcPr>
            <w:tcW w:w="1256" w:type="dxa"/>
            <w:noWrap w:val="0"/>
            <w:vAlign w:val="center"/>
          </w:tcPr>
          <w:p w14:paraId="511E15BF">
            <w:pPr>
              <w:jc w:val="center"/>
              <w:rPr>
                <w:rFonts w:hint="eastAsia" w:ascii="宋体" w:hAnsi="宋体" w:cs="宋体"/>
                <w:color w:val="auto"/>
                <w:sz w:val="22"/>
                <w:highlight w:val="none"/>
              </w:rPr>
            </w:pPr>
          </w:p>
        </w:tc>
        <w:tc>
          <w:tcPr>
            <w:tcW w:w="1243" w:type="dxa"/>
            <w:noWrap w:val="0"/>
            <w:vAlign w:val="center"/>
          </w:tcPr>
          <w:p w14:paraId="75B52B0D">
            <w:pPr>
              <w:jc w:val="center"/>
              <w:rPr>
                <w:rFonts w:hint="eastAsia" w:ascii="宋体" w:hAnsi="宋体" w:cs="宋体"/>
                <w:color w:val="auto"/>
                <w:sz w:val="22"/>
                <w:highlight w:val="none"/>
              </w:rPr>
            </w:pPr>
          </w:p>
        </w:tc>
        <w:tc>
          <w:tcPr>
            <w:tcW w:w="1711" w:type="dxa"/>
            <w:noWrap w:val="0"/>
            <w:vAlign w:val="top"/>
          </w:tcPr>
          <w:p w14:paraId="07BD023E">
            <w:pPr>
              <w:jc w:val="center"/>
              <w:rPr>
                <w:rFonts w:hint="eastAsia" w:ascii="宋体" w:hAnsi="宋体" w:cs="宋体"/>
                <w:color w:val="auto"/>
                <w:sz w:val="22"/>
                <w:highlight w:val="none"/>
              </w:rPr>
            </w:pPr>
          </w:p>
        </w:tc>
        <w:tc>
          <w:tcPr>
            <w:tcW w:w="1075" w:type="dxa"/>
            <w:noWrap w:val="0"/>
            <w:vAlign w:val="center"/>
          </w:tcPr>
          <w:p w14:paraId="5516ED8E">
            <w:pPr>
              <w:jc w:val="center"/>
              <w:rPr>
                <w:rFonts w:hint="eastAsia" w:ascii="宋体" w:hAnsi="宋体" w:cs="宋体"/>
                <w:color w:val="auto"/>
                <w:sz w:val="22"/>
                <w:highlight w:val="none"/>
              </w:rPr>
            </w:pPr>
          </w:p>
        </w:tc>
      </w:tr>
    </w:tbl>
    <w:p w14:paraId="016C2060">
      <w:pPr>
        <w:tabs>
          <w:tab w:val="left" w:pos="1620"/>
        </w:tabs>
        <w:spacing w:line="360" w:lineRule="exact"/>
        <w:ind w:right="-107"/>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注：</w:t>
      </w:r>
    </w:p>
    <w:p w14:paraId="7115DF51">
      <w:pPr>
        <w:spacing w:line="380" w:lineRule="exact"/>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1、本表中提供的人员名单应与实际投入项目的人员一致，如有变更应事先与采购人沟通，经采购人同意后才可变更人员，供应商不可擅自变更人员。</w:t>
      </w:r>
    </w:p>
    <w:p w14:paraId="32C0E5BF">
      <w:pPr>
        <w:spacing w:line="380" w:lineRule="exact"/>
        <w:rPr>
          <w:rFonts w:hint="eastAsia" w:ascii="新宋体" w:hAnsi="新宋体" w:eastAsia="新宋体" w:cs="新宋体"/>
          <w:b w:val="0"/>
          <w:bCs w:val="0"/>
          <w:color w:val="auto"/>
          <w:kern w:val="0"/>
          <w:sz w:val="22"/>
          <w:szCs w:val="22"/>
          <w:highlight w:val="none"/>
        </w:rPr>
      </w:pPr>
      <w:r>
        <w:rPr>
          <w:rFonts w:hint="eastAsia" w:ascii="新宋体" w:hAnsi="新宋体" w:eastAsia="新宋体" w:cs="新宋体"/>
          <w:b w:val="0"/>
          <w:bCs w:val="0"/>
          <w:color w:val="auto"/>
          <w:kern w:val="0"/>
          <w:sz w:val="22"/>
          <w:szCs w:val="22"/>
          <w:highlight w:val="none"/>
        </w:rPr>
        <w:t>2、附评分内容条件所要求的相关证明等的复印件加盖公章，否则评分不予认可。</w:t>
      </w:r>
    </w:p>
    <w:p w14:paraId="643EE473">
      <w:pPr>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lang w:val="en-US" w:eastAsia="zh-CN"/>
        </w:rPr>
        <w:t>3、</w:t>
      </w:r>
      <w:r>
        <w:rPr>
          <w:rFonts w:hint="eastAsia" w:ascii="新宋体" w:hAnsi="新宋体" w:eastAsia="新宋体" w:cs="新宋体"/>
          <w:b w:val="0"/>
          <w:bCs w:val="0"/>
          <w:color w:val="auto"/>
          <w:sz w:val="22"/>
          <w:szCs w:val="22"/>
          <w:highlight w:val="none"/>
        </w:rPr>
        <w:t>此表仅提供了表格形式，投标供应商应根据需要准备足够数量的表格来填写。</w:t>
      </w:r>
    </w:p>
    <w:p w14:paraId="1A09B5F8">
      <w:pPr>
        <w:rPr>
          <w:rFonts w:hint="eastAsia" w:ascii="新宋体" w:hAnsi="新宋体" w:eastAsia="新宋体" w:cs="新宋体"/>
          <w:color w:val="auto"/>
          <w:sz w:val="22"/>
          <w:szCs w:val="22"/>
          <w:highlight w:val="none"/>
        </w:rPr>
      </w:pPr>
    </w:p>
    <w:p w14:paraId="5E3C43B3">
      <w:pPr>
        <w:rPr>
          <w:rFonts w:hint="eastAsia" w:ascii="新宋体" w:hAnsi="新宋体" w:eastAsia="新宋体" w:cs="新宋体"/>
          <w:color w:val="auto"/>
          <w:sz w:val="22"/>
          <w:szCs w:val="22"/>
          <w:highlight w:val="none"/>
        </w:rPr>
      </w:pPr>
    </w:p>
    <w:p w14:paraId="05B45F31">
      <w:pPr>
        <w:spacing w:line="44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投标供应商全称（公章）：</w:t>
      </w:r>
    </w:p>
    <w:p w14:paraId="6646BFF0">
      <w:pPr>
        <w:spacing w:line="44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法定代表人（负责人）</w:t>
      </w:r>
      <w:r>
        <w:rPr>
          <w:rFonts w:hint="eastAsia" w:ascii="新宋体" w:hAnsi="新宋体" w:eastAsia="新宋体" w:cs="新宋体"/>
          <w:color w:val="auto"/>
          <w:sz w:val="22"/>
          <w:szCs w:val="22"/>
          <w:highlight w:val="none"/>
        </w:rPr>
        <w:t>或授权代表（签字或盖章）：</w:t>
      </w:r>
    </w:p>
    <w:p w14:paraId="7947F266">
      <w:pPr>
        <w:spacing w:line="440" w:lineRule="exact"/>
        <w:jc w:val="righ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14:paraId="570668E6">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br w:type="page"/>
      </w:r>
    </w:p>
    <w:p w14:paraId="4ED61846">
      <w:pPr>
        <w:tabs>
          <w:tab w:val="left" w:pos="840"/>
        </w:tabs>
        <w:adjustRightInd w:val="0"/>
        <w:snapToGrid w:val="0"/>
        <w:spacing w:line="360" w:lineRule="auto"/>
        <w:ind w:left="18" w:hanging="18" w:hangingChars="8"/>
        <w:jc w:val="left"/>
        <w:rPr>
          <w:rFonts w:hint="eastAsia" w:ascii="新宋体" w:hAnsi="新宋体" w:eastAsia="新宋体" w:cs="新宋体"/>
          <w:b/>
          <w:bCs/>
          <w:color w:val="auto"/>
          <w:sz w:val="22"/>
          <w:szCs w:val="22"/>
          <w:highlight w:val="none"/>
        </w:rPr>
      </w:pPr>
      <w:bookmarkStart w:id="194" w:name="_Toc22184"/>
      <w:r>
        <w:rPr>
          <w:rFonts w:hint="eastAsia" w:ascii="新宋体" w:hAnsi="新宋体" w:eastAsia="新宋体" w:cs="新宋体"/>
          <w:b/>
          <w:bCs/>
          <w:color w:val="auto"/>
          <w:sz w:val="22"/>
          <w:szCs w:val="22"/>
          <w:highlight w:val="none"/>
        </w:rPr>
        <w:t>附件</w:t>
      </w:r>
      <w:r>
        <w:rPr>
          <w:rFonts w:hint="eastAsia" w:ascii="新宋体" w:hAnsi="新宋体" w:eastAsia="新宋体" w:cs="新宋体"/>
          <w:b/>
          <w:bCs/>
          <w:color w:val="auto"/>
          <w:sz w:val="22"/>
          <w:szCs w:val="22"/>
          <w:highlight w:val="none"/>
          <w:lang w:val="en-US" w:eastAsia="zh-CN"/>
        </w:rPr>
        <w:t>七</w:t>
      </w:r>
      <w:r>
        <w:rPr>
          <w:rFonts w:hint="eastAsia" w:ascii="新宋体" w:hAnsi="新宋体" w:eastAsia="新宋体" w:cs="新宋体"/>
          <w:b/>
          <w:bCs/>
          <w:color w:val="auto"/>
          <w:sz w:val="22"/>
          <w:szCs w:val="22"/>
          <w:highlight w:val="none"/>
        </w:rPr>
        <w:t>：</w:t>
      </w:r>
      <w:bookmarkEnd w:id="194"/>
    </w:p>
    <w:p w14:paraId="22D93E98">
      <w:pPr>
        <w:pStyle w:val="29"/>
        <w:jc w:val="center"/>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系统能力视频演示</w:t>
      </w:r>
    </w:p>
    <w:p w14:paraId="5E754189">
      <w:pPr>
        <w:tabs>
          <w:tab w:val="left" w:pos="780"/>
        </w:tabs>
        <w:spacing w:line="360" w:lineRule="auto"/>
        <w:ind w:left="180"/>
        <w:jc w:val="center"/>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val="en-US" w:eastAsia="zh-CN"/>
        </w:rPr>
        <w:t>（存储于可读U盘中，数量：1个，包含技术资信评分表中要求的演示内容）</w:t>
      </w:r>
    </w:p>
    <w:p w14:paraId="499E64D0">
      <w:pPr>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both"/>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lang w:val="en-US" w:eastAsia="zh-CN"/>
        </w:rPr>
        <w:t>投标供应商应提供其真实系统或DEMO系统的操作演示讲解和介绍视频，其他方式演示的不得分，视频演示具体要求如下：</w:t>
      </w:r>
    </w:p>
    <w:p w14:paraId="6725E4C5">
      <w:pPr>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both"/>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lang w:val="en-US" w:eastAsia="zh-CN"/>
        </w:rPr>
        <w:t>每个投标供应商的演示时间要求控制在20分钟以内（超出规定时间范围的演示内容不得分），演示内容无法辨识的不得分。视频文件名需注明“</w:t>
      </w:r>
      <w:r>
        <w:rPr>
          <w:rFonts w:hint="eastAsia" w:ascii="新宋体" w:hAnsi="新宋体" w:eastAsia="新宋体" w:cs="新宋体"/>
          <w:b w:val="0"/>
          <w:bCs w:val="0"/>
          <w:color w:val="auto"/>
          <w:kern w:val="0"/>
          <w:sz w:val="22"/>
          <w:szCs w:val="22"/>
          <w:highlight w:val="none"/>
          <w:lang w:val="en-US" w:eastAsia="zh-CN"/>
        </w:rPr>
        <w:t>投标供应商名称及项目名称</w:t>
      </w:r>
      <w:r>
        <w:rPr>
          <w:rFonts w:hint="eastAsia" w:ascii="新宋体" w:hAnsi="新宋体" w:eastAsia="新宋体" w:cs="新宋体"/>
          <w:b w:val="0"/>
          <w:bCs w:val="0"/>
          <w:color w:val="auto"/>
          <w:sz w:val="22"/>
          <w:szCs w:val="22"/>
          <w:highlight w:val="none"/>
          <w:lang w:val="en-US" w:eastAsia="zh-CN"/>
        </w:rPr>
        <w:t>”；</w:t>
      </w:r>
    </w:p>
    <w:p w14:paraId="4168F539">
      <w:pPr>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both"/>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lang w:val="en-US" w:eastAsia="zh-CN"/>
        </w:rPr>
        <w:t>视频演示内容按照评分内容排序，并标号说明，方便专家逐项评审，避免影响得分，视频格式应确保至少能被windows media player及MP4读取播放。</w:t>
      </w:r>
    </w:p>
    <w:p w14:paraId="5E6B98F4">
      <w:pPr>
        <w:pageBreakBefore w:val="0"/>
        <w:widowControl w:val="0"/>
        <w:kinsoku/>
        <w:wordWrap/>
        <w:overflowPunct/>
        <w:topLinePunct w:val="0"/>
        <w:autoSpaceDE/>
        <w:autoSpaceDN/>
        <w:bidi w:val="0"/>
        <w:adjustRightInd/>
        <w:snapToGrid/>
        <w:spacing w:line="360" w:lineRule="auto"/>
        <w:ind w:left="0" w:leftChars="0" w:right="0" w:rightChars="0" w:firstLine="440" w:firstLineChars="200"/>
        <w:jc w:val="both"/>
        <w:textAlignment w:val="auto"/>
        <w:rPr>
          <w:rFonts w:hint="eastAsia" w:ascii="新宋体" w:hAnsi="新宋体" w:eastAsia="新宋体" w:cs="新宋体"/>
          <w:b w:val="0"/>
          <w:bCs w:val="0"/>
          <w:color w:val="auto"/>
          <w:sz w:val="22"/>
          <w:szCs w:val="22"/>
          <w:highlight w:val="none"/>
          <w:lang w:val="en-US" w:eastAsia="zh-CN"/>
        </w:rPr>
      </w:pPr>
    </w:p>
    <w:p w14:paraId="44096DAF">
      <w:pPr>
        <w:rPr>
          <w:rFonts w:hint="eastAsia" w:ascii="新宋体" w:hAnsi="新宋体" w:eastAsia="新宋体" w:cs="新宋体"/>
          <w:b w:val="0"/>
          <w:bCs w:val="0"/>
          <w:color w:val="auto"/>
          <w:kern w:val="0"/>
          <w:sz w:val="22"/>
          <w:szCs w:val="22"/>
          <w:highlight w:val="none"/>
          <w:lang w:val="en-US" w:eastAsia="zh-CN"/>
        </w:rPr>
      </w:pPr>
    </w:p>
    <w:p w14:paraId="69AF20EB">
      <w:pPr>
        <w:rPr>
          <w:rFonts w:hint="eastAsia" w:ascii="新宋体" w:hAnsi="新宋体" w:eastAsia="新宋体" w:cs="新宋体"/>
          <w:b w:val="0"/>
          <w:bCs w:val="0"/>
          <w:color w:val="auto"/>
          <w:kern w:val="0"/>
          <w:sz w:val="22"/>
          <w:szCs w:val="22"/>
          <w:highlight w:val="none"/>
          <w:lang w:val="en-US" w:eastAsia="zh-CN"/>
        </w:rPr>
      </w:pPr>
    </w:p>
    <w:p w14:paraId="64928C6A">
      <w:pPr>
        <w:rPr>
          <w:rFonts w:hint="eastAsia" w:ascii="新宋体" w:hAnsi="新宋体" w:eastAsia="新宋体" w:cs="新宋体"/>
          <w:b w:val="0"/>
          <w:bCs w:val="0"/>
          <w:color w:val="auto"/>
          <w:kern w:val="0"/>
          <w:sz w:val="22"/>
          <w:szCs w:val="22"/>
          <w:highlight w:val="none"/>
          <w:lang w:val="en-US" w:eastAsia="zh-CN"/>
        </w:rPr>
      </w:pPr>
    </w:p>
    <w:p w14:paraId="29B7893E">
      <w:pPr>
        <w:rPr>
          <w:rFonts w:hint="eastAsia" w:ascii="新宋体" w:hAnsi="新宋体" w:eastAsia="新宋体" w:cs="新宋体"/>
          <w:b w:val="0"/>
          <w:bCs w:val="0"/>
          <w:color w:val="auto"/>
          <w:kern w:val="0"/>
          <w:sz w:val="22"/>
          <w:szCs w:val="22"/>
          <w:highlight w:val="none"/>
          <w:lang w:val="en-US" w:eastAsia="zh-CN"/>
        </w:rPr>
      </w:pPr>
    </w:p>
    <w:p w14:paraId="5969403A">
      <w:pPr>
        <w:pStyle w:val="4"/>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val="0"/>
          <w:color w:val="auto"/>
          <w:kern w:val="0"/>
          <w:sz w:val="22"/>
          <w:szCs w:val="22"/>
          <w:highlight w:val="none"/>
          <w:lang w:val="en-US" w:eastAsia="zh-CN"/>
        </w:rPr>
      </w:pPr>
    </w:p>
    <w:p w14:paraId="52719CF1">
      <w:pPr>
        <w:pageBreakBefore w:val="0"/>
        <w:widowControl w:val="0"/>
        <w:kinsoku/>
        <w:wordWrap/>
        <w:overflowPunct/>
        <w:topLinePunct w:val="0"/>
        <w:autoSpaceDE/>
        <w:autoSpaceDN/>
        <w:bidi w:val="0"/>
        <w:adjustRightInd/>
        <w:snapToGrid/>
        <w:spacing w:line="360" w:lineRule="auto"/>
        <w:ind w:right="0" w:rightChars="0"/>
        <w:jc w:val="left"/>
        <w:textAlignment w:val="auto"/>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说明：</w:t>
      </w:r>
    </w:p>
    <w:p w14:paraId="50C3467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①未提供演示视频的，或提供的演示视频无法打开的，是投标供应商的责任，视频演示内容不得分；</w:t>
      </w:r>
    </w:p>
    <w:p w14:paraId="30DC2CD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②视频演示存储于可读U盘中密封后（注明投标供应商名称及项目名称）可随备份投标文件在投标文件递交截止时间前一并提交给采购代理机构，提交地址：温州市鹿城区锦绣路19号宏嘉大厦2幢2005室/开标当日提交至温州市政务服务管理中心（温州市鹿城区会展路1268号温州市民中心A座3楼）(以大厅屏幕显示的开标室为准)，备份投标文件和视频演示分别存储于各自U盘中；</w:t>
      </w:r>
    </w:p>
    <w:p w14:paraId="24D2BFD2">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③视频演示文件并非实质性要求，不提供视频演示文件并不会造成投标文件按无效标认定，但会严重影响供应商的技术资信文件评审得分。</w:t>
      </w:r>
    </w:p>
    <w:p w14:paraId="08737CE3">
      <w:pPr>
        <w:spacing w:line="440" w:lineRule="exact"/>
        <w:jc w:val="right"/>
        <w:rPr>
          <w:rFonts w:hint="eastAsia" w:ascii="新宋体" w:hAnsi="新宋体" w:eastAsia="新宋体" w:cs="新宋体"/>
          <w:color w:val="auto"/>
          <w:sz w:val="22"/>
          <w:szCs w:val="22"/>
          <w:highlight w:val="none"/>
        </w:rPr>
      </w:pPr>
    </w:p>
    <w:p w14:paraId="6234DC5B">
      <w:pPr>
        <w:tabs>
          <w:tab w:val="left" w:pos="840"/>
        </w:tabs>
        <w:adjustRightInd w:val="0"/>
        <w:snapToGrid w:val="0"/>
        <w:spacing w:line="360" w:lineRule="auto"/>
        <w:ind w:left="420" w:leftChars="200" w:firstLine="331" w:firstLineChars="15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p>
    <w:p w14:paraId="50B4AECD">
      <w:pPr>
        <w:spacing w:before="120" w:beforeLines="50" w:after="120" w:afterLine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（商务报价标封面，供参考）</w:t>
      </w:r>
    </w:p>
    <w:p w14:paraId="7682B13C">
      <w:pPr>
        <w:rPr>
          <w:rFonts w:hint="eastAsia" w:ascii="新宋体" w:hAnsi="新宋体" w:eastAsia="新宋体" w:cs="新宋体"/>
          <w:color w:val="auto"/>
          <w:highlight w:val="none"/>
        </w:rPr>
      </w:pPr>
    </w:p>
    <w:p w14:paraId="4BC13E40">
      <w:pPr>
        <w:rPr>
          <w:rFonts w:hint="eastAsia" w:ascii="新宋体" w:hAnsi="新宋体" w:eastAsia="新宋体" w:cs="新宋体"/>
          <w:color w:val="auto"/>
          <w:highlight w:val="none"/>
        </w:rPr>
      </w:pPr>
    </w:p>
    <w:p w14:paraId="7FDA6AA8">
      <w:pPr>
        <w:rPr>
          <w:rFonts w:hint="eastAsia" w:ascii="新宋体" w:hAnsi="新宋体" w:eastAsia="新宋体" w:cs="新宋体"/>
          <w:color w:val="auto"/>
          <w:highlight w:val="none"/>
        </w:rPr>
      </w:pPr>
    </w:p>
    <w:p w14:paraId="6DB23B54">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u w:val="single"/>
        </w:rPr>
        <w:t xml:space="preserve">                 （项目名称）              </w:t>
      </w:r>
      <w:r>
        <w:rPr>
          <w:rFonts w:hint="eastAsia" w:ascii="新宋体" w:hAnsi="新宋体" w:eastAsia="新宋体" w:cs="新宋体"/>
          <w:color w:val="auto"/>
          <w:sz w:val="28"/>
          <w:szCs w:val="28"/>
          <w:highlight w:val="none"/>
        </w:rPr>
        <w:t>投标文件</w:t>
      </w:r>
    </w:p>
    <w:p w14:paraId="2D02DA85">
      <w:pPr>
        <w:rPr>
          <w:rFonts w:hint="eastAsia" w:ascii="新宋体" w:hAnsi="新宋体" w:eastAsia="新宋体" w:cs="新宋体"/>
          <w:color w:val="auto"/>
          <w:sz w:val="28"/>
          <w:szCs w:val="28"/>
          <w:highlight w:val="none"/>
        </w:rPr>
      </w:pPr>
    </w:p>
    <w:p w14:paraId="55F9D97D">
      <w:pPr>
        <w:rPr>
          <w:rFonts w:hint="eastAsia" w:ascii="新宋体" w:hAnsi="新宋体" w:eastAsia="新宋体" w:cs="新宋体"/>
          <w:color w:val="auto"/>
          <w:sz w:val="28"/>
          <w:szCs w:val="28"/>
          <w:highlight w:val="none"/>
        </w:rPr>
      </w:pPr>
    </w:p>
    <w:p w14:paraId="112DEF19">
      <w:pPr>
        <w:pStyle w:val="29"/>
        <w:ind w:firstLine="280"/>
        <w:rPr>
          <w:rFonts w:hint="eastAsia" w:ascii="新宋体" w:hAnsi="新宋体" w:eastAsia="新宋体" w:cs="新宋体"/>
          <w:color w:val="auto"/>
          <w:sz w:val="28"/>
          <w:szCs w:val="28"/>
          <w:highlight w:val="none"/>
        </w:rPr>
      </w:pPr>
    </w:p>
    <w:p w14:paraId="7DF3A54E">
      <w:pPr>
        <w:pStyle w:val="29"/>
        <w:ind w:firstLine="280"/>
        <w:rPr>
          <w:rFonts w:hint="eastAsia" w:ascii="新宋体" w:hAnsi="新宋体" w:eastAsia="新宋体" w:cs="新宋体"/>
          <w:color w:val="auto"/>
          <w:sz w:val="28"/>
          <w:szCs w:val="28"/>
          <w:highlight w:val="none"/>
        </w:rPr>
      </w:pPr>
    </w:p>
    <w:p w14:paraId="027B25C8">
      <w:pPr>
        <w:rPr>
          <w:rFonts w:hint="eastAsia" w:ascii="新宋体" w:hAnsi="新宋体" w:eastAsia="新宋体" w:cs="新宋体"/>
          <w:color w:val="auto"/>
          <w:sz w:val="28"/>
          <w:szCs w:val="28"/>
          <w:highlight w:val="none"/>
        </w:rPr>
      </w:pPr>
    </w:p>
    <w:p w14:paraId="3F8E7D76">
      <w:pPr>
        <w:rPr>
          <w:rFonts w:hint="eastAsia" w:ascii="新宋体" w:hAnsi="新宋体" w:eastAsia="新宋体" w:cs="新宋体"/>
          <w:color w:val="auto"/>
          <w:sz w:val="28"/>
          <w:szCs w:val="28"/>
          <w:highlight w:val="none"/>
        </w:rPr>
      </w:pPr>
    </w:p>
    <w:p w14:paraId="44D97598">
      <w:pPr>
        <w:jc w:val="center"/>
        <w:rPr>
          <w:rFonts w:hint="eastAsia" w:ascii="新宋体" w:hAnsi="新宋体" w:eastAsia="新宋体" w:cs="新宋体"/>
          <w:color w:val="auto"/>
          <w:sz w:val="52"/>
          <w:szCs w:val="52"/>
          <w:highlight w:val="none"/>
        </w:rPr>
      </w:pPr>
      <w:r>
        <w:rPr>
          <w:rFonts w:hint="eastAsia" w:ascii="新宋体" w:hAnsi="新宋体" w:eastAsia="新宋体" w:cs="新宋体"/>
          <w:color w:val="auto"/>
          <w:sz w:val="52"/>
          <w:szCs w:val="52"/>
          <w:highlight w:val="none"/>
        </w:rPr>
        <w:t>商</w:t>
      </w:r>
      <w:r>
        <w:rPr>
          <w:rFonts w:hint="eastAsia" w:ascii="新宋体" w:hAnsi="新宋体" w:eastAsia="新宋体" w:cs="新宋体"/>
          <w:color w:val="auto"/>
          <w:sz w:val="52"/>
          <w:szCs w:val="52"/>
          <w:highlight w:val="none"/>
          <w:lang w:val="en-US" w:eastAsia="zh-CN"/>
        </w:rPr>
        <w:t xml:space="preserve"> </w:t>
      </w:r>
      <w:r>
        <w:rPr>
          <w:rFonts w:hint="eastAsia" w:ascii="新宋体" w:hAnsi="新宋体" w:eastAsia="新宋体" w:cs="新宋体"/>
          <w:color w:val="auto"/>
          <w:sz w:val="52"/>
          <w:szCs w:val="52"/>
          <w:highlight w:val="none"/>
        </w:rPr>
        <w:t>务</w:t>
      </w:r>
      <w:r>
        <w:rPr>
          <w:rFonts w:hint="eastAsia" w:ascii="新宋体" w:hAnsi="新宋体" w:eastAsia="新宋体" w:cs="新宋体"/>
          <w:color w:val="auto"/>
          <w:sz w:val="52"/>
          <w:szCs w:val="52"/>
          <w:highlight w:val="none"/>
          <w:lang w:val="en-US" w:eastAsia="zh-CN"/>
        </w:rPr>
        <w:t xml:space="preserve"> </w:t>
      </w:r>
      <w:r>
        <w:rPr>
          <w:rFonts w:hint="eastAsia" w:ascii="新宋体" w:hAnsi="新宋体" w:eastAsia="新宋体" w:cs="新宋体"/>
          <w:color w:val="auto"/>
          <w:sz w:val="52"/>
          <w:szCs w:val="52"/>
          <w:highlight w:val="none"/>
        </w:rPr>
        <w:t>报</w:t>
      </w:r>
      <w:r>
        <w:rPr>
          <w:rFonts w:hint="eastAsia" w:ascii="新宋体" w:hAnsi="新宋体" w:eastAsia="新宋体" w:cs="新宋体"/>
          <w:color w:val="auto"/>
          <w:sz w:val="52"/>
          <w:szCs w:val="52"/>
          <w:highlight w:val="none"/>
          <w:lang w:val="en-US" w:eastAsia="zh-CN"/>
        </w:rPr>
        <w:t xml:space="preserve"> </w:t>
      </w:r>
      <w:r>
        <w:rPr>
          <w:rFonts w:hint="eastAsia" w:ascii="新宋体" w:hAnsi="新宋体" w:eastAsia="新宋体" w:cs="新宋体"/>
          <w:color w:val="auto"/>
          <w:sz w:val="52"/>
          <w:szCs w:val="52"/>
          <w:highlight w:val="none"/>
        </w:rPr>
        <w:t>价</w:t>
      </w:r>
      <w:r>
        <w:rPr>
          <w:rFonts w:hint="eastAsia" w:ascii="新宋体" w:hAnsi="新宋体" w:eastAsia="新宋体" w:cs="新宋体"/>
          <w:color w:val="auto"/>
          <w:sz w:val="52"/>
          <w:szCs w:val="52"/>
          <w:highlight w:val="none"/>
          <w:lang w:val="en-US" w:eastAsia="zh-CN"/>
        </w:rPr>
        <w:t xml:space="preserve"> </w:t>
      </w:r>
      <w:r>
        <w:rPr>
          <w:rFonts w:hint="eastAsia" w:ascii="新宋体" w:hAnsi="新宋体" w:eastAsia="新宋体" w:cs="新宋体"/>
          <w:color w:val="auto"/>
          <w:sz w:val="52"/>
          <w:szCs w:val="52"/>
          <w:highlight w:val="none"/>
        </w:rPr>
        <w:t>标</w:t>
      </w:r>
    </w:p>
    <w:p w14:paraId="1E0CB5EF">
      <w:pPr>
        <w:spacing w:line="360" w:lineRule="auto"/>
        <w:rPr>
          <w:rFonts w:hint="eastAsia" w:ascii="新宋体" w:hAnsi="新宋体" w:eastAsia="新宋体" w:cs="新宋体"/>
          <w:color w:val="auto"/>
          <w:szCs w:val="21"/>
          <w:highlight w:val="none"/>
        </w:rPr>
      </w:pPr>
    </w:p>
    <w:p w14:paraId="786FA315">
      <w:pPr>
        <w:spacing w:line="360" w:lineRule="auto"/>
        <w:rPr>
          <w:rFonts w:hint="eastAsia" w:ascii="新宋体" w:hAnsi="新宋体" w:eastAsia="新宋体" w:cs="新宋体"/>
          <w:color w:val="auto"/>
          <w:szCs w:val="21"/>
          <w:highlight w:val="none"/>
        </w:rPr>
      </w:pPr>
    </w:p>
    <w:p w14:paraId="2C48A073">
      <w:pPr>
        <w:spacing w:line="360" w:lineRule="auto"/>
        <w:rPr>
          <w:rFonts w:hint="eastAsia" w:ascii="新宋体" w:hAnsi="新宋体" w:eastAsia="新宋体" w:cs="新宋体"/>
          <w:color w:val="auto"/>
          <w:szCs w:val="21"/>
          <w:highlight w:val="none"/>
        </w:rPr>
      </w:pPr>
    </w:p>
    <w:p w14:paraId="06E852C7">
      <w:pPr>
        <w:spacing w:line="360" w:lineRule="auto"/>
        <w:rPr>
          <w:rFonts w:hint="eastAsia" w:ascii="新宋体" w:hAnsi="新宋体" w:eastAsia="新宋体" w:cs="新宋体"/>
          <w:color w:val="auto"/>
          <w:szCs w:val="21"/>
          <w:highlight w:val="none"/>
        </w:rPr>
      </w:pPr>
    </w:p>
    <w:p w14:paraId="6467CCE3">
      <w:pPr>
        <w:spacing w:line="360" w:lineRule="auto"/>
        <w:rPr>
          <w:rFonts w:hint="eastAsia" w:ascii="新宋体" w:hAnsi="新宋体" w:eastAsia="新宋体" w:cs="新宋体"/>
          <w:color w:val="auto"/>
          <w:szCs w:val="21"/>
          <w:highlight w:val="none"/>
        </w:rPr>
      </w:pPr>
    </w:p>
    <w:p w14:paraId="0B697666">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rPr>
        <w:t>投标供应商：</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（盖单位章）</w:t>
      </w:r>
    </w:p>
    <w:p w14:paraId="59F61D66">
      <w:pPr>
        <w:rPr>
          <w:rFonts w:hint="eastAsia" w:ascii="新宋体" w:hAnsi="新宋体" w:eastAsia="新宋体" w:cs="新宋体"/>
          <w:color w:val="auto"/>
          <w:sz w:val="28"/>
          <w:szCs w:val="28"/>
          <w:highlight w:val="none"/>
          <w:u w:val="single"/>
        </w:rPr>
      </w:pPr>
    </w:p>
    <w:p w14:paraId="0E1422AB">
      <w:pPr>
        <w:jc w:val="center"/>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lang w:eastAsia="zh-CN"/>
        </w:rPr>
        <w:t>法定代表人（负责人）</w:t>
      </w:r>
      <w:r>
        <w:rPr>
          <w:rFonts w:hint="eastAsia" w:ascii="新宋体" w:hAnsi="新宋体" w:eastAsia="新宋体" w:cs="新宋体"/>
          <w:color w:val="auto"/>
          <w:sz w:val="28"/>
          <w:szCs w:val="28"/>
          <w:highlight w:val="none"/>
        </w:rPr>
        <w:t>或其委托代理人：</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（签字或盖章）</w:t>
      </w:r>
    </w:p>
    <w:p w14:paraId="003BF6C1">
      <w:pPr>
        <w:rPr>
          <w:rFonts w:hint="eastAsia" w:ascii="新宋体" w:hAnsi="新宋体" w:eastAsia="新宋体" w:cs="新宋体"/>
          <w:color w:val="auto"/>
          <w:sz w:val="28"/>
          <w:szCs w:val="28"/>
          <w:highlight w:val="none"/>
        </w:rPr>
      </w:pPr>
    </w:p>
    <w:p w14:paraId="0382E939">
      <w:pPr>
        <w:overflowPunct w:val="0"/>
        <w:spacing w:line="380" w:lineRule="exact"/>
        <w:ind w:firstLine="2738" w:firstLineChars="978"/>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年</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月</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日</w:t>
      </w:r>
    </w:p>
    <w:p w14:paraId="2EF86482">
      <w:pPr>
        <w:rPr>
          <w:rFonts w:hint="eastAsia" w:ascii="新宋体" w:hAnsi="新宋体" w:eastAsia="新宋体" w:cs="新宋体"/>
          <w:color w:val="auto"/>
          <w:sz w:val="22"/>
          <w:szCs w:val="22"/>
          <w:highlight w:val="none"/>
        </w:rPr>
      </w:pPr>
    </w:p>
    <w:p w14:paraId="505199B4">
      <w:pPr>
        <w:rPr>
          <w:rFonts w:hint="eastAsia" w:ascii="新宋体" w:hAnsi="新宋体" w:eastAsia="新宋体" w:cs="新宋体"/>
          <w:color w:val="auto"/>
          <w:sz w:val="22"/>
          <w:szCs w:val="22"/>
          <w:highlight w:val="none"/>
        </w:rPr>
      </w:pPr>
    </w:p>
    <w:p w14:paraId="0D69E7E7">
      <w:pPr>
        <w:jc w:val="center"/>
        <w:rPr>
          <w:rFonts w:hint="eastAsia" w:ascii="新宋体" w:hAnsi="新宋体" w:eastAsia="新宋体" w:cs="新宋体"/>
          <w:b/>
          <w:bCs/>
          <w:color w:val="auto"/>
          <w:sz w:val="52"/>
          <w:szCs w:val="52"/>
          <w:highlight w:val="none"/>
        </w:rPr>
      </w:pPr>
      <w:r>
        <w:rPr>
          <w:rFonts w:hint="eastAsia" w:ascii="新宋体" w:hAnsi="新宋体" w:eastAsia="新宋体" w:cs="新宋体"/>
          <w:color w:val="auto"/>
          <w:sz w:val="22"/>
          <w:szCs w:val="22"/>
          <w:highlight w:val="none"/>
        </w:rPr>
        <w:br w:type="page"/>
      </w:r>
      <w:r>
        <w:rPr>
          <w:rFonts w:hint="eastAsia" w:ascii="新宋体" w:hAnsi="新宋体" w:eastAsia="新宋体" w:cs="新宋体"/>
          <w:b/>
          <w:bCs/>
          <w:color w:val="auto"/>
          <w:sz w:val="52"/>
          <w:szCs w:val="52"/>
          <w:highlight w:val="none"/>
        </w:rPr>
        <w:t>目  录</w:t>
      </w:r>
    </w:p>
    <w:p w14:paraId="50A47AEA">
      <w:pPr>
        <w:jc w:val="center"/>
        <w:rPr>
          <w:rFonts w:hint="eastAsia" w:ascii="新宋体" w:hAnsi="新宋体" w:eastAsia="新宋体" w:cs="新宋体"/>
          <w:b/>
          <w:bCs/>
          <w:color w:val="auto"/>
          <w:sz w:val="52"/>
          <w:szCs w:val="52"/>
          <w:highlight w:val="none"/>
        </w:rPr>
      </w:pP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
        <w:gridCol w:w="7369"/>
        <w:gridCol w:w="1577"/>
      </w:tblGrid>
      <w:tr w14:paraId="2C15E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8" w:type="dxa"/>
            <w:vAlign w:val="center"/>
          </w:tcPr>
          <w:p w14:paraId="78EDA240">
            <w:pPr>
              <w:spacing w:line="430" w:lineRule="exact"/>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序号</w:t>
            </w:r>
          </w:p>
        </w:tc>
        <w:tc>
          <w:tcPr>
            <w:tcW w:w="7369" w:type="dxa"/>
            <w:vAlign w:val="center"/>
          </w:tcPr>
          <w:p w14:paraId="34AFE598">
            <w:pPr>
              <w:spacing w:line="430" w:lineRule="exact"/>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内容</w:t>
            </w:r>
          </w:p>
        </w:tc>
        <w:tc>
          <w:tcPr>
            <w:tcW w:w="1577" w:type="dxa"/>
            <w:vAlign w:val="center"/>
          </w:tcPr>
          <w:p w14:paraId="61759DA5">
            <w:pPr>
              <w:spacing w:line="43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备注</w:t>
            </w:r>
          </w:p>
        </w:tc>
      </w:tr>
      <w:tr w14:paraId="7388D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8" w:type="dxa"/>
            <w:vAlign w:val="center"/>
          </w:tcPr>
          <w:p w14:paraId="7DBF25FD">
            <w:pPr>
              <w:spacing w:line="43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7369" w:type="dxa"/>
            <w:vAlign w:val="center"/>
          </w:tcPr>
          <w:p w14:paraId="2F87C377">
            <w:pPr>
              <w:spacing w:line="430" w:lineRule="exact"/>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开标一览表</w:t>
            </w:r>
          </w:p>
        </w:tc>
        <w:tc>
          <w:tcPr>
            <w:tcW w:w="1577" w:type="dxa"/>
            <w:vAlign w:val="center"/>
          </w:tcPr>
          <w:p w14:paraId="4D04FF63">
            <w:pPr>
              <w:spacing w:line="430" w:lineRule="exact"/>
              <w:jc w:val="center"/>
              <w:rPr>
                <w:rFonts w:hint="default" w:ascii="新宋体" w:hAnsi="新宋体" w:eastAsia="新宋体" w:cs="新宋体"/>
                <w:b w:val="0"/>
                <w:bCs/>
                <w:color w:val="auto"/>
                <w:sz w:val="22"/>
                <w:szCs w:val="22"/>
                <w:highlight w:val="none"/>
                <w:lang w:val="en-US" w:eastAsia="zh-CN"/>
              </w:rPr>
            </w:pPr>
            <w:r>
              <w:rPr>
                <w:rFonts w:hint="eastAsia" w:ascii="新宋体" w:hAnsi="新宋体" w:eastAsia="新宋体" w:cs="新宋体"/>
                <w:b w:val="0"/>
                <w:bCs/>
                <w:color w:val="auto"/>
                <w:sz w:val="22"/>
                <w:szCs w:val="22"/>
                <w:highlight w:val="none"/>
                <w:lang w:val="en-US" w:eastAsia="zh-CN"/>
              </w:rPr>
              <w:t>附件一</w:t>
            </w:r>
          </w:p>
        </w:tc>
      </w:tr>
      <w:tr w14:paraId="5110A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8" w:type="dxa"/>
            <w:vAlign w:val="center"/>
          </w:tcPr>
          <w:p w14:paraId="20B688A0">
            <w:pPr>
              <w:spacing w:line="430" w:lineRule="exact"/>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w:t>
            </w:r>
          </w:p>
        </w:tc>
        <w:tc>
          <w:tcPr>
            <w:tcW w:w="7369" w:type="dxa"/>
            <w:vAlign w:val="center"/>
          </w:tcPr>
          <w:p w14:paraId="4C1E2951">
            <w:pPr>
              <w:spacing w:line="43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投标分项报价表</w:t>
            </w:r>
          </w:p>
        </w:tc>
        <w:tc>
          <w:tcPr>
            <w:tcW w:w="1577" w:type="dxa"/>
            <w:vAlign w:val="center"/>
          </w:tcPr>
          <w:p w14:paraId="4C9B1E7C">
            <w:pPr>
              <w:spacing w:line="430" w:lineRule="exact"/>
              <w:jc w:val="center"/>
              <w:rPr>
                <w:rFonts w:hint="default" w:ascii="新宋体" w:hAnsi="新宋体" w:eastAsia="新宋体" w:cs="新宋体"/>
                <w:b w:val="0"/>
                <w:bCs/>
                <w:color w:val="auto"/>
                <w:sz w:val="22"/>
                <w:szCs w:val="22"/>
                <w:highlight w:val="none"/>
                <w:lang w:val="en-US"/>
              </w:rPr>
            </w:pPr>
            <w:r>
              <w:rPr>
                <w:rFonts w:hint="eastAsia" w:ascii="新宋体" w:hAnsi="新宋体" w:eastAsia="新宋体" w:cs="新宋体"/>
                <w:b w:val="0"/>
                <w:bCs/>
                <w:color w:val="auto"/>
                <w:sz w:val="22"/>
                <w:szCs w:val="22"/>
                <w:highlight w:val="none"/>
                <w:lang w:val="en-US" w:eastAsia="zh-CN"/>
              </w:rPr>
              <w:t>附件二</w:t>
            </w:r>
          </w:p>
        </w:tc>
      </w:tr>
    </w:tbl>
    <w:p w14:paraId="3DFFBA5E">
      <w:pPr>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br w:type="page"/>
      </w:r>
    </w:p>
    <w:p w14:paraId="73CAFF63">
      <w:pPr>
        <w:rPr>
          <w:rFonts w:hint="eastAsia" w:ascii="新宋体" w:hAnsi="新宋体" w:eastAsia="新宋体" w:cs="新宋体"/>
          <w:color w:val="auto"/>
          <w:sz w:val="22"/>
          <w:szCs w:val="22"/>
          <w:highlight w:val="none"/>
        </w:rPr>
      </w:pPr>
    </w:p>
    <w:p w14:paraId="6D4AE508">
      <w:pPr>
        <w:overflowPunct w:val="0"/>
        <w:spacing w:line="380" w:lineRule="exact"/>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rPr>
        <w:t>附件</w:t>
      </w:r>
      <w:r>
        <w:rPr>
          <w:rFonts w:hint="eastAsia" w:ascii="新宋体" w:hAnsi="新宋体" w:eastAsia="新宋体" w:cs="新宋体"/>
          <w:b/>
          <w:bCs/>
          <w:color w:val="auto"/>
          <w:sz w:val="22"/>
          <w:szCs w:val="22"/>
          <w:highlight w:val="none"/>
          <w:lang w:val="en-US" w:eastAsia="zh-CN"/>
        </w:rPr>
        <w:t>一：</w:t>
      </w:r>
    </w:p>
    <w:p w14:paraId="77BD5EAE">
      <w:pPr>
        <w:autoSpaceDE w:val="0"/>
        <w:autoSpaceDN w:val="0"/>
        <w:adjustRightInd w:val="0"/>
        <w:spacing w:line="460" w:lineRule="atLeast"/>
        <w:jc w:val="center"/>
        <w:rPr>
          <w:rFonts w:hint="eastAsia" w:ascii="新宋体" w:hAnsi="新宋体" w:eastAsia="新宋体" w:cs="新宋体"/>
          <w:b/>
          <w:bCs/>
          <w:color w:val="auto"/>
          <w:kern w:val="0"/>
          <w:sz w:val="28"/>
          <w:szCs w:val="28"/>
          <w:highlight w:val="none"/>
          <w:lang w:val="zh-CN"/>
        </w:rPr>
      </w:pPr>
    </w:p>
    <w:p w14:paraId="0019E0B0">
      <w:pPr>
        <w:pStyle w:val="14"/>
        <w:snapToGrid w:val="0"/>
        <w:spacing w:line="324" w:lineRule="auto"/>
        <w:jc w:val="center"/>
        <w:rPr>
          <w:rFonts w:hint="eastAsia" w:ascii="新宋体" w:hAnsi="新宋体" w:eastAsia="新宋体" w:cs="新宋体"/>
          <w:b/>
          <w:color w:val="auto"/>
          <w:sz w:val="28"/>
          <w:szCs w:val="28"/>
          <w:highlight w:val="none"/>
          <w:lang w:val="zh-CN"/>
        </w:rPr>
      </w:pPr>
      <w:r>
        <w:rPr>
          <w:rFonts w:hint="eastAsia" w:ascii="新宋体" w:hAnsi="新宋体" w:eastAsia="新宋体" w:cs="新宋体"/>
          <w:b/>
          <w:color w:val="auto"/>
          <w:sz w:val="28"/>
          <w:szCs w:val="28"/>
          <w:highlight w:val="none"/>
          <w:lang w:val="zh-CN"/>
        </w:rPr>
        <w:t>开标一览表</w:t>
      </w:r>
    </w:p>
    <w:p w14:paraId="37901217">
      <w:pPr>
        <w:spacing w:line="380" w:lineRule="exact"/>
        <w:jc w:val="left"/>
        <w:rPr>
          <w:rFonts w:hint="eastAsia" w:ascii="新宋体" w:hAnsi="新宋体" w:eastAsia="新宋体" w:cs="新宋体"/>
          <w:bCs/>
          <w:color w:val="auto"/>
          <w:sz w:val="22"/>
          <w:szCs w:val="22"/>
          <w:highlight w:val="none"/>
        </w:rPr>
      </w:pPr>
    </w:p>
    <w:p w14:paraId="407FFD3E">
      <w:pPr>
        <w:spacing w:line="380" w:lineRule="exact"/>
        <w:ind w:firstLine="663" w:firstLineChars="300"/>
        <w:jc w:val="left"/>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
          <w:bCs w:val="0"/>
          <w:color w:val="auto"/>
          <w:sz w:val="22"/>
          <w:szCs w:val="22"/>
          <w:highlight w:val="none"/>
        </w:rPr>
        <w:t>项目名称：</w:t>
      </w:r>
      <w:r>
        <w:rPr>
          <w:rFonts w:hint="eastAsia" w:ascii="新宋体" w:hAnsi="新宋体" w:eastAsia="新宋体" w:cs="新宋体"/>
          <w:b/>
          <w:bCs w:val="0"/>
          <w:color w:val="auto"/>
          <w:sz w:val="22"/>
          <w:szCs w:val="22"/>
          <w:highlight w:val="none"/>
          <w:lang w:val="en-US" w:eastAsia="zh-CN"/>
        </w:rPr>
        <w:t xml:space="preserve">                          </w:t>
      </w:r>
      <w:r>
        <w:rPr>
          <w:rFonts w:hint="eastAsia" w:ascii="新宋体" w:hAnsi="新宋体" w:eastAsia="新宋体" w:cs="新宋体"/>
          <w:b/>
          <w:bCs w:val="0"/>
          <w:color w:val="auto"/>
          <w:sz w:val="22"/>
          <w:szCs w:val="22"/>
          <w:highlight w:val="none"/>
        </w:rPr>
        <w:t xml:space="preserve">  </w:t>
      </w:r>
      <w:r>
        <w:rPr>
          <w:rFonts w:hint="eastAsia" w:ascii="新宋体" w:hAnsi="新宋体" w:eastAsia="新宋体" w:cs="新宋体"/>
          <w:b/>
          <w:bCs w:val="0"/>
          <w:color w:val="auto"/>
          <w:sz w:val="22"/>
          <w:szCs w:val="22"/>
          <w:highlight w:val="none"/>
          <w:lang w:val="en-US" w:eastAsia="zh-CN"/>
        </w:rPr>
        <w:t xml:space="preserve">    </w:t>
      </w:r>
      <w:r>
        <w:rPr>
          <w:rFonts w:hint="eastAsia" w:ascii="新宋体" w:hAnsi="新宋体" w:eastAsia="新宋体" w:cs="新宋体"/>
          <w:b/>
          <w:bCs w:val="0"/>
          <w:color w:val="auto"/>
          <w:sz w:val="22"/>
          <w:szCs w:val="22"/>
          <w:highlight w:val="none"/>
        </w:rPr>
        <w:t>项目编号：</w:t>
      </w:r>
      <w:r>
        <w:rPr>
          <w:rFonts w:hint="eastAsia" w:ascii="新宋体" w:hAnsi="新宋体" w:eastAsia="新宋体" w:cs="新宋体"/>
          <w:b/>
          <w:bCs w:val="0"/>
          <w:color w:val="auto"/>
          <w:sz w:val="22"/>
          <w:szCs w:val="22"/>
          <w:highlight w:val="none"/>
          <w:lang w:val="en-US" w:eastAsia="zh-CN"/>
        </w:rPr>
        <w:t xml:space="preserve">      </w:t>
      </w:r>
      <w:r>
        <w:rPr>
          <w:rFonts w:hint="eastAsia" w:ascii="新宋体" w:hAnsi="新宋体" w:eastAsia="新宋体" w:cs="新宋体"/>
          <w:bCs/>
          <w:color w:val="auto"/>
          <w:sz w:val="22"/>
          <w:szCs w:val="22"/>
          <w:highlight w:val="none"/>
          <w:lang w:val="en-US" w:eastAsia="zh-CN"/>
        </w:rPr>
        <w:t xml:space="preserve">    </w:t>
      </w:r>
    </w:p>
    <w:p w14:paraId="5D815B9B">
      <w:pPr>
        <w:spacing w:line="380" w:lineRule="exact"/>
        <w:ind w:firstLine="660" w:firstLineChars="300"/>
        <w:jc w:val="lef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价格单位：人民币（元）</w:t>
      </w:r>
    </w:p>
    <w:tbl>
      <w:tblPr>
        <w:tblStyle w:val="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2"/>
        <w:gridCol w:w="4518"/>
        <w:gridCol w:w="1738"/>
      </w:tblGrid>
      <w:tr w14:paraId="64FC2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3" w:hRule="atLeast"/>
          <w:jc w:val="center"/>
        </w:trPr>
        <w:tc>
          <w:tcPr>
            <w:tcW w:w="3522" w:type="dxa"/>
            <w:noWrap w:val="0"/>
            <w:vAlign w:val="center"/>
          </w:tcPr>
          <w:p w14:paraId="1DD11219">
            <w:pPr>
              <w:pStyle w:val="14"/>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项目</w:t>
            </w:r>
            <w:r>
              <w:rPr>
                <w:rFonts w:hint="eastAsia" w:ascii="新宋体" w:hAnsi="新宋体" w:eastAsia="新宋体" w:cs="新宋体"/>
                <w:b/>
                <w:bCs/>
                <w:color w:val="auto"/>
                <w:sz w:val="22"/>
                <w:szCs w:val="22"/>
                <w:highlight w:val="none"/>
              </w:rPr>
              <w:t>名称</w:t>
            </w:r>
          </w:p>
        </w:tc>
        <w:tc>
          <w:tcPr>
            <w:tcW w:w="4518" w:type="dxa"/>
            <w:noWrap w:val="0"/>
            <w:vAlign w:val="center"/>
          </w:tcPr>
          <w:p w14:paraId="14D13CC6">
            <w:pPr>
              <w:pStyle w:val="14"/>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w:t>
            </w:r>
            <w:r>
              <w:rPr>
                <w:rFonts w:hint="eastAsia" w:ascii="新宋体" w:hAnsi="新宋体" w:eastAsia="新宋体" w:cs="新宋体"/>
                <w:b/>
                <w:bCs/>
                <w:color w:val="auto"/>
                <w:sz w:val="22"/>
                <w:szCs w:val="22"/>
                <w:highlight w:val="none"/>
                <w:lang w:val="en-US" w:eastAsia="zh-CN"/>
              </w:rPr>
              <w:t>总</w:t>
            </w:r>
            <w:r>
              <w:rPr>
                <w:rFonts w:hint="eastAsia" w:ascii="新宋体" w:hAnsi="新宋体" w:eastAsia="新宋体" w:cs="新宋体"/>
                <w:b/>
                <w:bCs/>
                <w:color w:val="auto"/>
                <w:sz w:val="22"/>
                <w:szCs w:val="22"/>
                <w:highlight w:val="none"/>
              </w:rPr>
              <w:t>价（元）</w:t>
            </w:r>
          </w:p>
        </w:tc>
        <w:tc>
          <w:tcPr>
            <w:tcW w:w="1738" w:type="dxa"/>
            <w:noWrap w:val="0"/>
            <w:vAlign w:val="center"/>
          </w:tcPr>
          <w:p w14:paraId="3B8DCBB5">
            <w:pPr>
              <w:pStyle w:val="14"/>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21BEF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6" w:hRule="atLeast"/>
          <w:jc w:val="center"/>
        </w:trPr>
        <w:tc>
          <w:tcPr>
            <w:tcW w:w="3522" w:type="dxa"/>
            <w:noWrap w:val="0"/>
            <w:vAlign w:val="center"/>
          </w:tcPr>
          <w:p w14:paraId="3804A0C2">
            <w:pPr>
              <w:pStyle w:val="14"/>
              <w:rPr>
                <w:rFonts w:hint="eastAsia" w:ascii="新宋体" w:hAnsi="新宋体" w:eastAsia="新宋体" w:cs="新宋体"/>
                <w:color w:val="auto"/>
                <w:kern w:val="0"/>
                <w:sz w:val="22"/>
                <w:szCs w:val="22"/>
                <w:highlight w:val="none"/>
                <w:lang w:val="en-US" w:eastAsia="zh-CN" w:bidi="ar-SA"/>
              </w:rPr>
            </w:pPr>
          </w:p>
        </w:tc>
        <w:tc>
          <w:tcPr>
            <w:tcW w:w="4518" w:type="dxa"/>
            <w:noWrap w:val="0"/>
            <w:vAlign w:val="center"/>
          </w:tcPr>
          <w:p w14:paraId="6BBC8117">
            <w:pPr>
              <w:pStyle w:val="14"/>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（大写）：</w:t>
            </w:r>
            <w:r>
              <w:rPr>
                <w:rFonts w:hint="eastAsia" w:ascii="新宋体" w:hAnsi="新宋体" w:eastAsia="新宋体" w:cs="新宋体"/>
                <w:b/>
                <w:color w:val="auto"/>
                <w:sz w:val="22"/>
                <w:szCs w:val="22"/>
                <w:highlight w:val="none"/>
                <w:u w:val="single"/>
              </w:rPr>
              <w:t xml:space="preserve">                  </w:t>
            </w:r>
          </w:p>
          <w:p w14:paraId="392DE36F">
            <w:pPr>
              <w:pStyle w:val="14"/>
              <w:rPr>
                <w:rFonts w:hint="eastAsia" w:ascii="新宋体" w:hAnsi="新宋体" w:eastAsia="新宋体" w:cs="新宋体"/>
                <w:b/>
                <w:color w:val="auto"/>
                <w:sz w:val="22"/>
                <w:szCs w:val="22"/>
                <w:highlight w:val="none"/>
              </w:rPr>
            </w:pPr>
          </w:p>
          <w:p w14:paraId="7DF7457C">
            <w:pPr>
              <w:pStyle w:val="14"/>
              <w:rPr>
                <w:rFonts w:hint="eastAsia" w:ascii="新宋体" w:hAnsi="新宋体" w:eastAsia="新宋体" w:cs="新宋体"/>
                <w:b/>
                <w:color w:val="auto"/>
                <w:kern w:val="0"/>
                <w:sz w:val="22"/>
                <w:szCs w:val="22"/>
                <w:highlight w:val="none"/>
                <w:lang w:val="en-US" w:eastAsia="zh-CN" w:bidi="ar-SA"/>
              </w:rPr>
            </w:pPr>
            <w:r>
              <w:rPr>
                <w:rFonts w:hint="eastAsia" w:ascii="新宋体" w:hAnsi="新宋体" w:eastAsia="新宋体" w:cs="新宋体"/>
                <w:b/>
                <w:color w:val="auto"/>
                <w:sz w:val="22"/>
                <w:szCs w:val="22"/>
                <w:highlight w:val="none"/>
              </w:rPr>
              <w:t>（小写）：¥</w:t>
            </w:r>
            <w:r>
              <w:rPr>
                <w:rFonts w:hint="eastAsia" w:ascii="新宋体" w:hAnsi="新宋体" w:eastAsia="新宋体" w:cs="新宋体"/>
                <w:b/>
                <w:color w:val="auto"/>
                <w:sz w:val="22"/>
                <w:szCs w:val="22"/>
                <w:highlight w:val="none"/>
                <w:u w:val="single"/>
              </w:rPr>
              <w:t xml:space="preserve">                 </w:t>
            </w:r>
          </w:p>
        </w:tc>
        <w:tc>
          <w:tcPr>
            <w:tcW w:w="1738" w:type="dxa"/>
            <w:noWrap w:val="0"/>
            <w:vAlign w:val="center"/>
          </w:tcPr>
          <w:p w14:paraId="3D0E5480">
            <w:pPr>
              <w:pStyle w:val="14"/>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r>
    </w:tbl>
    <w:p w14:paraId="6281B5C5">
      <w:pPr>
        <w:spacing w:line="380" w:lineRule="exact"/>
        <w:ind w:left="532" w:hanging="532" w:hangingChars="241"/>
        <w:rPr>
          <w:rFonts w:hint="eastAsia" w:ascii="新宋体" w:hAnsi="新宋体" w:eastAsia="新宋体" w:cs="新宋体"/>
          <w:b/>
          <w:color w:val="auto"/>
          <w:sz w:val="22"/>
          <w:szCs w:val="22"/>
          <w:highlight w:val="none"/>
        </w:rPr>
      </w:pPr>
    </w:p>
    <w:p w14:paraId="431D00FC">
      <w:pPr>
        <w:keepNext w:val="0"/>
        <w:keepLines w:val="0"/>
        <w:pageBreakBefore w:val="0"/>
        <w:widowControl w:val="0"/>
        <w:kinsoku/>
        <w:wordWrap/>
        <w:overflowPunct/>
        <w:topLinePunct w:val="0"/>
        <w:bidi w:val="0"/>
        <w:snapToGrid/>
        <w:spacing w:line="360" w:lineRule="auto"/>
        <w:ind w:left="532" w:right="0" w:rightChars="0" w:hanging="532" w:hangingChars="241"/>
        <w:jc w:val="both"/>
        <w:textAlignment w:val="auto"/>
        <w:outlineLvl w:val="9"/>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说明：</w:t>
      </w:r>
    </w:p>
    <w:p w14:paraId="71304D6D">
      <w:pPr>
        <w:keepNext w:val="0"/>
        <w:keepLines w:val="0"/>
        <w:pageBreakBefore w:val="0"/>
        <w:widowControl w:val="0"/>
        <w:kinsoku/>
        <w:wordWrap/>
        <w:overflowPunct/>
        <w:topLinePunct w:val="0"/>
        <w:bidi w:val="0"/>
        <w:snapToGrid/>
        <w:spacing w:line="360" w:lineRule="auto"/>
        <w:ind w:right="0" w:rightChars="0"/>
        <w:jc w:val="both"/>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 xml:space="preserve">   1.</w:t>
      </w:r>
      <w:r>
        <w:rPr>
          <w:rFonts w:hint="eastAsia" w:ascii="新宋体" w:hAnsi="新宋体" w:eastAsia="新宋体" w:cs="新宋体"/>
          <w:b/>
          <w:color w:val="auto"/>
          <w:sz w:val="22"/>
          <w:szCs w:val="22"/>
          <w:highlight w:val="none"/>
          <w:u w:val="single"/>
        </w:rPr>
        <w:t>▲本项目采购预算为人民币</w:t>
      </w:r>
      <w:r>
        <w:rPr>
          <w:rFonts w:hint="eastAsia" w:ascii="新宋体" w:hAnsi="新宋体" w:eastAsia="新宋体" w:cs="新宋体"/>
          <w:b/>
          <w:color w:val="auto"/>
          <w:sz w:val="22"/>
          <w:szCs w:val="22"/>
          <w:highlight w:val="none"/>
          <w:u w:val="single"/>
          <w:lang w:eastAsia="zh-CN"/>
        </w:rPr>
        <w:t>687</w:t>
      </w:r>
      <w:r>
        <w:rPr>
          <w:rFonts w:hint="eastAsia" w:ascii="新宋体" w:hAnsi="新宋体" w:eastAsia="新宋体" w:cs="新宋体"/>
          <w:b/>
          <w:color w:val="auto"/>
          <w:sz w:val="22"/>
          <w:szCs w:val="22"/>
          <w:highlight w:val="none"/>
          <w:u w:val="single"/>
          <w:lang w:val="en-US" w:eastAsia="zh-CN"/>
        </w:rPr>
        <w:t>万</w:t>
      </w:r>
      <w:r>
        <w:rPr>
          <w:rFonts w:hint="eastAsia" w:ascii="新宋体" w:hAnsi="新宋体" w:eastAsia="新宋体" w:cs="新宋体"/>
          <w:b/>
          <w:color w:val="auto"/>
          <w:sz w:val="22"/>
          <w:szCs w:val="22"/>
          <w:highlight w:val="none"/>
          <w:u w:val="single"/>
        </w:rPr>
        <w:t>元整</w:t>
      </w:r>
      <w:r>
        <w:rPr>
          <w:rFonts w:hint="eastAsia" w:ascii="新宋体" w:hAnsi="新宋体" w:eastAsia="新宋体" w:cs="新宋体"/>
          <w:b/>
          <w:color w:val="auto"/>
          <w:sz w:val="22"/>
          <w:szCs w:val="22"/>
          <w:highlight w:val="none"/>
          <w:u w:val="single"/>
          <w:lang w:eastAsia="zh-CN"/>
        </w:rPr>
        <w:t>，</w:t>
      </w:r>
      <w:r>
        <w:rPr>
          <w:rFonts w:hint="eastAsia" w:ascii="新宋体" w:hAnsi="新宋体" w:eastAsia="新宋体" w:cs="新宋体"/>
          <w:b/>
          <w:color w:val="auto"/>
          <w:sz w:val="22"/>
          <w:szCs w:val="22"/>
          <w:highlight w:val="none"/>
          <w:u w:val="single"/>
        </w:rPr>
        <w:t>投标</w:t>
      </w:r>
      <w:r>
        <w:rPr>
          <w:rFonts w:hint="eastAsia" w:ascii="新宋体" w:hAnsi="新宋体" w:eastAsia="新宋体" w:cs="新宋体"/>
          <w:b/>
          <w:color w:val="auto"/>
          <w:sz w:val="22"/>
          <w:szCs w:val="22"/>
          <w:highlight w:val="none"/>
          <w:u w:val="single"/>
          <w:lang w:val="en-US" w:eastAsia="zh-CN"/>
        </w:rPr>
        <w:t>供应商</w:t>
      </w:r>
      <w:r>
        <w:rPr>
          <w:rFonts w:hint="eastAsia" w:ascii="新宋体" w:hAnsi="新宋体" w:eastAsia="新宋体" w:cs="新宋体"/>
          <w:b/>
          <w:color w:val="auto"/>
          <w:sz w:val="22"/>
          <w:szCs w:val="22"/>
          <w:highlight w:val="none"/>
          <w:u w:val="single"/>
        </w:rPr>
        <w:t>的投标</w:t>
      </w:r>
      <w:r>
        <w:rPr>
          <w:rFonts w:hint="eastAsia" w:ascii="新宋体" w:hAnsi="新宋体" w:eastAsia="新宋体" w:cs="新宋体"/>
          <w:b/>
          <w:color w:val="auto"/>
          <w:sz w:val="22"/>
          <w:szCs w:val="22"/>
          <w:highlight w:val="none"/>
          <w:u w:val="single"/>
          <w:lang w:val="en-US" w:eastAsia="zh-CN"/>
        </w:rPr>
        <w:t>总</w:t>
      </w:r>
      <w:r>
        <w:rPr>
          <w:rFonts w:hint="eastAsia" w:ascii="新宋体" w:hAnsi="新宋体" w:eastAsia="新宋体" w:cs="新宋体"/>
          <w:b/>
          <w:color w:val="auto"/>
          <w:sz w:val="22"/>
          <w:szCs w:val="22"/>
          <w:highlight w:val="none"/>
          <w:u w:val="single"/>
        </w:rPr>
        <w:t>价超过</w:t>
      </w:r>
      <w:r>
        <w:rPr>
          <w:rFonts w:hint="eastAsia" w:ascii="新宋体" w:hAnsi="新宋体" w:eastAsia="新宋体" w:cs="新宋体"/>
          <w:b/>
          <w:color w:val="auto"/>
          <w:sz w:val="22"/>
          <w:szCs w:val="22"/>
          <w:highlight w:val="none"/>
          <w:u w:val="single"/>
          <w:lang w:val="en-US" w:eastAsia="zh-CN"/>
        </w:rPr>
        <w:t>采购</w:t>
      </w:r>
      <w:r>
        <w:rPr>
          <w:rFonts w:hint="eastAsia" w:ascii="新宋体" w:hAnsi="新宋体" w:eastAsia="新宋体" w:cs="新宋体"/>
          <w:b/>
          <w:color w:val="auto"/>
          <w:sz w:val="22"/>
          <w:szCs w:val="22"/>
          <w:highlight w:val="none"/>
          <w:u w:val="single"/>
        </w:rPr>
        <w:t>预算的，按无效标处理。</w:t>
      </w:r>
    </w:p>
    <w:p w14:paraId="2015E31D">
      <w:pPr>
        <w:keepNext w:val="0"/>
        <w:keepLines w:val="0"/>
        <w:pageBreakBefore w:val="0"/>
        <w:widowControl w:val="0"/>
        <w:kinsoku/>
        <w:wordWrap/>
        <w:overflowPunct/>
        <w:topLinePunct w:val="0"/>
        <w:bidi w:val="0"/>
        <w:snapToGrid/>
        <w:spacing w:line="360" w:lineRule="auto"/>
        <w:ind w:left="506" w:leftChars="140" w:right="0" w:rightChars="0" w:hanging="212" w:hangingChars="96"/>
        <w:jc w:val="both"/>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2.</w:t>
      </w:r>
      <w:r>
        <w:rPr>
          <w:rFonts w:hint="eastAsia" w:ascii="新宋体" w:hAnsi="新宋体" w:eastAsia="新宋体" w:cs="新宋体"/>
          <w:b/>
          <w:bCs/>
          <w:color w:val="auto"/>
          <w:sz w:val="22"/>
          <w:szCs w:val="22"/>
          <w:highlight w:val="none"/>
        </w:rPr>
        <w:t>本表中的“投标</w:t>
      </w:r>
      <w:r>
        <w:rPr>
          <w:rFonts w:hint="eastAsia" w:ascii="新宋体" w:hAnsi="新宋体" w:eastAsia="新宋体" w:cs="新宋体"/>
          <w:b/>
          <w:bCs/>
          <w:color w:val="auto"/>
          <w:sz w:val="22"/>
          <w:szCs w:val="22"/>
          <w:highlight w:val="none"/>
          <w:lang w:val="en-US" w:eastAsia="zh-CN"/>
        </w:rPr>
        <w:t>总</w:t>
      </w:r>
      <w:r>
        <w:rPr>
          <w:rFonts w:hint="eastAsia" w:ascii="新宋体" w:hAnsi="新宋体" w:eastAsia="新宋体" w:cs="新宋体"/>
          <w:b/>
          <w:bCs/>
          <w:color w:val="auto"/>
          <w:sz w:val="22"/>
          <w:szCs w:val="22"/>
          <w:highlight w:val="none"/>
        </w:rPr>
        <w:t>价”应与附件</w:t>
      </w:r>
      <w:r>
        <w:rPr>
          <w:rFonts w:hint="eastAsia" w:ascii="新宋体" w:hAnsi="新宋体" w:eastAsia="新宋体" w:cs="新宋体"/>
          <w:b/>
          <w:bCs/>
          <w:color w:val="auto"/>
          <w:sz w:val="22"/>
          <w:szCs w:val="22"/>
          <w:highlight w:val="none"/>
          <w:lang w:val="en-US" w:eastAsia="zh-CN"/>
        </w:rPr>
        <w:t>二</w:t>
      </w:r>
      <w:r>
        <w:rPr>
          <w:rFonts w:hint="eastAsia" w:ascii="新宋体" w:hAnsi="新宋体" w:eastAsia="新宋体" w:cs="新宋体"/>
          <w:b/>
          <w:bCs/>
          <w:color w:val="auto"/>
          <w:sz w:val="22"/>
          <w:szCs w:val="22"/>
          <w:highlight w:val="none"/>
        </w:rPr>
        <w:t>《投标分项报价表》中“合计价”相一致。</w:t>
      </w:r>
    </w:p>
    <w:p w14:paraId="46103FF8">
      <w:pPr>
        <w:keepNext w:val="0"/>
        <w:keepLines w:val="0"/>
        <w:pageBreakBefore w:val="0"/>
        <w:widowControl w:val="0"/>
        <w:kinsoku/>
        <w:wordWrap/>
        <w:overflowPunct/>
        <w:topLinePunct w:val="0"/>
        <w:bidi w:val="0"/>
        <w:snapToGrid/>
        <w:spacing w:line="360" w:lineRule="auto"/>
        <w:ind w:left="506" w:leftChars="140" w:right="0" w:rightChars="0" w:hanging="212" w:hangingChars="96"/>
        <w:jc w:val="both"/>
        <w:textAlignment w:val="auto"/>
        <w:outlineLvl w:val="9"/>
        <w:rPr>
          <w:rFonts w:hint="eastAsia" w:ascii="新宋体" w:hAnsi="新宋体" w:eastAsia="新宋体" w:cs="新宋体"/>
          <w:color w:val="auto"/>
          <w:sz w:val="22"/>
          <w:szCs w:val="22"/>
          <w:highlight w:val="none"/>
          <w:u w:val="single"/>
        </w:rPr>
      </w:pPr>
      <w:r>
        <w:rPr>
          <w:rFonts w:hint="eastAsia" w:ascii="新宋体" w:hAnsi="新宋体" w:eastAsia="新宋体" w:cs="新宋体"/>
          <w:b/>
          <w:color w:val="auto"/>
          <w:sz w:val="22"/>
          <w:szCs w:val="22"/>
          <w:highlight w:val="none"/>
        </w:rPr>
        <w:t>3.</w:t>
      </w:r>
      <w:r>
        <w:rPr>
          <w:rFonts w:hint="eastAsia" w:ascii="新宋体" w:hAnsi="新宋体" w:eastAsia="新宋体" w:cs="新宋体"/>
          <w:b/>
          <w:color w:val="auto"/>
          <w:sz w:val="22"/>
          <w:szCs w:val="22"/>
          <w:highlight w:val="none"/>
          <w:u w:val="single"/>
        </w:rPr>
        <w:t>▲不提供本表的投标文件将被视为未实质性</w:t>
      </w:r>
      <w:r>
        <w:rPr>
          <w:rFonts w:hint="eastAsia" w:ascii="新宋体" w:hAnsi="新宋体" w:eastAsia="新宋体" w:cs="新宋体"/>
          <w:b/>
          <w:color w:val="auto"/>
          <w:sz w:val="22"/>
          <w:szCs w:val="22"/>
          <w:highlight w:val="none"/>
          <w:u w:val="single"/>
          <w:lang w:eastAsia="zh-CN"/>
        </w:rPr>
        <w:t>采购文件</w:t>
      </w:r>
      <w:r>
        <w:rPr>
          <w:rFonts w:hint="eastAsia" w:ascii="新宋体" w:hAnsi="新宋体" w:eastAsia="新宋体" w:cs="新宋体"/>
          <w:b/>
          <w:color w:val="auto"/>
          <w:sz w:val="22"/>
          <w:szCs w:val="22"/>
          <w:highlight w:val="none"/>
          <w:u w:val="single"/>
        </w:rPr>
        <w:t>要求，按投标无效处理。</w:t>
      </w:r>
    </w:p>
    <w:p w14:paraId="688B1F84">
      <w:pPr>
        <w:keepNext w:val="0"/>
        <w:keepLines w:val="0"/>
        <w:pageBreakBefore w:val="0"/>
        <w:widowControl w:val="0"/>
        <w:kinsoku/>
        <w:wordWrap/>
        <w:overflowPunct/>
        <w:topLinePunct w:val="0"/>
        <w:bidi w:val="0"/>
        <w:snapToGrid/>
        <w:spacing w:line="360" w:lineRule="auto"/>
        <w:ind w:left="506" w:leftChars="140" w:right="0" w:rightChars="0" w:hanging="212" w:hangingChars="96"/>
        <w:jc w:val="both"/>
        <w:textAlignment w:val="auto"/>
        <w:outlineLvl w:val="9"/>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4.报价均为含税价。</w:t>
      </w:r>
    </w:p>
    <w:p w14:paraId="39ED1A5C">
      <w:pPr>
        <w:overflowPunct w:val="0"/>
        <w:spacing w:line="460" w:lineRule="exact"/>
        <w:rPr>
          <w:rFonts w:hint="eastAsia" w:ascii="新宋体" w:hAnsi="新宋体" w:eastAsia="新宋体" w:cs="新宋体"/>
          <w:color w:val="auto"/>
          <w:sz w:val="22"/>
          <w:szCs w:val="22"/>
          <w:highlight w:val="none"/>
        </w:rPr>
      </w:pPr>
    </w:p>
    <w:p w14:paraId="58DC951F">
      <w:pPr>
        <w:overflowPunct w:val="0"/>
        <w:spacing w:line="460" w:lineRule="exact"/>
        <w:rPr>
          <w:rFonts w:hint="eastAsia" w:ascii="新宋体" w:hAnsi="新宋体" w:eastAsia="新宋体" w:cs="新宋体"/>
          <w:color w:val="auto"/>
          <w:sz w:val="22"/>
          <w:szCs w:val="22"/>
          <w:highlight w:val="none"/>
        </w:rPr>
      </w:pPr>
    </w:p>
    <w:p w14:paraId="54188C43">
      <w:pPr>
        <w:overflowPunct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投标供应商全称（盖章）：</w:t>
      </w:r>
    </w:p>
    <w:p w14:paraId="47E32ED1">
      <w:pPr>
        <w:overflowPunct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法定代表人（负责人）</w:t>
      </w:r>
      <w:r>
        <w:rPr>
          <w:rFonts w:hint="eastAsia" w:ascii="新宋体" w:hAnsi="新宋体" w:eastAsia="新宋体" w:cs="新宋体"/>
          <w:color w:val="auto"/>
          <w:sz w:val="22"/>
          <w:szCs w:val="22"/>
          <w:highlight w:val="none"/>
        </w:rPr>
        <w:t>或授权代表（签名或盖章）：</w:t>
      </w:r>
    </w:p>
    <w:p w14:paraId="6D14C462">
      <w:pPr>
        <w:overflowPunct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14:paraId="3A877889">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br w:type="page"/>
      </w:r>
    </w:p>
    <w:p w14:paraId="19FF4ECA">
      <w:pPr>
        <w:rPr>
          <w:rFonts w:hint="eastAsia" w:ascii="新宋体" w:hAnsi="新宋体" w:eastAsia="新宋体" w:cs="新宋体"/>
          <w:b/>
          <w:bCs w:val="0"/>
          <w:color w:val="auto"/>
          <w:sz w:val="22"/>
          <w:szCs w:val="22"/>
          <w:highlight w:val="none"/>
        </w:rPr>
      </w:pPr>
      <w:r>
        <w:rPr>
          <w:rFonts w:hint="eastAsia" w:ascii="新宋体" w:hAnsi="新宋体" w:eastAsia="新宋体" w:cs="新宋体"/>
          <w:b/>
          <w:bCs w:val="0"/>
          <w:color w:val="auto"/>
          <w:sz w:val="22"/>
          <w:szCs w:val="22"/>
          <w:highlight w:val="none"/>
        </w:rPr>
        <w:t>附件</w:t>
      </w:r>
      <w:r>
        <w:rPr>
          <w:rFonts w:hint="eastAsia" w:ascii="新宋体" w:hAnsi="新宋体" w:eastAsia="新宋体" w:cs="新宋体"/>
          <w:b/>
          <w:bCs w:val="0"/>
          <w:color w:val="auto"/>
          <w:sz w:val="22"/>
          <w:szCs w:val="22"/>
          <w:highlight w:val="none"/>
          <w:lang w:val="en-US" w:eastAsia="zh-CN"/>
        </w:rPr>
        <w:t>二</w:t>
      </w:r>
      <w:r>
        <w:rPr>
          <w:rFonts w:hint="eastAsia" w:ascii="新宋体" w:hAnsi="新宋体" w:eastAsia="新宋体" w:cs="新宋体"/>
          <w:b/>
          <w:bCs w:val="0"/>
          <w:color w:val="auto"/>
          <w:sz w:val="22"/>
          <w:szCs w:val="22"/>
          <w:highlight w:val="none"/>
        </w:rPr>
        <w:t>：</w:t>
      </w:r>
    </w:p>
    <w:p w14:paraId="150E0480">
      <w:pPr>
        <w:pStyle w:val="14"/>
        <w:snapToGrid w:val="0"/>
        <w:spacing w:line="324" w:lineRule="auto"/>
        <w:jc w:val="center"/>
        <w:rPr>
          <w:rFonts w:hint="eastAsia" w:ascii="新宋体" w:hAnsi="新宋体" w:eastAsia="新宋体" w:cs="新宋体"/>
          <w:b/>
          <w:color w:val="auto"/>
          <w:sz w:val="28"/>
          <w:szCs w:val="28"/>
          <w:highlight w:val="none"/>
          <w:lang w:val="zh-CN"/>
        </w:rPr>
      </w:pPr>
      <w:r>
        <w:rPr>
          <w:rFonts w:hint="eastAsia" w:ascii="新宋体" w:hAnsi="新宋体" w:eastAsia="新宋体" w:cs="新宋体"/>
          <w:b/>
          <w:color w:val="auto"/>
          <w:sz w:val="28"/>
          <w:szCs w:val="28"/>
          <w:highlight w:val="none"/>
          <w:lang w:val="zh-CN"/>
        </w:rPr>
        <w:t>投标分项报价表</w:t>
      </w:r>
    </w:p>
    <w:p w14:paraId="008C2710">
      <w:pPr>
        <w:spacing w:line="38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                                     项目编号：</w:t>
      </w:r>
    </w:p>
    <w:p w14:paraId="2D27C77F">
      <w:pPr>
        <w:spacing w:line="38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价格单位：人民币（元）</w:t>
      </w:r>
    </w:p>
    <w:tbl>
      <w:tblPr>
        <w:tblStyle w:val="31"/>
        <w:tblW w:w="91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4075"/>
        <w:gridCol w:w="965"/>
        <w:gridCol w:w="1691"/>
        <w:gridCol w:w="1800"/>
      </w:tblGrid>
      <w:tr w14:paraId="6090B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19" w:type="dxa"/>
            <w:noWrap w:val="0"/>
            <w:vAlign w:val="center"/>
          </w:tcPr>
          <w:p w14:paraId="7CE8D44F">
            <w:pPr>
              <w:spacing w:line="42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4075" w:type="dxa"/>
            <w:noWrap w:val="0"/>
            <w:vAlign w:val="center"/>
          </w:tcPr>
          <w:p w14:paraId="1913A187">
            <w:pPr>
              <w:spacing w:line="42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 目 内 容</w:t>
            </w:r>
          </w:p>
        </w:tc>
        <w:tc>
          <w:tcPr>
            <w:tcW w:w="965" w:type="dxa"/>
            <w:noWrap w:val="0"/>
            <w:vAlign w:val="center"/>
          </w:tcPr>
          <w:p w14:paraId="1B60D855">
            <w:pPr>
              <w:spacing w:line="42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691" w:type="dxa"/>
            <w:noWrap w:val="0"/>
            <w:vAlign w:val="center"/>
          </w:tcPr>
          <w:p w14:paraId="6440AE0A">
            <w:pPr>
              <w:spacing w:line="42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单价</w:t>
            </w:r>
            <w:r>
              <w:rPr>
                <w:rFonts w:hint="eastAsia" w:ascii="新宋体" w:hAnsi="新宋体" w:eastAsia="新宋体" w:cs="新宋体"/>
                <w:bCs/>
                <w:color w:val="auto"/>
                <w:sz w:val="22"/>
                <w:szCs w:val="22"/>
                <w:highlight w:val="none"/>
              </w:rPr>
              <w:t>（元）</w:t>
            </w:r>
          </w:p>
        </w:tc>
        <w:tc>
          <w:tcPr>
            <w:tcW w:w="1800" w:type="dxa"/>
            <w:noWrap w:val="0"/>
            <w:vAlign w:val="center"/>
          </w:tcPr>
          <w:p w14:paraId="4038E724">
            <w:pPr>
              <w:spacing w:line="42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小计</w:t>
            </w:r>
            <w:r>
              <w:rPr>
                <w:rFonts w:hint="eastAsia" w:ascii="新宋体" w:hAnsi="新宋体" w:eastAsia="新宋体" w:cs="新宋体"/>
                <w:bCs/>
                <w:color w:val="auto"/>
                <w:sz w:val="22"/>
                <w:szCs w:val="22"/>
                <w:highlight w:val="none"/>
              </w:rPr>
              <w:t>（元）</w:t>
            </w:r>
          </w:p>
        </w:tc>
      </w:tr>
      <w:tr w14:paraId="27B53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19" w:type="dxa"/>
            <w:noWrap w:val="0"/>
            <w:vAlign w:val="center"/>
          </w:tcPr>
          <w:p w14:paraId="6E124E5F">
            <w:pPr>
              <w:spacing w:line="42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4075" w:type="dxa"/>
            <w:noWrap w:val="0"/>
            <w:vAlign w:val="center"/>
          </w:tcPr>
          <w:p w14:paraId="4BD53427">
            <w:pPr>
              <w:spacing w:line="42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u w:val="none"/>
                <w:lang w:val="en-US" w:eastAsia="zh-CN" w:bidi="ar"/>
              </w:rPr>
              <w:t>云病案系统</w:t>
            </w:r>
          </w:p>
        </w:tc>
        <w:tc>
          <w:tcPr>
            <w:tcW w:w="965" w:type="dxa"/>
            <w:noWrap w:val="0"/>
            <w:vAlign w:val="center"/>
          </w:tcPr>
          <w:p w14:paraId="3F17CDD0">
            <w:pPr>
              <w:spacing w:line="420" w:lineRule="exact"/>
              <w:jc w:val="center"/>
              <w:rPr>
                <w:rFonts w:hint="eastAsia" w:ascii="新宋体" w:hAnsi="新宋体" w:eastAsia="新宋体" w:cs="新宋体"/>
                <w:color w:val="auto"/>
                <w:sz w:val="22"/>
                <w:szCs w:val="22"/>
                <w:highlight w:val="none"/>
              </w:rPr>
            </w:pPr>
          </w:p>
        </w:tc>
        <w:tc>
          <w:tcPr>
            <w:tcW w:w="1691" w:type="dxa"/>
            <w:noWrap w:val="0"/>
            <w:vAlign w:val="center"/>
          </w:tcPr>
          <w:p w14:paraId="10C44E5E">
            <w:pPr>
              <w:spacing w:line="420" w:lineRule="exact"/>
              <w:jc w:val="center"/>
              <w:rPr>
                <w:rFonts w:hint="eastAsia" w:ascii="新宋体" w:hAnsi="新宋体" w:eastAsia="新宋体" w:cs="新宋体"/>
                <w:color w:val="auto"/>
                <w:sz w:val="22"/>
                <w:szCs w:val="22"/>
                <w:highlight w:val="none"/>
              </w:rPr>
            </w:pPr>
          </w:p>
        </w:tc>
        <w:tc>
          <w:tcPr>
            <w:tcW w:w="1800" w:type="dxa"/>
            <w:noWrap w:val="0"/>
            <w:vAlign w:val="center"/>
          </w:tcPr>
          <w:p w14:paraId="75B0CC80">
            <w:pPr>
              <w:spacing w:line="420" w:lineRule="exact"/>
              <w:jc w:val="center"/>
              <w:rPr>
                <w:rFonts w:hint="eastAsia" w:ascii="新宋体" w:hAnsi="新宋体" w:eastAsia="新宋体" w:cs="新宋体"/>
                <w:color w:val="auto"/>
                <w:sz w:val="22"/>
                <w:szCs w:val="22"/>
                <w:highlight w:val="none"/>
              </w:rPr>
            </w:pPr>
          </w:p>
        </w:tc>
      </w:tr>
      <w:tr w14:paraId="54038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19" w:type="dxa"/>
            <w:noWrap w:val="0"/>
            <w:vAlign w:val="center"/>
          </w:tcPr>
          <w:p w14:paraId="13525F36">
            <w:pPr>
              <w:spacing w:line="42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4075" w:type="dxa"/>
            <w:noWrap w:val="0"/>
            <w:vAlign w:val="center"/>
          </w:tcPr>
          <w:p w14:paraId="30E3D754">
            <w:pPr>
              <w:spacing w:line="42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u w:val="none"/>
                <w:lang w:val="en-US" w:eastAsia="zh-CN" w:bidi="ar"/>
              </w:rPr>
              <w:t>温州市医疗大数据智廉监管平台</w:t>
            </w:r>
          </w:p>
        </w:tc>
        <w:tc>
          <w:tcPr>
            <w:tcW w:w="965" w:type="dxa"/>
            <w:noWrap w:val="0"/>
            <w:vAlign w:val="center"/>
          </w:tcPr>
          <w:p w14:paraId="53A649B4">
            <w:pPr>
              <w:spacing w:line="420" w:lineRule="exact"/>
              <w:jc w:val="center"/>
              <w:rPr>
                <w:rFonts w:hint="eastAsia" w:ascii="新宋体" w:hAnsi="新宋体" w:eastAsia="新宋体" w:cs="新宋体"/>
                <w:color w:val="auto"/>
                <w:sz w:val="22"/>
                <w:szCs w:val="22"/>
                <w:highlight w:val="none"/>
              </w:rPr>
            </w:pPr>
          </w:p>
        </w:tc>
        <w:tc>
          <w:tcPr>
            <w:tcW w:w="1691" w:type="dxa"/>
            <w:noWrap w:val="0"/>
            <w:vAlign w:val="center"/>
          </w:tcPr>
          <w:p w14:paraId="13FADAFE">
            <w:pPr>
              <w:spacing w:line="420" w:lineRule="exact"/>
              <w:jc w:val="center"/>
              <w:rPr>
                <w:rFonts w:hint="eastAsia" w:ascii="新宋体" w:hAnsi="新宋体" w:eastAsia="新宋体" w:cs="新宋体"/>
                <w:color w:val="auto"/>
                <w:sz w:val="22"/>
                <w:szCs w:val="22"/>
                <w:highlight w:val="none"/>
              </w:rPr>
            </w:pPr>
          </w:p>
        </w:tc>
        <w:tc>
          <w:tcPr>
            <w:tcW w:w="1800" w:type="dxa"/>
            <w:noWrap w:val="0"/>
            <w:vAlign w:val="center"/>
          </w:tcPr>
          <w:p w14:paraId="5DBCA04C">
            <w:pPr>
              <w:spacing w:line="420" w:lineRule="exact"/>
              <w:jc w:val="center"/>
              <w:rPr>
                <w:rFonts w:hint="eastAsia" w:ascii="新宋体" w:hAnsi="新宋体" w:eastAsia="新宋体" w:cs="新宋体"/>
                <w:color w:val="auto"/>
                <w:sz w:val="22"/>
                <w:szCs w:val="22"/>
                <w:highlight w:val="none"/>
              </w:rPr>
            </w:pPr>
          </w:p>
        </w:tc>
      </w:tr>
      <w:tr w14:paraId="27575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19" w:type="dxa"/>
            <w:noWrap w:val="0"/>
            <w:vAlign w:val="center"/>
          </w:tcPr>
          <w:p w14:paraId="4E460F32">
            <w:pPr>
              <w:spacing w:line="42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4075" w:type="dxa"/>
            <w:noWrap w:val="0"/>
            <w:vAlign w:val="center"/>
          </w:tcPr>
          <w:p w14:paraId="7C5A8108">
            <w:pPr>
              <w:spacing w:line="42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u w:val="none"/>
                <w:lang w:val="en-US" w:eastAsia="zh-CN" w:bidi="ar"/>
              </w:rPr>
              <w:t>市级医院运营管理决策支持平台</w:t>
            </w:r>
          </w:p>
        </w:tc>
        <w:tc>
          <w:tcPr>
            <w:tcW w:w="965" w:type="dxa"/>
            <w:noWrap w:val="0"/>
            <w:vAlign w:val="center"/>
          </w:tcPr>
          <w:p w14:paraId="4FB40F63">
            <w:pPr>
              <w:spacing w:line="420" w:lineRule="exact"/>
              <w:jc w:val="center"/>
              <w:rPr>
                <w:rFonts w:hint="eastAsia" w:ascii="新宋体" w:hAnsi="新宋体" w:eastAsia="新宋体" w:cs="新宋体"/>
                <w:color w:val="auto"/>
                <w:sz w:val="22"/>
                <w:szCs w:val="22"/>
                <w:highlight w:val="none"/>
              </w:rPr>
            </w:pPr>
          </w:p>
        </w:tc>
        <w:tc>
          <w:tcPr>
            <w:tcW w:w="1691" w:type="dxa"/>
            <w:noWrap w:val="0"/>
            <w:vAlign w:val="center"/>
          </w:tcPr>
          <w:p w14:paraId="5CD2912E">
            <w:pPr>
              <w:spacing w:line="420" w:lineRule="exact"/>
              <w:jc w:val="center"/>
              <w:rPr>
                <w:rFonts w:hint="eastAsia" w:ascii="新宋体" w:hAnsi="新宋体" w:eastAsia="新宋体" w:cs="新宋体"/>
                <w:color w:val="auto"/>
                <w:sz w:val="22"/>
                <w:szCs w:val="22"/>
                <w:highlight w:val="none"/>
              </w:rPr>
            </w:pPr>
          </w:p>
        </w:tc>
        <w:tc>
          <w:tcPr>
            <w:tcW w:w="1800" w:type="dxa"/>
            <w:noWrap w:val="0"/>
            <w:vAlign w:val="center"/>
          </w:tcPr>
          <w:p w14:paraId="712F69AA">
            <w:pPr>
              <w:spacing w:line="420" w:lineRule="exact"/>
              <w:jc w:val="center"/>
              <w:rPr>
                <w:rFonts w:hint="eastAsia" w:ascii="新宋体" w:hAnsi="新宋体" w:eastAsia="新宋体" w:cs="新宋体"/>
                <w:color w:val="auto"/>
                <w:sz w:val="22"/>
                <w:szCs w:val="22"/>
                <w:highlight w:val="none"/>
              </w:rPr>
            </w:pPr>
          </w:p>
        </w:tc>
      </w:tr>
      <w:tr w14:paraId="18F81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19" w:type="dxa"/>
            <w:noWrap w:val="0"/>
            <w:vAlign w:val="center"/>
          </w:tcPr>
          <w:p w14:paraId="624C7D1B">
            <w:pPr>
              <w:spacing w:line="42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4075" w:type="dxa"/>
            <w:noWrap w:val="0"/>
            <w:vAlign w:val="center"/>
          </w:tcPr>
          <w:p w14:paraId="09009353">
            <w:pPr>
              <w:spacing w:line="42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未成年人侵害监管</w:t>
            </w:r>
            <w:r>
              <w:rPr>
                <w:rFonts w:hint="eastAsia" w:ascii="新宋体" w:hAnsi="新宋体" w:eastAsia="新宋体" w:cs="新宋体"/>
                <w:color w:val="auto"/>
                <w:sz w:val="22"/>
                <w:szCs w:val="22"/>
                <w:highlight w:val="none"/>
                <w:lang w:val="en-US" w:eastAsia="zh-CN"/>
              </w:rPr>
              <w:t>平台</w:t>
            </w:r>
          </w:p>
        </w:tc>
        <w:tc>
          <w:tcPr>
            <w:tcW w:w="965" w:type="dxa"/>
            <w:noWrap w:val="0"/>
            <w:vAlign w:val="center"/>
          </w:tcPr>
          <w:p w14:paraId="5E235353">
            <w:pPr>
              <w:spacing w:line="420" w:lineRule="exact"/>
              <w:jc w:val="center"/>
              <w:rPr>
                <w:rFonts w:hint="eastAsia" w:ascii="新宋体" w:hAnsi="新宋体" w:eastAsia="新宋体" w:cs="新宋体"/>
                <w:color w:val="auto"/>
                <w:sz w:val="22"/>
                <w:szCs w:val="22"/>
                <w:highlight w:val="none"/>
              </w:rPr>
            </w:pPr>
          </w:p>
        </w:tc>
        <w:tc>
          <w:tcPr>
            <w:tcW w:w="1691" w:type="dxa"/>
            <w:noWrap w:val="0"/>
            <w:vAlign w:val="center"/>
          </w:tcPr>
          <w:p w14:paraId="58959B29">
            <w:pPr>
              <w:spacing w:line="420" w:lineRule="exact"/>
              <w:jc w:val="center"/>
              <w:rPr>
                <w:rFonts w:hint="eastAsia" w:ascii="新宋体" w:hAnsi="新宋体" w:eastAsia="新宋体" w:cs="新宋体"/>
                <w:color w:val="auto"/>
                <w:sz w:val="22"/>
                <w:szCs w:val="22"/>
                <w:highlight w:val="none"/>
              </w:rPr>
            </w:pPr>
          </w:p>
        </w:tc>
        <w:tc>
          <w:tcPr>
            <w:tcW w:w="1800" w:type="dxa"/>
            <w:noWrap w:val="0"/>
            <w:vAlign w:val="center"/>
          </w:tcPr>
          <w:p w14:paraId="220FDDC5">
            <w:pPr>
              <w:spacing w:line="420" w:lineRule="exact"/>
              <w:jc w:val="center"/>
              <w:rPr>
                <w:rFonts w:hint="eastAsia" w:ascii="新宋体" w:hAnsi="新宋体" w:eastAsia="新宋体" w:cs="新宋体"/>
                <w:color w:val="auto"/>
                <w:sz w:val="22"/>
                <w:szCs w:val="22"/>
                <w:highlight w:val="none"/>
              </w:rPr>
            </w:pPr>
          </w:p>
        </w:tc>
      </w:tr>
      <w:tr w14:paraId="63270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19" w:type="dxa"/>
            <w:noWrap w:val="0"/>
            <w:vAlign w:val="center"/>
          </w:tcPr>
          <w:p w14:paraId="0EC2F6C1">
            <w:pPr>
              <w:spacing w:line="420" w:lineRule="exact"/>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5</w:t>
            </w:r>
          </w:p>
        </w:tc>
        <w:tc>
          <w:tcPr>
            <w:tcW w:w="4075" w:type="dxa"/>
            <w:noWrap w:val="0"/>
            <w:vAlign w:val="center"/>
          </w:tcPr>
          <w:p w14:paraId="39BBD7EF">
            <w:pPr>
              <w:spacing w:line="420" w:lineRule="exact"/>
              <w:jc w:val="center"/>
              <w:rPr>
                <w:rFonts w:hint="eastAsia" w:ascii="新宋体" w:hAnsi="新宋体" w:eastAsia="新宋体" w:cs="新宋体"/>
                <w:color w:val="auto"/>
                <w:kern w:val="0"/>
                <w:sz w:val="22"/>
                <w:szCs w:val="22"/>
                <w:highlight w:val="none"/>
                <w:u w:val="none"/>
                <w:lang w:val="en-US" w:eastAsia="zh-CN" w:bidi="ar"/>
              </w:rPr>
            </w:pPr>
            <w:r>
              <w:rPr>
                <w:rFonts w:hint="eastAsia" w:ascii="新宋体" w:hAnsi="新宋体" w:eastAsia="新宋体" w:cs="新宋体"/>
                <w:color w:val="auto"/>
                <w:kern w:val="0"/>
                <w:sz w:val="22"/>
                <w:szCs w:val="22"/>
                <w:highlight w:val="none"/>
                <w:u w:val="none"/>
                <w:lang w:val="en-US" w:eastAsia="zh-CN" w:bidi="ar"/>
              </w:rPr>
              <w:t>医疗人口数据治理</w:t>
            </w:r>
          </w:p>
        </w:tc>
        <w:tc>
          <w:tcPr>
            <w:tcW w:w="965" w:type="dxa"/>
            <w:noWrap w:val="0"/>
            <w:vAlign w:val="center"/>
          </w:tcPr>
          <w:p w14:paraId="08B30BD9">
            <w:pPr>
              <w:spacing w:line="420" w:lineRule="exact"/>
              <w:jc w:val="center"/>
              <w:rPr>
                <w:rFonts w:hint="eastAsia" w:ascii="新宋体" w:hAnsi="新宋体" w:eastAsia="新宋体" w:cs="新宋体"/>
                <w:color w:val="auto"/>
                <w:sz w:val="22"/>
                <w:szCs w:val="22"/>
                <w:highlight w:val="none"/>
              </w:rPr>
            </w:pPr>
          </w:p>
        </w:tc>
        <w:tc>
          <w:tcPr>
            <w:tcW w:w="1691" w:type="dxa"/>
            <w:noWrap w:val="0"/>
            <w:vAlign w:val="center"/>
          </w:tcPr>
          <w:p w14:paraId="76F6E932">
            <w:pPr>
              <w:spacing w:line="420" w:lineRule="exact"/>
              <w:jc w:val="center"/>
              <w:rPr>
                <w:rFonts w:hint="eastAsia" w:ascii="新宋体" w:hAnsi="新宋体" w:eastAsia="新宋体" w:cs="新宋体"/>
                <w:color w:val="auto"/>
                <w:sz w:val="22"/>
                <w:szCs w:val="22"/>
                <w:highlight w:val="none"/>
              </w:rPr>
            </w:pPr>
          </w:p>
        </w:tc>
        <w:tc>
          <w:tcPr>
            <w:tcW w:w="1800" w:type="dxa"/>
            <w:noWrap w:val="0"/>
            <w:vAlign w:val="center"/>
          </w:tcPr>
          <w:p w14:paraId="36A15C9B">
            <w:pPr>
              <w:spacing w:line="420" w:lineRule="exact"/>
              <w:jc w:val="center"/>
              <w:rPr>
                <w:rFonts w:hint="eastAsia" w:ascii="新宋体" w:hAnsi="新宋体" w:eastAsia="新宋体" w:cs="新宋体"/>
                <w:color w:val="auto"/>
                <w:sz w:val="22"/>
                <w:szCs w:val="22"/>
                <w:highlight w:val="none"/>
              </w:rPr>
            </w:pPr>
          </w:p>
        </w:tc>
      </w:tr>
      <w:tr w14:paraId="43AAE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19" w:type="dxa"/>
            <w:noWrap w:val="0"/>
            <w:vAlign w:val="center"/>
          </w:tcPr>
          <w:p w14:paraId="7DCF1F19">
            <w:pPr>
              <w:spacing w:line="42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6</w:t>
            </w:r>
          </w:p>
        </w:tc>
        <w:tc>
          <w:tcPr>
            <w:tcW w:w="4075" w:type="dxa"/>
            <w:noWrap w:val="0"/>
            <w:vAlign w:val="center"/>
          </w:tcPr>
          <w:p w14:paraId="1AC8777D">
            <w:pPr>
              <w:spacing w:line="42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u w:val="none"/>
                <w:lang w:val="en-US" w:eastAsia="zh-CN" w:bidi="ar"/>
              </w:rPr>
              <w:t>地址数据治理</w:t>
            </w:r>
          </w:p>
        </w:tc>
        <w:tc>
          <w:tcPr>
            <w:tcW w:w="965" w:type="dxa"/>
            <w:noWrap w:val="0"/>
            <w:vAlign w:val="center"/>
          </w:tcPr>
          <w:p w14:paraId="2C3D2D1B">
            <w:pPr>
              <w:spacing w:line="420" w:lineRule="exact"/>
              <w:jc w:val="center"/>
              <w:rPr>
                <w:rFonts w:hint="eastAsia" w:ascii="新宋体" w:hAnsi="新宋体" w:eastAsia="新宋体" w:cs="新宋体"/>
                <w:color w:val="auto"/>
                <w:sz w:val="22"/>
                <w:szCs w:val="22"/>
                <w:highlight w:val="none"/>
              </w:rPr>
            </w:pPr>
          </w:p>
        </w:tc>
        <w:tc>
          <w:tcPr>
            <w:tcW w:w="1691" w:type="dxa"/>
            <w:noWrap w:val="0"/>
            <w:vAlign w:val="center"/>
          </w:tcPr>
          <w:p w14:paraId="65F809B3">
            <w:pPr>
              <w:spacing w:line="420" w:lineRule="exact"/>
              <w:jc w:val="center"/>
              <w:rPr>
                <w:rFonts w:hint="eastAsia" w:ascii="新宋体" w:hAnsi="新宋体" w:eastAsia="新宋体" w:cs="新宋体"/>
                <w:color w:val="auto"/>
                <w:sz w:val="22"/>
                <w:szCs w:val="22"/>
                <w:highlight w:val="none"/>
              </w:rPr>
            </w:pPr>
          </w:p>
        </w:tc>
        <w:tc>
          <w:tcPr>
            <w:tcW w:w="1800" w:type="dxa"/>
            <w:noWrap w:val="0"/>
            <w:vAlign w:val="center"/>
          </w:tcPr>
          <w:p w14:paraId="25727D14">
            <w:pPr>
              <w:spacing w:line="420" w:lineRule="exact"/>
              <w:jc w:val="center"/>
              <w:rPr>
                <w:rFonts w:hint="eastAsia" w:ascii="新宋体" w:hAnsi="新宋体" w:eastAsia="新宋体" w:cs="新宋体"/>
                <w:color w:val="auto"/>
                <w:sz w:val="22"/>
                <w:szCs w:val="22"/>
                <w:highlight w:val="none"/>
              </w:rPr>
            </w:pPr>
          </w:p>
        </w:tc>
      </w:tr>
      <w:tr w14:paraId="0CA8F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19" w:type="dxa"/>
            <w:noWrap w:val="0"/>
            <w:vAlign w:val="center"/>
          </w:tcPr>
          <w:p w14:paraId="14D89099">
            <w:pPr>
              <w:spacing w:line="42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7</w:t>
            </w:r>
          </w:p>
        </w:tc>
        <w:tc>
          <w:tcPr>
            <w:tcW w:w="4075" w:type="dxa"/>
            <w:noWrap w:val="0"/>
            <w:vAlign w:val="center"/>
          </w:tcPr>
          <w:p w14:paraId="0914D66A">
            <w:pPr>
              <w:jc w:val="center"/>
              <w:rPr>
                <w:rFonts w:hint="eastAsia" w:ascii="新宋体" w:hAnsi="新宋体" w:eastAsia="新宋体" w:cs="新宋体"/>
                <w:color w:val="auto"/>
                <w:sz w:val="22"/>
                <w:szCs w:val="22"/>
                <w:highlight w:val="none"/>
              </w:rPr>
            </w:pPr>
            <w:r>
              <w:rPr>
                <w:rFonts w:hint="eastAsia" w:ascii="新宋体" w:hAnsi="新宋体" w:eastAsia="新宋体" w:cs="新宋体"/>
                <w:b w:val="0"/>
                <w:bCs w:val="0"/>
                <w:color w:val="auto"/>
                <w:kern w:val="0"/>
                <w:sz w:val="22"/>
                <w:szCs w:val="22"/>
                <w:highlight w:val="none"/>
                <w:u w:val="none"/>
                <w:lang w:val="en-US" w:eastAsia="zh-CN" w:bidi="ar"/>
              </w:rPr>
              <w:t>系统集成对接到城市数据空间</w:t>
            </w:r>
          </w:p>
        </w:tc>
        <w:tc>
          <w:tcPr>
            <w:tcW w:w="965" w:type="dxa"/>
            <w:noWrap w:val="0"/>
            <w:vAlign w:val="center"/>
          </w:tcPr>
          <w:p w14:paraId="2D075D6B">
            <w:pPr>
              <w:spacing w:line="420" w:lineRule="exact"/>
              <w:jc w:val="center"/>
              <w:rPr>
                <w:rFonts w:hint="eastAsia" w:ascii="新宋体" w:hAnsi="新宋体" w:eastAsia="新宋体" w:cs="新宋体"/>
                <w:color w:val="auto"/>
                <w:sz w:val="22"/>
                <w:szCs w:val="22"/>
                <w:highlight w:val="none"/>
              </w:rPr>
            </w:pPr>
          </w:p>
        </w:tc>
        <w:tc>
          <w:tcPr>
            <w:tcW w:w="1691" w:type="dxa"/>
            <w:noWrap w:val="0"/>
            <w:vAlign w:val="center"/>
          </w:tcPr>
          <w:p w14:paraId="565F4F09">
            <w:pPr>
              <w:spacing w:line="420" w:lineRule="exact"/>
              <w:jc w:val="center"/>
              <w:rPr>
                <w:rFonts w:hint="eastAsia" w:ascii="新宋体" w:hAnsi="新宋体" w:eastAsia="新宋体" w:cs="新宋体"/>
                <w:color w:val="auto"/>
                <w:sz w:val="22"/>
                <w:szCs w:val="22"/>
                <w:highlight w:val="none"/>
              </w:rPr>
            </w:pPr>
          </w:p>
        </w:tc>
        <w:tc>
          <w:tcPr>
            <w:tcW w:w="1800" w:type="dxa"/>
            <w:noWrap w:val="0"/>
            <w:vAlign w:val="center"/>
          </w:tcPr>
          <w:p w14:paraId="0CF4615E">
            <w:pPr>
              <w:spacing w:line="420" w:lineRule="exact"/>
              <w:jc w:val="center"/>
              <w:rPr>
                <w:rFonts w:hint="eastAsia" w:ascii="新宋体" w:hAnsi="新宋体" w:eastAsia="新宋体" w:cs="新宋体"/>
                <w:color w:val="auto"/>
                <w:sz w:val="22"/>
                <w:szCs w:val="22"/>
                <w:highlight w:val="none"/>
              </w:rPr>
            </w:pPr>
          </w:p>
        </w:tc>
      </w:tr>
      <w:tr w14:paraId="2AEEF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exact"/>
        </w:trPr>
        <w:tc>
          <w:tcPr>
            <w:tcW w:w="4694" w:type="dxa"/>
            <w:gridSpan w:val="2"/>
            <w:noWrap w:val="0"/>
            <w:vAlign w:val="center"/>
          </w:tcPr>
          <w:p w14:paraId="7FCC4708">
            <w:pPr>
              <w:spacing w:line="42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合计价（人民币元）</w:t>
            </w:r>
          </w:p>
        </w:tc>
        <w:tc>
          <w:tcPr>
            <w:tcW w:w="4456" w:type="dxa"/>
            <w:gridSpan w:val="3"/>
            <w:noWrap w:val="0"/>
            <w:vAlign w:val="center"/>
          </w:tcPr>
          <w:p w14:paraId="716903EA">
            <w:pPr>
              <w:spacing w:line="420" w:lineRule="exact"/>
              <w:jc w:val="center"/>
              <w:rPr>
                <w:rFonts w:hint="eastAsia" w:ascii="新宋体" w:hAnsi="新宋体" w:eastAsia="新宋体" w:cs="新宋体"/>
                <w:color w:val="auto"/>
                <w:sz w:val="22"/>
                <w:szCs w:val="22"/>
                <w:highlight w:val="none"/>
              </w:rPr>
            </w:pPr>
          </w:p>
        </w:tc>
      </w:tr>
    </w:tbl>
    <w:p w14:paraId="34AB511F">
      <w:pPr>
        <w:tabs>
          <w:tab w:val="left" w:pos="654"/>
          <w:tab w:val="left" w:pos="1734"/>
          <w:tab w:val="left" w:pos="2814"/>
          <w:tab w:val="left" w:pos="3894"/>
          <w:tab w:val="left" w:pos="5334"/>
          <w:tab w:val="left" w:pos="6414"/>
          <w:tab w:val="left" w:pos="7254"/>
          <w:tab w:val="left" w:pos="8574"/>
          <w:tab w:val="left" w:pos="9654"/>
        </w:tabs>
        <w:autoSpaceDE w:val="0"/>
        <w:autoSpaceDN w:val="0"/>
        <w:adjustRightInd w:val="0"/>
        <w:snapToGrid w:val="0"/>
        <w:spacing w:line="360" w:lineRule="auto"/>
        <w:ind w:left="-178" w:leftChars="-85" w:firstLine="166" w:firstLineChars="75"/>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说明：</w:t>
      </w:r>
    </w:p>
    <w:p w14:paraId="3493A712">
      <w:pPr>
        <w:keepNext w:val="0"/>
        <w:keepLines w:val="0"/>
        <w:pageBreakBefore w:val="0"/>
        <w:widowControl w:val="0"/>
        <w:kinsoku/>
        <w:wordWrap/>
        <w:overflowPunct/>
        <w:topLinePunct w:val="0"/>
        <w:bidi w:val="0"/>
        <w:snapToGrid/>
        <w:spacing w:line="360" w:lineRule="auto"/>
        <w:ind w:right="0" w:rightChars="0"/>
        <w:jc w:val="both"/>
        <w:textAlignment w:val="auto"/>
        <w:outlineLvl w:val="9"/>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none"/>
          <w:lang w:val="zh-CN"/>
        </w:rPr>
        <w:t>1、</w:t>
      </w:r>
      <w:r>
        <w:rPr>
          <w:rFonts w:hint="eastAsia" w:ascii="新宋体" w:hAnsi="新宋体" w:eastAsia="新宋体" w:cs="新宋体"/>
          <w:b/>
          <w:bCs/>
          <w:color w:val="auto"/>
          <w:sz w:val="22"/>
          <w:szCs w:val="22"/>
          <w:highlight w:val="none"/>
          <w:u w:val="single"/>
          <w:lang w:val="zh-CN"/>
        </w:rPr>
        <w:t>▲不提供本表的投标文件将被视为未实质性采购文件要求，按投标无效处理。</w:t>
      </w:r>
    </w:p>
    <w:p w14:paraId="514E2DA8">
      <w:pPr>
        <w:keepNext w:val="0"/>
        <w:keepLines w:val="0"/>
        <w:pageBreakBefore w:val="0"/>
        <w:widowControl w:val="0"/>
        <w:kinsoku/>
        <w:wordWrap/>
        <w:overflowPunct/>
        <w:topLinePunct w:val="0"/>
        <w:bidi w:val="0"/>
        <w:snapToGrid/>
        <w:spacing w:line="360" w:lineRule="auto"/>
        <w:ind w:right="0" w:rightChars="0"/>
        <w:jc w:val="both"/>
        <w:textAlignment w:val="auto"/>
        <w:outlineLvl w:val="9"/>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none"/>
          <w:lang w:val="zh-CN"/>
        </w:rPr>
        <w:t>2、</w:t>
      </w:r>
      <w:r>
        <w:rPr>
          <w:rFonts w:hint="eastAsia" w:ascii="新宋体" w:hAnsi="新宋体" w:eastAsia="新宋体" w:cs="新宋体"/>
          <w:b/>
          <w:bCs/>
          <w:color w:val="auto"/>
          <w:sz w:val="22"/>
          <w:szCs w:val="22"/>
          <w:highlight w:val="none"/>
          <w:u w:val="single"/>
          <w:lang w:val="zh-CN"/>
        </w:rPr>
        <w:t>▲本表</w:t>
      </w:r>
      <w:r>
        <w:rPr>
          <w:rFonts w:hint="eastAsia" w:ascii="新宋体" w:hAnsi="新宋体" w:eastAsia="新宋体" w:cs="新宋体"/>
          <w:b/>
          <w:bCs/>
          <w:color w:val="auto"/>
          <w:sz w:val="22"/>
          <w:szCs w:val="22"/>
          <w:highlight w:val="none"/>
          <w:u w:val="single"/>
        </w:rPr>
        <w:t>中的合计价</w:t>
      </w:r>
      <w:r>
        <w:rPr>
          <w:rFonts w:hint="eastAsia" w:ascii="新宋体" w:hAnsi="新宋体" w:eastAsia="新宋体" w:cs="新宋体"/>
          <w:b/>
          <w:bCs/>
          <w:color w:val="auto"/>
          <w:sz w:val="22"/>
          <w:szCs w:val="22"/>
          <w:highlight w:val="none"/>
          <w:u w:val="single"/>
          <w:lang w:val="zh-CN"/>
        </w:rPr>
        <w:t>为</w:t>
      </w:r>
      <w:r>
        <w:rPr>
          <w:rFonts w:hint="eastAsia" w:ascii="新宋体" w:hAnsi="新宋体" w:eastAsia="新宋体" w:cs="新宋体"/>
          <w:b/>
          <w:bCs/>
          <w:color w:val="auto"/>
          <w:sz w:val="22"/>
          <w:szCs w:val="22"/>
          <w:highlight w:val="none"/>
          <w:u w:val="single"/>
        </w:rPr>
        <w:t>含税价且已</w:t>
      </w:r>
      <w:r>
        <w:rPr>
          <w:rFonts w:hint="eastAsia" w:ascii="新宋体" w:hAnsi="新宋体" w:eastAsia="新宋体" w:cs="新宋体"/>
          <w:b/>
          <w:bCs/>
          <w:color w:val="auto"/>
          <w:sz w:val="22"/>
          <w:szCs w:val="22"/>
          <w:highlight w:val="none"/>
          <w:u w:val="single"/>
          <w:lang w:val="zh-CN"/>
        </w:rPr>
        <w:t>包含</w:t>
      </w:r>
      <w:r>
        <w:rPr>
          <w:rFonts w:hint="eastAsia" w:ascii="新宋体" w:hAnsi="新宋体" w:eastAsia="新宋体" w:cs="新宋体"/>
          <w:b/>
          <w:bCs/>
          <w:color w:val="auto"/>
          <w:sz w:val="22"/>
          <w:szCs w:val="22"/>
          <w:highlight w:val="none"/>
          <w:u w:val="single"/>
          <w:lang w:val="en-US" w:eastAsia="zh-CN"/>
        </w:rPr>
        <w:t>完成本项目</w:t>
      </w:r>
      <w:r>
        <w:rPr>
          <w:rFonts w:hint="eastAsia" w:ascii="新宋体" w:hAnsi="新宋体" w:eastAsia="新宋体" w:cs="新宋体"/>
          <w:b/>
          <w:bCs/>
          <w:color w:val="auto"/>
          <w:sz w:val="22"/>
          <w:szCs w:val="22"/>
          <w:highlight w:val="none"/>
          <w:u w:val="single"/>
          <w:lang w:val="zh-CN"/>
        </w:rPr>
        <w:t>所有费用的价格</w:t>
      </w:r>
      <w:r>
        <w:rPr>
          <w:rFonts w:hint="eastAsia" w:ascii="新宋体" w:hAnsi="新宋体" w:eastAsia="新宋体" w:cs="新宋体"/>
          <w:b/>
          <w:bCs/>
          <w:color w:val="auto"/>
          <w:sz w:val="22"/>
          <w:szCs w:val="22"/>
          <w:highlight w:val="none"/>
          <w:u w:val="single"/>
        </w:rPr>
        <w:t>。</w:t>
      </w:r>
    </w:p>
    <w:p w14:paraId="68D10A52">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新宋体" w:hAnsi="新宋体" w:eastAsia="新宋体" w:cs="新宋体"/>
          <w:color w:val="auto"/>
          <w:kern w:val="0"/>
          <w:sz w:val="22"/>
          <w:szCs w:val="22"/>
          <w:highlight w:val="none"/>
          <w:u w:val="none"/>
          <w:lang w:val="en-US" w:eastAsia="zh-CN" w:bidi="ar"/>
        </w:rPr>
      </w:pPr>
      <w:r>
        <w:rPr>
          <w:rFonts w:hint="eastAsia" w:ascii="新宋体" w:hAnsi="新宋体" w:eastAsia="新宋体" w:cs="新宋体"/>
          <w:b/>
          <w:bCs/>
          <w:color w:val="auto"/>
          <w:sz w:val="22"/>
          <w:szCs w:val="22"/>
          <w:highlight w:val="none"/>
          <w:lang w:val="zh-CN" w:eastAsia="zh-CN"/>
        </w:rPr>
        <w:t>3、</w:t>
      </w:r>
      <w:r>
        <w:rPr>
          <w:rFonts w:hint="eastAsia" w:ascii="新宋体" w:hAnsi="新宋体" w:eastAsia="新宋体" w:cs="新宋体"/>
          <w:b/>
          <w:bCs/>
          <w:color w:val="auto"/>
          <w:sz w:val="22"/>
          <w:szCs w:val="22"/>
          <w:highlight w:val="none"/>
          <w:u w:val="single"/>
          <w:lang w:val="en-US" w:eastAsia="zh-CN"/>
        </w:rPr>
        <w:t>▲投标供应商云病案系统、温州市医疗大数据智廉监管平台、市级医院运营管理决策支持平台合计报价不得高于550万元、</w:t>
      </w:r>
      <w:r>
        <w:rPr>
          <w:rFonts w:hint="default" w:ascii="新宋体" w:hAnsi="新宋体" w:eastAsia="新宋体" w:cs="新宋体"/>
          <w:b/>
          <w:bCs/>
          <w:color w:val="auto"/>
          <w:sz w:val="22"/>
          <w:szCs w:val="22"/>
          <w:highlight w:val="none"/>
          <w:u w:val="single"/>
          <w:lang w:val="en-US" w:eastAsia="zh-CN"/>
        </w:rPr>
        <w:t>未成年人侵害</w:t>
      </w:r>
      <w:r>
        <w:rPr>
          <w:rFonts w:hint="eastAsia" w:ascii="新宋体" w:hAnsi="新宋体" w:eastAsia="新宋体" w:cs="新宋体"/>
          <w:b/>
          <w:bCs/>
          <w:color w:val="auto"/>
          <w:sz w:val="22"/>
          <w:szCs w:val="22"/>
          <w:highlight w:val="none"/>
          <w:u w:val="single"/>
          <w:lang w:val="en-US" w:eastAsia="zh-CN"/>
        </w:rPr>
        <w:t>监管平台、医疗人口数据治理、地址数据治理以及系统集成对接到城市数据空间合计报价不得高于137万元，否则投标无效。</w:t>
      </w:r>
    </w:p>
    <w:p w14:paraId="44C61AE4">
      <w:pPr>
        <w:keepNext w:val="0"/>
        <w:keepLines w:val="0"/>
        <w:pageBreakBefore w:val="0"/>
        <w:widowControl w:val="0"/>
        <w:kinsoku/>
        <w:wordWrap/>
        <w:overflowPunct/>
        <w:topLinePunct w:val="0"/>
        <w:bidi w:val="0"/>
        <w:snapToGrid/>
        <w:spacing w:line="360" w:lineRule="auto"/>
        <w:ind w:right="0" w:rightChars="0"/>
        <w:jc w:val="both"/>
        <w:textAlignment w:val="auto"/>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4、</w:t>
      </w:r>
      <w:r>
        <w:rPr>
          <w:rFonts w:hint="eastAsia" w:ascii="新宋体" w:hAnsi="新宋体" w:eastAsia="新宋体" w:cs="新宋体"/>
          <w:b/>
          <w:bCs/>
          <w:color w:val="auto"/>
          <w:sz w:val="22"/>
          <w:szCs w:val="22"/>
          <w:highlight w:val="none"/>
        </w:rPr>
        <w:t>建议</w:t>
      </w:r>
      <w:r>
        <w:rPr>
          <w:rFonts w:hint="eastAsia" w:ascii="新宋体" w:hAnsi="新宋体" w:eastAsia="新宋体" w:cs="新宋体"/>
          <w:b/>
          <w:bCs/>
          <w:color w:val="auto"/>
          <w:sz w:val="22"/>
          <w:szCs w:val="22"/>
          <w:highlight w:val="none"/>
          <w:lang w:eastAsia="zh-CN"/>
        </w:rPr>
        <w:t>投标供应商</w:t>
      </w:r>
      <w:r>
        <w:rPr>
          <w:rFonts w:hint="eastAsia" w:ascii="新宋体" w:hAnsi="新宋体" w:eastAsia="新宋体" w:cs="新宋体"/>
          <w:b/>
          <w:bCs/>
          <w:color w:val="auto"/>
          <w:sz w:val="22"/>
          <w:szCs w:val="22"/>
          <w:highlight w:val="none"/>
        </w:rPr>
        <w:t>对本表中的“数量”、“</w:t>
      </w:r>
      <w:r>
        <w:rPr>
          <w:rFonts w:hint="eastAsia" w:ascii="新宋体" w:hAnsi="新宋体" w:eastAsia="新宋体" w:cs="新宋体"/>
          <w:b/>
          <w:bCs/>
          <w:color w:val="auto"/>
          <w:sz w:val="22"/>
          <w:szCs w:val="22"/>
          <w:highlight w:val="none"/>
          <w:lang w:val="en-US" w:eastAsia="zh-CN"/>
        </w:rPr>
        <w:t>报价（含税）</w:t>
      </w:r>
      <w:r>
        <w:rPr>
          <w:rFonts w:hint="eastAsia" w:ascii="新宋体" w:hAnsi="新宋体" w:eastAsia="新宋体" w:cs="新宋体"/>
          <w:b/>
          <w:bCs/>
          <w:color w:val="auto"/>
          <w:sz w:val="22"/>
          <w:szCs w:val="22"/>
          <w:highlight w:val="none"/>
        </w:rPr>
        <w:t>”及“</w:t>
      </w:r>
      <w:r>
        <w:rPr>
          <w:rFonts w:hint="eastAsia" w:ascii="新宋体" w:hAnsi="新宋体" w:eastAsia="新宋体" w:cs="新宋体"/>
          <w:b/>
          <w:bCs/>
          <w:color w:val="auto"/>
          <w:sz w:val="22"/>
          <w:szCs w:val="22"/>
          <w:highlight w:val="none"/>
          <w:lang w:val="en-US" w:eastAsia="zh-CN"/>
        </w:rPr>
        <w:t>合计</w:t>
      </w:r>
      <w:r>
        <w:rPr>
          <w:rFonts w:hint="eastAsia" w:ascii="新宋体" w:hAnsi="新宋体" w:eastAsia="新宋体" w:cs="新宋体"/>
          <w:b/>
          <w:bCs/>
          <w:color w:val="auto"/>
          <w:sz w:val="22"/>
          <w:szCs w:val="22"/>
          <w:highlight w:val="none"/>
        </w:rPr>
        <w:t>价”进行</w:t>
      </w:r>
      <w:r>
        <w:rPr>
          <w:rFonts w:hint="eastAsia" w:ascii="新宋体" w:hAnsi="新宋体" w:eastAsia="新宋体" w:cs="新宋体"/>
          <w:b/>
          <w:bCs/>
          <w:color w:val="auto"/>
          <w:sz w:val="22"/>
          <w:szCs w:val="22"/>
          <w:highlight w:val="none"/>
          <w:lang w:val="en-US" w:eastAsia="zh-CN"/>
        </w:rPr>
        <w:t>核对</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lang w:val="en-US" w:eastAsia="zh-CN"/>
        </w:rPr>
        <w:t>避免出现金额计算结果不一致</w:t>
      </w:r>
      <w:r>
        <w:rPr>
          <w:rFonts w:hint="eastAsia" w:ascii="新宋体" w:hAnsi="新宋体" w:eastAsia="新宋体" w:cs="新宋体"/>
          <w:b/>
          <w:bCs/>
          <w:color w:val="auto"/>
          <w:sz w:val="22"/>
          <w:szCs w:val="22"/>
          <w:highlight w:val="none"/>
        </w:rPr>
        <w:t>。</w:t>
      </w:r>
    </w:p>
    <w:p w14:paraId="471F2230">
      <w:pPr>
        <w:overflowPunct w:val="0"/>
        <w:spacing w:line="460" w:lineRule="exact"/>
        <w:rPr>
          <w:rFonts w:hint="eastAsia" w:ascii="新宋体" w:hAnsi="新宋体" w:eastAsia="新宋体" w:cs="新宋体"/>
          <w:color w:val="auto"/>
          <w:sz w:val="22"/>
          <w:szCs w:val="22"/>
          <w:highlight w:val="none"/>
        </w:rPr>
      </w:pPr>
    </w:p>
    <w:p w14:paraId="3BE58209">
      <w:pPr>
        <w:overflowPunct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投标供应商全称（盖章）：</w:t>
      </w:r>
    </w:p>
    <w:p w14:paraId="52FD6B29">
      <w:pPr>
        <w:overflowPunct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法定代表人（负责人）</w:t>
      </w:r>
      <w:r>
        <w:rPr>
          <w:rFonts w:hint="eastAsia" w:ascii="新宋体" w:hAnsi="新宋体" w:eastAsia="新宋体" w:cs="新宋体"/>
          <w:color w:val="auto"/>
          <w:sz w:val="22"/>
          <w:szCs w:val="22"/>
          <w:highlight w:val="none"/>
        </w:rPr>
        <w:t>或授权代表（签名或盖章）：</w:t>
      </w:r>
    </w:p>
    <w:p w14:paraId="7A937969">
      <w:pPr>
        <w:overflowPunct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14:paraId="3C428136">
      <w:pPr>
        <w:spacing w:line="500" w:lineRule="exact"/>
        <w:jc w:val="left"/>
        <w:rPr>
          <w:rFonts w:hint="eastAsia" w:ascii="新宋体" w:hAnsi="新宋体" w:eastAsia="新宋体" w:cs="新宋体"/>
          <w:color w:val="auto"/>
          <w:sz w:val="36"/>
          <w:szCs w:val="36"/>
          <w:highlight w:val="none"/>
          <w:lang w:eastAsia="zh-CN"/>
        </w:rPr>
      </w:pPr>
      <w:bookmarkStart w:id="239" w:name="_GoBack"/>
      <w:bookmarkEnd w:id="239"/>
      <w:r>
        <w:rPr>
          <w:rFonts w:hint="eastAsia" w:ascii="新宋体" w:hAnsi="新宋体" w:eastAsia="新宋体" w:cs="新宋体"/>
          <w:b/>
          <w:bCs/>
          <w:color w:val="auto"/>
          <w:sz w:val="22"/>
          <w:szCs w:val="22"/>
          <w:highlight w:val="none"/>
        </w:rPr>
        <w:br w:type="page"/>
      </w:r>
      <w:bookmarkStart w:id="195" w:name="_Toc21821"/>
      <w:bookmarkStart w:id="196" w:name="_Toc2639"/>
      <w:bookmarkStart w:id="197" w:name="_Toc75948406"/>
      <w:bookmarkStart w:id="198" w:name="_Toc12175"/>
      <w:bookmarkStart w:id="199" w:name="_Toc11243"/>
      <w:bookmarkStart w:id="200" w:name="_Toc25940"/>
      <w:bookmarkStart w:id="201" w:name="_Toc10806"/>
      <w:bookmarkStart w:id="202" w:name="_Toc29498"/>
      <w:r>
        <w:rPr>
          <w:rFonts w:hint="eastAsia" w:ascii="新宋体" w:hAnsi="新宋体" w:eastAsia="新宋体" w:cs="新宋体"/>
          <w:b/>
          <w:bCs/>
          <w:color w:val="auto"/>
          <w:sz w:val="22"/>
          <w:szCs w:val="22"/>
          <w:highlight w:val="none"/>
          <w:lang w:val="en-US" w:eastAsia="zh-CN"/>
        </w:rPr>
        <w:t xml:space="preserve">                    </w:t>
      </w:r>
      <w:r>
        <w:rPr>
          <w:rFonts w:hint="eastAsia" w:ascii="新宋体" w:hAnsi="新宋体" w:eastAsia="新宋体" w:cs="新宋体"/>
          <w:b/>
          <w:bCs/>
          <w:color w:val="auto"/>
          <w:sz w:val="36"/>
          <w:szCs w:val="36"/>
          <w:highlight w:val="none"/>
        </w:rPr>
        <w:t xml:space="preserve">第四部分   </w:t>
      </w:r>
      <w:bookmarkEnd w:id="195"/>
      <w:bookmarkEnd w:id="196"/>
      <w:bookmarkEnd w:id="197"/>
      <w:bookmarkEnd w:id="198"/>
      <w:bookmarkEnd w:id="199"/>
      <w:bookmarkEnd w:id="200"/>
      <w:bookmarkEnd w:id="201"/>
      <w:bookmarkEnd w:id="202"/>
      <w:r>
        <w:rPr>
          <w:rFonts w:hint="eastAsia" w:ascii="新宋体" w:hAnsi="新宋体" w:eastAsia="新宋体" w:cs="新宋体"/>
          <w:b/>
          <w:bCs/>
          <w:color w:val="auto"/>
          <w:sz w:val="36"/>
          <w:szCs w:val="36"/>
          <w:highlight w:val="none"/>
          <w:lang w:eastAsia="zh-CN"/>
        </w:rPr>
        <w:t>采购内容及要求</w:t>
      </w:r>
    </w:p>
    <w:p w14:paraId="42601409">
      <w:pPr>
        <w:pStyle w:val="14"/>
        <w:snapToGrid w:val="0"/>
        <w:spacing w:line="460" w:lineRule="exact"/>
        <w:ind w:firstLine="600" w:firstLineChars="200"/>
        <w:jc w:val="center"/>
        <w:rPr>
          <w:rFonts w:hint="eastAsia" w:ascii="新宋体" w:hAnsi="新宋体" w:eastAsia="新宋体" w:cs="新宋体"/>
          <w:color w:val="auto"/>
          <w:sz w:val="30"/>
          <w:szCs w:val="30"/>
          <w:highlight w:val="none"/>
          <w:lang w:val="en-US" w:eastAsia="zh-CN"/>
        </w:rPr>
      </w:pPr>
    </w:p>
    <w:p w14:paraId="271C2486">
      <w:pPr>
        <w:keepNext w:val="0"/>
        <w:keepLines w:val="0"/>
        <w:pageBreakBefore w:val="0"/>
        <w:kinsoku/>
        <w:wordWrap/>
        <w:overflowPunct/>
        <w:topLinePunct w:val="0"/>
        <w:autoSpaceDE/>
        <w:autoSpaceDN/>
        <w:bidi w:val="0"/>
        <w:spacing w:line="360" w:lineRule="auto"/>
        <w:rPr>
          <w:rFonts w:hint="eastAsia" w:ascii="新宋体" w:hAnsi="新宋体" w:eastAsia="新宋体" w:cs="新宋体"/>
          <w:b/>
          <w:bCs/>
          <w:color w:val="auto"/>
          <w:kern w:val="0"/>
          <w:sz w:val="22"/>
          <w:szCs w:val="22"/>
          <w:highlight w:val="none"/>
        </w:rPr>
      </w:pPr>
      <w:bookmarkStart w:id="203" w:name="_Toc14691"/>
      <w:bookmarkStart w:id="204" w:name="_Toc199255014"/>
      <w:r>
        <w:rPr>
          <w:rFonts w:hint="eastAsia" w:ascii="新宋体" w:hAnsi="新宋体" w:eastAsia="新宋体" w:cs="新宋体"/>
          <w:b/>
          <w:bCs/>
          <w:color w:val="auto"/>
          <w:kern w:val="0"/>
          <w:sz w:val="22"/>
          <w:szCs w:val="22"/>
          <w:highlight w:val="none"/>
        </w:rPr>
        <w:t>一、项目背景</w:t>
      </w:r>
      <w:bookmarkEnd w:id="203"/>
      <w:bookmarkEnd w:id="204"/>
    </w:p>
    <w:p w14:paraId="07ABC195">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bookmarkStart w:id="205" w:name="_Hlk194929816"/>
      <w:r>
        <w:rPr>
          <w:rFonts w:hint="eastAsia" w:ascii="新宋体" w:hAnsi="新宋体" w:eastAsia="新宋体" w:cs="新宋体"/>
          <w:color w:val="auto"/>
          <w:kern w:val="0"/>
          <w:sz w:val="22"/>
          <w:szCs w:val="22"/>
          <w:highlight w:val="none"/>
        </w:rPr>
        <w:t>随着人工智能、大数据、云计算等数字技术的迅猛发展，智慧医疗、远程会诊和互联网医院等数字医疗服务正以前所未有的速度蓬勃发展。这些创新不仅显著提升了患者就医的便利性，还大幅提高了医疗服务效率，有效增强了群众的就医获得感和满意度。2023年12月31日，国家数据局等17部门联合印发《"数据要素×"三年行动计划（2024-2026年）》，其中"数据要素×医疗健康"行动明确提出要进一步提升群众就医便捷度，为健康医疗产业发展带来了新的机遇。</w:t>
      </w:r>
    </w:p>
    <w:p w14:paraId="5B3EDC57">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近年来，国家高度重视医疗数据共享与应用，先后出台《"健康中国2030"规划纲要》《关于促进和规范健康医疗大数据应用发展的指导意见》等一系列政策文件，明确要求推动健康医疗数据共享开放，促进数据资源开发利用。</w:t>
      </w:r>
    </w:p>
    <w:p w14:paraId="2B39477B">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温州市积极响应国家政策号召，将健康医疗数据共享与应用作为推动数字经济发展和改善民生的重要抓手，制定出台了《温州市健康医疗大数据发展行动计划（2020-2025年）》等政策文件，明确提出要建设健康医疗可信数据空间，推动数据安全有序流动。</w:t>
      </w:r>
    </w:p>
    <w:p w14:paraId="1BEC3CB2">
      <w:pPr>
        <w:keepNext w:val="0"/>
        <w:keepLines w:val="0"/>
        <w:pageBreakBefore w:val="0"/>
        <w:kinsoku/>
        <w:wordWrap/>
        <w:overflowPunct/>
        <w:topLinePunct w:val="0"/>
        <w:autoSpaceDE/>
        <w:autoSpaceDN/>
        <w:bidi w:val="0"/>
        <w:spacing w:after="120" w:line="360" w:lineRule="auto"/>
        <w:ind w:firstLine="419"/>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目前，温州市正由国家健康医疗数据综合开发利用试点先行先试工作暨国家健康医疗数据联合实验室（温州）建设工作专班（待牵头成立）统筹推进，市卫健委、市数据局、属地政府等各方充分发挥各自在资本运作、产业孵化、产教融合和运营管理等方面的优势资源，协同推进试点工作。</w:t>
      </w:r>
    </w:p>
    <w:bookmarkEnd w:id="205"/>
    <w:p w14:paraId="60D13372">
      <w:pPr>
        <w:keepNext w:val="0"/>
        <w:keepLines w:val="0"/>
        <w:pageBreakBefore w:val="0"/>
        <w:kinsoku/>
        <w:wordWrap/>
        <w:overflowPunct/>
        <w:topLinePunct w:val="0"/>
        <w:autoSpaceDE/>
        <w:autoSpaceDN/>
        <w:bidi w:val="0"/>
        <w:spacing w:line="360" w:lineRule="auto"/>
        <w:rPr>
          <w:rFonts w:hint="eastAsia" w:ascii="新宋体" w:hAnsi="新宋体" w:eastAsia="新宋体" w:cs="新宋体"/>
          <w:b/>
          <w:bCs/>
          <w:color w:val="auto"/>
          <w:kern w:val="0"/>
          <w:sz w:val="22"/>
          <w:szCs w:val="22"/>
          <w:highlight w:val="none"/>
        </w:rPr>
      </w:pPr>
      <w:bookmarkStart w:id="206" w:name="_Toc26901"/>
      <w:bookmarkStart w:id="207" w:name="_Toc199255015"/>
      <w:r>
        <w:rPr>
          <w:rFonts w:hint="eastAsia" w:ascii="新宋体" w:hAnsi="新宋体" w:eastAsia="新宋体" w:cs="新宋体"/>
          <w:b/>
          <w:bCs/>
          <w:color w:val="auto"/>
          <w:kern w:val="0"/>
          <w:sz w:val="22"/>
          <w:szCs w:val="22"/>
          <w:highlight w:val="none"/>
        </w:rPr>
        <w:t>二、项目目标</w:t>
      </w:r>
      <w:bookmarkEnd w:id="206"/>
      <w:bookmarkEnd w:id="207"/>
    </w:p>
    <w:p w14:paraId="088FA1A4">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一是构建安全可信的数据共享环境： 通过区块链、隐私计算等技术，建立数据安全共享机制，保障数据安全可控。</w:t>
      </w:r>
    </w:p>
    <w:p w14:paraId="267CF16F">
      <w:pPr>
        <w:keepNext w:val="0"/>
        <w:keepLines w:val="0"/>
        <w:pageBreakBefore w:val="0"/>
        <w:kinsoku/>
        <w:wordWrap/>
        <w:overflowPunct/>
        <w:topLinePunct w:val="0"/>
        <w:autoSpaceDE/>
        <w:autoSpaceDN/>
        <w:bidi w:val="0"/>
        <w:spacing w:line="360" w:lineRule="auto"/>
        <w:ind w:firstLine="419"/>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二是打破数据孤岛，实现数据互联互通： 制定统一的数据标准规范，整合分散的医疗数据资源，构建全市统一的健康医疗数据资源池。</w:t>
      </w:r>
    </w:p>
    <w:p w14:paraId="4A988D6A">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三是构建医疗数据资源聚合基础平台，逐步接入全市医疗机构海量医疗数据资源，打造温州城市数据空间健康医疗数据专区。为深入开发医疗数据应用场景，促进数据流通应用提供基础平台和数据资源支撑。</w:t>
      </w:r>
    </w:p>
    <w:p w14:paraId="0C9E2837">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四是响应信创国产化要求，制定从国产化云服务器、网络、安全等硬件设备到国产化操作系统、数据库、中间件等软件产品应用的一体化解决方案。根据国家等保备案标准对系统进行定级，并按等保2.0标准通过测评。获取商用密码应用安全性评估测试通过报告。</w:t>
      </w:r>
    </w:p>
    <w:p w14:paraId="4A42C9EA">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五是促进数据资源开发利用： 推动健康医疗数据在临床科研、公共卫生、医保监管等领域的应用，助力健康医疗产业发展。</w:t>
      </w:r>
    </w:p>
    <w:p w14:paraId="06AC1BEB">
      <w:pPr>
        <w:keepNext w:val="0"/>
        <w:keepLines w:val="0"/>
        <w:pageBreakBefore w:val="0"/>
        <w:kinsoku/>
        <w:wordWrap/>
        <w:overflowPunct/>
        <w:topLinePunct w:val="0"/>
        <w:autoSpaceDE/>
        <w:autoSpaceDN/>
        <w:bidi w:val="0"/>
        <w:spacing w:after="120" w:line="360" w:lineRule="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    六是补充城市数据空间健康医疗行业数据可信空间，为异地数据互通贡献力量。</w:t>
      </w:r>
    </w:p>
    <w:p w14:paraId="25D87536">
      <w:pPr>
        <w:keepNext w:val="0"/>
        <w:keepLines w:val="0"/>
        <w:pageBreakBefore w:val="0"/>
        <w:kinsoku/>
        <w:wordWrap/>
        <w:overflowPunct/>
        <w:topLinePunct w:val="0"/>
        <w:autoSpaceDE/>
        <w:autoSpaceDN/>
        <w:bidi w:val="0"/>
        <w:spacing w:line="360" w:lineRule="auto"/>
        <w:rPr>
          <w:rFonts w:hint="eastAsia" w:ascii="新宋体" w:hAnsi="新宋体" w:eastAsia="新宋体" w:cs="新宋体"/>
          <w:b/>
          <w:bCs/>
          <w:color w:val="auto"/>
          <w:kern w:val="0"/>
          <w:sz w:val="22"/>
          <w:szCs w:val="22"/>
          <w:highlight w:val="none"/>
        </w:rPr>
      </w:pPr>
      <w:bookmarkStart w:id="208" w:name="_Toc451005958"/>
      <w:bookmarkStart w:id="209" w:name="_Toc7731"/>
      <w:bookmarkStart w:id="210" w:name="_Toc199255016"/>
      <w:r>
        <w:rPr>
          <w:rFonts w:hint="eastAsia" w:ascii="新宋体" w:hAnsi="新宋体" w:eastAsia="新宋体" w:cs="新宋体"/>
          <w:b/>
          <w:bCs/>
          <w:color w:val="auto"/>
          <w:kern w:val="0"/>
          <w:sz w:val="22"/>
          <w:szCs w:val="22"/>
          <w:highlight w:val="none"/>
        </w:rPr>
        <w:t>三、项目规模</w:t>
      </w:r>
      <w:bookmarkEnd w:id="208"/>
      <w:bookmarkEnd w:id="209"/>
      <w:bookmarkEnd w:id="210"/>
    </w:p>
    <w:p w14:paraId="2B7FA469">
      <w:pPr>
        <w:keepNext w:val="0"/>
        <w:keepLines w:val="0"/>
        <w:pageBreakBefore w:val="0"/>
        <w:kinsoku/>
        <w:wordWrap/>
        <w:overflowPunct/>
        <w:topLinePunct w:val="0"/>
        <w:autoSpaceDE/>
        <w:autoSpaceDN/>
        <w:bidi w:val="0"/>
        <w:spacing w:line="360" w:lineRule="auto"/>
        <w:ind w:firstLine="419"/>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1、行业覆盖：全面覆盖温州市市域及下属区县各级医疗机构，包含公立医院、卫生健康医疗机构、民营医疗机构等全部类型，确保医疗数据源头的全面性与完整性。</w:t>
      </w:r>
    </w:p>
    <w:p w14:paraId="0E7E337C">
      <w:pPr>
        <w:keepNext w:val="0"/>
        <w:keepLines w:val="0"/>
        <w:pageBreakBefore w:val="0"/>
        <w:kinsoku/>
        <w:wordWrap/>
        <w:overflowPunct/>
        <w:topLinePunct w:val="0"/>
        <w:autoSpaceDE/>
        <w:autoSpaceDN/>
        <w:bidi w:val="0"/>
        <w:spacing w:line="360" w:lineRule="auto"/>
        <w:ind w:firstLine="419"/>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2、行业协同：开展公共数据协同对接，积极与公安、教育等本地关键行业深度对接，实现数据共享与业务联动。</w:t>
      </w:r>
    </w:p>
    <w:p w14:paraId="50A92976">
      <w:pPr>
        <w:keepNext w:val="0"/>
        <w:keepLines w:val="0"/>
        <w:pageBreakBefore w:val="0"/>
        <w:kinsoku/>
        <w:wordWrap/>
        <w:overflowPunct/>
        <w:topLinePunct w:val="0"/>
        <w:autoSpaceDE/>
        <w:autoSpaceDN/>
        <w:bidi w:val="0"/>
        <w:spacing w:line="360" w:lineRule="auto"/>
        <w:ind w:firstLine="419"/>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3、异地协同：同时向市外、省外拓展，与其他城市和行业建立广泛合作网络，促进跨区域、跨行业融合发展。</w:t>
      </w:r>
    </w:p>
    <w:p w14:paraId="3D203681">
      <w:pPr>
        <w:keepNext w:val="0"/>
        <w:keepLines w:val="0"/>
        <w:pageBreakBefore w:val="0"/>
        <w:kinsoku/>
        <w:wordWrap/>
        <w:overflowPunct/>
        <w:topLinePunct w:val="0"/>
        <w:autoSpaceDE/>
        <w:autoSpaceDN/>
        <w:bidi w:val="0"/>
        <w:spacing w:line="360" w:lineRule="auto"/>
        <w:rPr>
          <w:rFonts w:hint="eastAsia" w:ascii="新宋体" w:hAnsi="新宋体" w:eastAsia="新宋体" w:cs="新宋体"/>
          <w:b/>
          <w:bCs/>
          <w:color w:val="auto"/>
          <w:kern w:val="0"/>
          <w:sz w:val="22"/>
          <w:szCs w:val="22"/>
          <w:highlight w:val="none"/>
        </w:rPr>
      </w:pPr>
      <w:bookmarkStart w:id="211" w:name="_Toc199255017"/>
      <w:bookmarkStart w:id="212" w:name="_Toc13291"/>
      <w:r>
        <w:rPr>
          <w:rFonts w:hint="eastAsia" w:ascii="新宋体" w:hAnsi="新宋体" w:eastAsia="新宋体" w:cs="新宋体"/>
          <w:b/>
          <w:bCs/>
          <w:color w:val="auto"/>
          <w:kern w:val="0"/>
          <w:sz w:val="22"/>
          <w:szCs w:val="22"/>
          <w:highlight w:val="none"/>
        </w:rPr>
        <w:t>四、项目内容</w:t>
      </w:r>
      <w:bookmarkEnd w:id="211"/>
      <w:bookmarkEnd w:id="212"/>
    </w:p>
    <w:p w14:paraId="6F44B20A">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项目旨在通过以上建设内容，打造一个安全、高效、互联互通的健康医疗数据空间，提升医疗服务质量，促进数据要素市场化，为温州市健康医疗产业的数字化转型提供坚实基础。</w:t>
      </w:r>
    </w:p>
    <w:p w14:paraId="3D9329F6">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温州市健康医疗可信数据空间项目建设内容主要包括以下几个方面：</w:t>
      </w:r>
    </w:p>
    <w:p w14:paraId="1CA94F0B">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1、数据共享环境构建</w:t>
      </w:r>
    </w:p>
    <w:p w14:paraId="7718DA83">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利用区块链、隐私计算等技术，建立安全可信的数据共享机制，确保数据在共享过程中的安全性和可控性。</w:t>
      </w:r>
    </w:p>
    <w:p w14:paraId="1BC630DF">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2、数据资源整合与互联互通</w:t>
      </w:r>
    </w:p>
    <w:p w14:paraId="60636A8C">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制定统一的数据标准规范，整合分散的医疗数据资源，构建全市统一的健康医疗数据资源池，打破数据孤岛，实现医疗机构间的数据互联互通。</w:t>
      </w:r>
    </w:p>
    <w:p w14:paraId="399994FA">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3、医疗数据资源聚合平台</w:t>
      </w:r>
    </w:p>
    <w:p w14:paraId="118E4796">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搭建医疗数据资源聚合基础平台，逐步接入全市各级医疗机构的医疗数据，形成温州城市数据空间的健康医疗数据专区，为数据应用场景开发提供支撑。</w:t>
      </w:r>
    </w:p>
    <w:p w14:paraId="01D4559E">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4、信创国产化与安全保障</w:t>
      </w:r>
    </w:p>
    <w:p w14:paraId="7066E140">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u w:val="none"/>
          <w:lang w:eastAsia="zh-CN"/>
        </w:rPr>
        <w:t>医疗专区智慧医疗数据综合流通平台-区域医疗综合管理系统</w:t>
      </w:r>
      <w:r>
        <w:rPr>
          <w:rFonts w:hint="eastAsia" w:ascii="新宋体" w:hAnsi="新宋体" w:eastAsia="新宋体" w:cs="新宋体"/>
          <w:color w:val="auto"/>
          <w:sz w:val="22"/>
          <w:szCs w:val="22"/>
          <w:highlight w:val="none"/>
          <w:u w:val="none"/>
          <w:lang w:val="en-US" w:eastAsia="zh-CN"/>
        </w:rPr>
        <w:t>包括</w:t>
      </w:r>
      <w:r>
        <w:rPr>
          <w:rFonts w:hint="eastAsia" w:ascii="新宋体" w:hAnsi="新宋体" w:eastAsia="新宋体" w:cs="新宋体"/>
          <w:color w:val="auto"/>
          <w:kern w:val="0"/>
          <w:sz w:val="22"/>
          <w:szCs w:val="22"/>
          <w:highlight w:val="none"/>
          <w:u w:val="none"/>
          <w:lang w:bidi="ar"/>
        </w:rPr>
        <w:t>云病案</w:t>
      </w:r>
      <w:r>
        <w:rPr>
          <w:rFonts w:hint="eastAsia" w:ascii="新宋体" w:hAnsi="新宋体" w:eastAsia="新宋体" w:cs="新宋体"/>
          <w:color w:val="auto"/>
          <w:kern w:val="0"/>
          <w:sz w:val="22"/>
          <w:szCs w:val="22"/>
          <w:highlight w:val="none"/>
          <w:u w:val="none"/>
          <w:lang w:val="en-US" w:eastAsia="zh-CN" w:bidi="ar"/>
        </w:rPr>
        <w:t>系统、</w:t>
      </w:r>
      <w:r>
        <w:rPr>
          <w:rFonts w:hint="eastAsia" w:ascii="新宋体" w:hAnsi="新宋体" w:eastAsia="新宋体" w:cs="新宋体"/>
          <w:color w:val="auto"/>
          <w:kern w:val="0"/>
          <w:sz w:val="22"/>
          <w:szCs w:val="22"/>
          <w:highlight w:val="none"/>
          <w:u w:val="none"/>
          <w:lang w:bidi="ar"/>
        </w:rPr>
        <w:t>医疗大数据智廉监管</w:t>
      </w:r>
      <w:r>
        <w:rPr>
          <w:rFonts w:hint="eastAsia" w:ascii="新宋体" w:hAnsi="新宋体" w:eastAsia="新宋体" w:cs="新宋体"/>
          <w:color w:val="auto"/>
          <w:kern w:val="0"/>
          <w:sz w:val="22"/>
          <w:szCs w:val="22"/>
          <w:highlight w:val="none"/>
          <w:u w:val="none"/>
          <w:lang w:val="en-US" w:eastAsia="zh-CN" w:bidi="ar"/>
        </w:rPr>
        <w:t>平台、市级医院运营管理决策支持平台须</w:t>
      </w:r>
      <w:r>
        <w:rPr>
          <w:rFonts w:hint="eastAsia" w:ascii="新宋体" w:hAnsi="新宋体" w:eastAsia="新宋体" w:cs="新宋体"/>
          <w:color w:val="auto"/>
          <w:kern w:val="0"/>
          <w:sz w:val="22"/>
          <w:szCs w:val="22"/>
          <w:highlight w:val="none"/>
        </w:rPr>
        <w:t>响应国家信创国产化要求，采用国产化硬件设备和软件产品，确保系统安全。通过等保2.0测评和商用密码应用安全性评估，保障系统安全性。</w:t>
      </w:r>
    </w:p>
    <w:p w14:paraId="1088C3E8">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5、数据开发利用与应用场景拓展</w:t>
      </w:r>
    </w:p>
    <w:p w14:paraId="34820B7A">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推动健康医疗数据在临床科研、公共卫生、医保监管等领域的应用，促进健康医疗产业发展。同时，拓展数据在教育、交通等跨行业领域的应用。</w:t>
      </w:r>
    </w:p>
    <w:p w14:paraId="125F4D06">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6、基础设施建设</w:t>
      </w:r>
    </w:p>
    <w:p w14:paraId="68DE364E">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建设云服务器、分布式存储、高速网络等基础设施，支持数据的高效存储与处理。采用信创和国密技术，确保技术自主可控和数据安全。</w:t>
      </w:r>
    </w:p>
    <w:p w14:paraId="44B4CDC6">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7、运营与管理机制</w:t>
      </w:r>
    </w:p>
    <w:p w14:paraId="2BDE275D">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建立数据资产管理、数据开发、行业治理等运营架构，确保项目的可持续运行。通过成本管理、收益分配等机制，保障资金和资源的合理使用。</w:t>
      </w:r>
    </w:p>
    <w:p w14:paraId="16067833">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8、安全与隐私保护</w:t>
      </w:r>
    </w:p>
    <w:p w14:paraId="2B13D51A">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构建多层次的安全防护体系，包括网络安全、密码应用安全和数据安全，确保数据全生命周期的安全可控。通过隐私保护计算等技术，实现数据“可用不可见”。</w:t>
      </w:r>
    </w:p>
    <w:p w14:paraId="440E6268">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rPr>
        <w:t>9、技术支撑与标准化</w:t>
      </w:r>
    </w:p>
    <w:p w14:paraId="76FD4BDB">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遵循国家及行业技术标准，采用微服务架构、云原生技术等先进技术，确保系统的灵活性、扩展性和持续发展能力。</w:t>
      </w:r>
    </w:p>
    <w:p w14:paraId="3115CED3">
      <w:pPr>
        <w:keepNext w:val="0"/>
        <w:keepLines w:val="0"/>
        <w:pageBreakBefore w:val="0"/>
        <w:kinsoku/>
        <w:wordWrap/>
        <w:overflowPunct/>
        <w:topLinePunct w:val="0"/>
        <w:autoSpaceDE/>
        <w:autoSpaceDN/>
        <w:bidi w:val="0"/>
        <w:spacing w:line="360" w:lineRule="auto"/>
        <w:rPr>
          <w:rFonts w:hint="eastAsia" w:ascii="新宋体" w:hAnsi="新宋体" w:eastAsia="新宋体" w:cs="新宋体"/>
          <w:b/>
          <w:bCs/>
          <w:color w:val="auto"/>
          <w:kern w:val="0"/>
          <w:sz w:val="22"/>
          <w:szCs w:val="22"/>
          <w:highlight w:val="none"/>
        </w:rPr>
      </w:pPr>
      <w:bookmarkStart w:id="213" w:name="_Toc3707"/>
      <w:bookmarkStart w:id="214" w:name="_Toc199255018"/>
      <w:r>
        <w:rPr>
          <w:rFonts w:hint="eastAsia" w:ascii="新宋体" w:hAnsi="新宋体" w:eastAsia="新宋体" w:cs="新宋体"/>
          <w:b/>
          <w:bCs/>
          <w:color w:val="auto"/>
          <w:kern w:val="0"/>
          <w:sz w:val="22"/>
          <w:szCs w:val="22"/>
          <w:highlight w:val="none"/>
        </w:rPr>
        <w:t>五、项目周期</w:t>
      </w:r>
      <w:bookmarkEnd w:id="213"/>
      <w:bookmarkEnd w:id="214"/>
    </w:p>
    <w:p w14:paraId="43C56397">
      <w:pPr>
        <w:keepNext w:val="0"/>
        <w:keepLines w:val="0"/>
        <w:pageBreakBefore w:val="0"/>
        <w:kinsoku/>
        <w:wordWrap/>
        <w:overflowPunct/>
        <w:topLinePunct w:val="0"/>
        <w:autoSpaceDE/>
        <w:autoSpaceDN/>
        <w:bidi w:val="0"/>
        <w:spacing w:line="360" w:lineRule="auto"/>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本项目周期为</w:t>
      </w:r>
      <w:r>
        <w:rPr>
          <w:rFonts w:hint="eastAsia" w:ascii="新宋体" w:hAnsi="新宋体" w:eastAsia="新宋体" w:cs="新宋体"/>
          <w:color w:val="auto"/>
          <w:kern w:val="0"/>
          <w:sz w:val="22"/>
          <w:szCs w:val="22"/>
          <w:highlight w:val="none"/>
          <w:lang w:val="en-US" w:eastAsia="zh-CN"/>
        </w:rPr>
        <w:t>5年</w:t>
      </w:r>
      <w:r>
        <w:rPr>
          <w:rFonts w:hint="eastAsia" w:ascii="新宋体" w:hAnsi="新宋体" w:eastAsia="新宋体" w:cs="新宋体"/>
          <w:color w:val="auto"/>
          <w:kern w:val="0"/>
          <w:sz w:val="22"/>
          <w:szCs w:val="22"/>
          <w:highlight w:val="none"/>
        </w:rPr>
        <w:t xml:space="preserve">。  </w:t>
      </w:r>
    </w:p>
    <w:p w14:paraId="0361D35D">
      <w:pPr>
        <w:keepNext w:val="0"/>
        <w:keepLines w:val="0"/>
        <w:pageBreakBefore w:val="0"/>
        <w:kinsoku/>
        <w:wordWrap/>
        <w:overflowPunct/>
        <w:topLinePunct w:val="0"/>
        <w:autoSpaceDE/>
        <w:autoSpaceDN/>
        <w:bidi w:val="0"/>
        <w:spacing w:line="360" w:lineRule="auto"/>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lang w:val="en-US" w:eastAsia="zh-CN"/>
        </w:rPr>
        <w:t>六、</w:t>
      </w:r>
      <w:r>
        <w:rPr>
          <w:rFonts w:hint="eastAsia" w:ascii="新宋体" w:hAnsi="新宋体" w:eastAsia="新宋体" w:cs="新宋体"/>
          <w:b/>
          <w:bCs/>
          <w:color w:val="auto"/>
          <w:kern w:val="0"/>
          <w:sz w:val="22"/>
          <w:szCs w:val="22"/>
          <w:highlight w:val="none"/>
        </w:rPr>
        <w:t>采购内容及要求</w:t>
      </w:r>
    </w:p>
    <w:p w14:paraId="7C6B2E4E">
      <w:pPr>
        <w:keepNext w:val="0"/>
        <w:keepLines w:val="0"/>
        <w:pageBreakBefore w:val="0"/>
        <w:widowControl w:val="0"/>
        <w:kinsoku/>
        <w:wordWrap/>
        <w:overflowPunct/>
        <w:topLinePunct w:val="0"/>
        <w:autoSpaceDE/>
        <w:autoSpaceDN/>
        <w:bidi w:val="0"/>
        <w:adjustRightInd w:val="0"/>
        <w:snapToGrid w:val="0"/>
        <w:spacing w:before="120" w:after="120" w:line="360" w:lineRule="auto"/>
        <w:ind w:firstLine="440" w:firstLineChars="200"/>
        <w:textAlignment w:val="auto"/>
        <w:rPr>
          <w:rFonts w:hint="eastAsia" w:ascii="新宋体" w:hAnsi="新宋体" w:eastAsia="新宋体" w:cs="新宋体"/>
          <w:color w:val="auto"/>
          <w:kern w:val="0"/>
          <w:sz w:val="22"/>
          <w:szCs w:val="22"/>
          <w:highlight w:val="none"/>
          <w:u w:val="none"/>
          <w:lang w:val="en-US" w:eastAsia="zh-CN" w:bidi="ar"/>
        </w:rPr>
      </w:pPr>
      <w:r>
        <w:rPr>
          <w:rFonts w:hint="eastAsia" w:ascii="新宋体" w:hAnsi="新宋体" w:eastAsia="新宋体" w:cs="新宋体"/>
          <w:color w:val="auto"/>
          <w:kern w:val="0"/>
          <w:sz w:val="22"/>
          <w:szCs w:val="22"/>
          <w:highlight w:val="none"/>
          <w:u w:val="none"/>
          <w:lang w:val="en-US" w:eastAsia="zh-CN" w:bidi="ar"/>
        </w:rPr>
        <w:t>本次采购内容包括云病案系统、温州市医疗大数据智廉监管平台、市级医院运营管理决策支持平台、</w:t>
      </w:r>
      <w:r>
        <w:rPr>
          <w:rFonts w:hint="eastAsia" w:ascii="新宋体" w:hAnsi="新宋体" w:eastAsia="新宋体" w:cs="新宋体"/>
          <w:color w:val="auto"/>
          <w:kern w:val="0"/>
          <w:sz w:val="22"/>
          <w:szCs w:val="22"/>
          <w:highlight w:val="none"/>
          <w:lang w:bidi="ar"/>
        </w:rPr>
        <w:t>未成年</w:t>
      </w:r>
      <w:r>
        <w:rPr>
          <w:rFonts w:hint="eastAsia" w:ascii="新宋体" w:hAnsi="新宋体" w:eastAsia="新宋体" w:cs="新宋体"/>
          <w:color w:val="auto"/>
          <w:kern w:val="0"/>
          <w:sz w:val="22"/>
          <w:szCs w:val="22"/>
          <w:highlight w:val="none"/>
        </w:rPr>
        <w:t>人侵害监管平台</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u w:val="none"/>
          <w:lang w:val="en-US" w:eastAsia="zh-CN" w:bidi="ar"/>
        </w:rPr>
        <w:t>医疗人口数据治理、</w:t>
      </w:r>
      <w:r>
        <w:rPr>
          <w:rFonts w:hint="eastAsia" w:ascii="新宋体" w:hAnsi="新宋体" w:eastAsia="新宋体" w:cs="新宋体"/>
          <w:color w:val="auto"/>
          <w:kern w:val="0"/>
          <w:sz w:val="22"/>
          <w:szCs w:val="22"/>
          <w:highlight w:val="none"/>
          <w:lang w:val="en-US" w:eastAsia="zh-CN"/>
        </w:rPr>
        <w:t>地址数据治理以及系统集成对接到城市数据空间。</w:t>
      </w:r>
    </w:p>
    <w:p w14:paraId="76F1D7DD">
      <w:pPr>
        <w:pStyle w:val="2"/>
        <w:keepNext w:val="0"/>
        <w:keepLines w:val="0"/>
        <w:pageBreakBefore w:val="0"/>
        <w:widowControl w:val="0"/>
        <w:kinsoku/>
        <w:wordWrap/>
        <w:overflowPunct/>
        <w:topLinePunct w:val="0"/>
        <w:autoSpaceDE/>
        <w:autoSpaceDN/>
        <w:bidi w:val="0"/>
        <w:spacing w:line="360" w:lineRule="auto"/>
        <w:rPr>
          <w:rFonts w:hint="eastAsia" w:ascii="新宋体" w:hAnsi="新宋体" w:eastAsia="新宋体" w:cs="新宋体"/>
          <w:color w:val="auto"/>
          <w:sz w:val="22"/>
          <w:szCs w:val="22"/>
          <w:highlight w:val="none"/>
          <w:u w:val="single"/>
          <w:lang w:val="en-US" w:eastAsia="zh-CN"/>
        </w:rPr>
      </w:pPr>
      <w:r>
        <w:rPr>
          <w:rFonts w:hint="eastAsia" w:ascii="新宋体" w:hAnsi="新宋体" w:eastAsia="新宋体" w:cs="新宋体"/>
          <w:color w:val="auto"/>
          <w:kern w:val="0"/>
          <w:sz w:val="22"/>
          <w:szCs w:val="22"/>
          <w:highlight w:val="none"/>
          <w:u w:val="single"/>
          <w:lang w:val="en-US" w:eastAsia="zh-CN" w:bidi="ar"/>
        </w:rPr>
        <w:t>▲其中云病案系统、温州市医疗大数据智廉监管平台、市级医院运营管理决策支持平台为云HIS服务项目卫健委统一规划部署部分（区域共建系统），并最终服务于采购人的最终用户，包括</w:t>
      </w:r>
      <w:r>
        <w:rPr>
          <w:rFonts w:hint="eastAsia" w:ascii="新宋体" w:hAnsi="新宋体" w:eastAsia="新宋体" w:cs="新宋体"/>
          <w:color w:val="auto"/>
          <w:kern w:val="0"/>
          <w:sz w:val="22"/>
          <w:szCs w:val="22"/>
          <w:highlight w:val="none"/>
          <w:u w:val="single"/>
          <w:lang w:eastAsia="zh-CN" w:bidi="ar"/>
        </w:rPr>
        <w:t>温州市中心</w:t>
      </w:r>
      <w:r>
        <w:rPr>
          <w:rFonts w:hint="eastAsia" w:ascii="新宋体" w:hAnsi="新宋体" w:eastAsia="新宋体" w:cs="新宋体"/>
          <w:color w:val="auto"/>
          <w:kern w:val="0"/>
          <w:sz w:val="22"/>
          <w:szCs w:val="22"/>
          <w:highlight w:val="none"/>
          <w:u w:val="single"/>
          <w:lang w:val="en-US" w:eastAsia="zh-CN" w:bidi="ar"/>
        </w:rPr>
        <w:t>医院、温州市人民医院、温州市中医院、温州市中西医结合医院、温州市第七人民医院。要求免费对接云HIS系统，在对接云HIS系统这边的接口改造费用由中标人承担。</w:t>
      </w:r>
    </w:p>
    <w:p w14:paraId="79513FB0">
      <w:pPr>
        <w:keepNext w:val="0"/>
        <w:keepLines w:val="0"/>
        <w:pageBreakBefore w:val="0"/>
        <w:widowControl w:val="0"/>
        <w:kinsoku/>
        <w:wordWrap/>
        <w:overflowPunct/>
        <w:topLinePunct w:val="0"/>
        <w:autoSpaceDE/>
        <w:autoSpaceDN/>
        <w:bidi w:val="0"/>
        <w:adjustRightInd/>
        <w:snapToGrid w:val="0"/>
        <w:spacing w:line="360" w:lineRule="auto"/>
        <w:ind w:firstLine="440" w:firstLineChars="200"/>
        <w:textAlignment w:val="auto"/>
        <w:rPr>
          <w:rFonts w:hint="eastAsia" w:ascii="新宋体" w:hAnsi="新宋体" w:eastAsia="新宋体" w:cs="新宋体"/>
          <w:color w:val="auto"/>
          <w:kern w:val="0"/>
          <w:sz w:val="22"/>
          <w:szCs w:val="22"/>
          <w:highlight w:val="none"/>
          <w:u w:val="single"/>
          <w:lang w:val="en-US" w:eastAsia="zh-CN" w:bidi="ar"/>
        </w:rPr>
      </w:pPr>
      <w:r>
        <w:rPr>
          <w:rFonts w:hint="eastAsia" w:ascii="新宋体" w:hAnsi="新宋体" w:eastAsia="新宋体" w:cs="新宋体"/>
          <w:color w:val="auto"/>
          <w:kern w:val="0"/>
          <w:sz w:val="22"/>
          <w:szCs w:val="22"/>
          <w:highlight w:val="none"/>
          <w:u w:val="single"/>
          <w:lang w:val="en-US" w:eastAsia="zh-CN" w:bidi="ar"/>
        </w:rPr>
        <w:t>▲在服务提供期内，中标人需免费做好与云HIS系统的接口对接及政府政策指令性任务技术升级改造配合和接口数据提供。本项内容要求投标人实质响应,服务期不低于5年，投标人需理解并确认上述采购内容最终服务客户为甲方服务的医院。基于此，投标人不可撤销的同意如采购人所服务的医院对采购人进行根据医院各业务科室对云HIS服务评价情况、未通过电子病历（智慧医疗）五级评审以及系统功能或服务进行核减从而导致服务费用相应核减的，采购人也将对中标人进行相应部分金额的扣减。</w:t>
      </w:r>
    </w:p>
    <w:p w14:paraId="447437AB">
      <w:pPr>
        <w:keepNext w:val="0"/>
        <w:keepLines w:val="0"/>
        <w:pageBreakBefore w:val="0"/>
        <w:widowControl w:val="0"/>
        <w:kinsoku/>
        <w:wordWrap/>
        <w:overflowPunct/>
        <w:topLinePunct w:val="0"/>
        <w:autoSpaceDE/>
        <w:autoSpaceDN/>
        <w:bidi w:val="0"/>
        <w:adjustRightInd/>
        <w:snapToGrid w:val="0"/>
        <w:spacing w:line="360" w:lineRule="auto"/>
        <w:ind w:firstLine="440" w:firstLineChars="200"/>
        <w:textAlignment w:val="auto"/>
        <w:rPr>
          <w:rFonts w:hint="default" w:ascii="新宋体" w:hAnsi="新宋体" w:eastAsia="新宋体" w:cs="新宋体"/>
          <w:color w:val="auto"/>
          <w:kern w:val="0"/>
          <w:sz w:val="22"/>
          <w:szCs w:val="22"/>
          <w:highlight w:val="none"/>
          <w:u w:val="single"/>
          <w:lang w:val="en-US" w:eastAsia="zh-CN" w:bidi="ar"/>
        </w:rPr>
      </w:pPr>
      <w:r>
        <w:rPr>
          <w:rFonts w:hint="eastAsia" w:ascii="新宋体" w:hAnsi="新宋体" w:eastAsia="新宋体" w:cs="新宋体"/>
          <w:color w:val="auto"/>
          <w:kern w:val="0"/>
          <w:sz w:val="22"/>
          <w:szCs w:val="22"/>
          <w:highlight w:val="none"/>
          <w:u w:val="single"/>
          <w:lang w:val="en-US" w:eastAsia="zh-CN" w:bidi="ar"/>
        </w:rPr>
        <w:t>▲</w:t>
      </w:r>
      <w:r>
        <w:rPr>
          <w:rFonts w:hint="eastAsia" w:ascii="新宋体" w:hAnsi="新宋体" w:eastAsia="新宋体" w:cs="新宋体"/>
          <w:color w:val="auto"/>
          <w:sz w:val="22"/>
          <w:szCs w:val="22"/>
          <w:highlight w:val="none"/>
          <w:u w:val="single"/>
          <w:lang w:eastAsia="zh-CN"/>
        </w:rPr>
        <w:t>医疗专区智慧医疗数据综合流通平台-区域医疗综合管理系统</w:t>
      </w:r>
      <w:r>
        <w:rPr>
          <w:rFonts w:hint="eastAsia" w:ascii="新宋体" w:hAnsi="新宋体" w:eastAsia="新宋体" w:cs="新宋体"/>
          <w:color w:val="auto"/>
          <w:sz w:val="22"/>
          <w:szCs w:val="22"/>
          <w:highlight w:val="none"/>
          <w:u w:val="single"/>
          <w:lang w:val="en-US" w:eastAsia="zh-CN"/>
        </w:rPr>
        <w:t>包括</w:t>
      </w:r>
      <w:r>
        <w:rPr>
          <w:rFonts w:hint="eastAsia" w:ascii="新宋体" w:hAnsi="新宋体" w:eastAsia="新宋体" w:cs="新宋体"/>
          <w:color w:val="auto"/>
          <w:kern w:val="0"/>
          <w:sz w:val="22"/>
          <w:szCs w:val="22"/>
          <w:highlight w:val="none"/>
          <w:u w:val="single"/>
          <w:lang w:bidi="ar"/>
        </w:rPr>
        <w:t>云病案</w:t>
      </w:r>
      <w:r>
        <w:rPr>
          <w:rFonts w:hint="eastAsia" w:ascii="新宋体" w:hAnsi="新宋体" w:eastAsia="新宋体" w:cs="新宋体"/>
          <w:color w:val="auto"/>
          <w:kern w:val="0"/>
          <w:sz w:val="22"/>
          <w:szCs w:val="22"/>
          <w:highlight w:val="none"/>
          <w:u w:val="single"/>
          <w:lang w:val="en-US" w:eastAsia="zh-CN" w:bidi="ar"/>
        </w:rPr>
        <w:t>系统、</w:t>
      </w:r>
      <w:r>
        <w:rPr>
          <w:rFonts w:hint="eastAsia" w:ascii="新宋体" w:hAnsi="新宋体" w:eastAsia="新宋体" w:cs="新宋体"/>
          <w:color w:val="auto"/>
          <w:kern w:val="0"/>
          <w:sz w:val="22"/>
          <w:szCs w:val="22"/>
          <w:highlight w:val="none"/>
          <w:u w:val="single"/>
          <w:lang w:bidi="ar"/>
        </w:rPr>
        <w:t>医疗大数据智廉监管</w:t>
      </w:r>
      <w:r>
        <w:rPr>
          <w:rFonts w:hint="eastAsia" w:ascii="新宋体" w:hAnsi="新宋体" w:eastAsia="新宋体" w:cs="新宋体"/>
          <w:color w:val="auto"/>
          <w:kern w:val="0"/>
          <w:sz w:val="22"/>
          <w:szCs w:val="22"/>
          <w:highlight w:val="none"/>
          <w:u w:val="single"/>
          <w:lang w:val="en-US" w:eastAsia="zh-CN" w:bidi="ar"/>
        </w:rPr>
        <w:t>平台、市级医院运营管理决策支持平台需要通过软件测评（含压力测试），通过三级等保测评，根据采购人所服务的医院工作安排及要求完成信创验证和密评测试工作。以上相关测评经费由中标人提供。未成年人侵害监管平台需适配信创环境。</w:t>
      </w:r>
    </w:p>
    <w:p w14:paraId="240CEDD2">
      <w:pPr>
        <w:keepNext w:val="0"/>
        <w:keepLines w:val="0"/>
        <w:pageBreakBefore w:val="0"/>
        <w:widowControl w:val="0"/>
        <w:kinsoku/>
        <w:wordWrap/>
        <w:overflowPunct/>
        <w:topLinePunct w:val="0"/>
        <w:autoSpaceDE/>
        <w:autoSpaceDN/>
        <w:bidi w:val="0"/>
        <w:adjustRightInd/>
        <w:snapToGrid w:val="0"/>
        <w:spacing w:line="360" w:lineRule="auto"/>
        <w:ind w:firstLine="440" w:firstLineChars="200"/>
        <w:textAlignment w:val="auto"/>
        <w:rPr>
          <w:rFonts w:hint="eastAsia" w:ascii="新宋体" w:hAnsi="新宋体" w:eastAsia="新宋体" w:cs="新宋体"/>
          <w:color w:val="auto"/>
          <w:kern w:val="0"/>
          <w:sz w:val="22"/>
          <w:szCs w:val="22"/>
          <w:highlight w:val="none"/>
          <w:u w:val="single"/>
          <w:lang w:val="en-US" w:eastAsia="zh-CN" w:bidi="ar"/>
        </w:rPr>
      </w:pPr>
      <w:r>
        <w:rPr>
          <w:rFonts w:hint="eastAsia" w:ascii="新宋体" w:hAnsi="新宋体" w:eastAsia="新宋体" w:cs="新宋体"/>
          <w:color w:val="auto"/>
          <w:kern w:val="0"/>
          <w:sz w:val="22"/>
          <w:szCs w:val="22"/>
          <w:highlight w:val="none"/>
          <w:u w:val="single"/>
          <w:lang w:val="en-US" w:eastAsia="zh-CN" w:bidi="ar"/>
        </w:rPr>
        <w:t>▲云病案系统、温州市医疗大数据智廉监管平台、市级医院运营管理决策支持平台报价不得高于550万元。未成年人侵害监管平台、医疗人口数据治理、地址数据治理以及系统集成对接到城市数据空间报价不得高于137万元。</w:t>
      </w:r>
    </w:p>
    <w:p w14:paraId="29908D8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eastAsia="zh-CN"/>
        </w:rPr>
        <w:t>（</w:t>
      </w:r>
      <w:r>
        <w:rPr>
          <w:rFonts w:hint="eastAsia" w:ascii="新宋体" w:hAnsi="新宋体" w:eastAsia="新宋体" w:cs="新宋体"/>
          <w:b/>
          <w:bCs/>
          <w:color w:val="auto"/>
          <w:kern w:val="0"/>
          <w:sz w:val="22"/>
          <w:szCs w:val="22"/>
          <w:highlight w:val="none"/>
          <w:lang w:val="en-US" w:eastAsia="zh-CN"/>
        </w:rPr>
        <w:t>一</w:t>
      </w:r>
      <w:r>
        <w:rPr>
          <w:rFonts w:hint="eastAsia" w:ascii="新宋体" w:hAnsi="新宋体" w:eastAsia="新宋体" w:cs="新宋体"/>
          <w:b/>
          <w:bCs/>
          <w:color w:val="auto"/>
          <w:kern w:val="0"/>
          <w:sz w:val="22"/>
          <w:szCs w:val="22"/>
          <w:highlight w:val="none"/>
          <w:lang w:eastAsia="zh-CN"/>
        </w:rPr>
        <w:t>）</w:t>
      </w:r>
      <w:r>
        <w:rPr>
          <w:rFonts w:hint="eastAsia" w:ascii="新宋体" w:hAnsi="新宋体" w:eastAsia="新宋体" w:cs="新宋体"/>
          <w:b/>
          <w:bCs/>
          <w:color w:val="auto"/>
          <w:kern w:val="0"/>
          <w:sz w:val="22"/>
          <w:szCs w:val="22"/>
          <w:highlight w:val="none"/>
        </w:rPr>
        <w:t>、云病案</w:t>
      </w:r>
      <w:r>
        <w:rPr>
          <w:rFonts w:hint="eastAsia" w:ascii="新宋体" w:hAnsi="新宋体" w:eastAsia="新宋体" w:cs="新宋体"/>
          <w:b/>
          <w:bCs/>
          <w:color w:val="auto"/>
          <w:kern w:val="0"/>
          <w:sz w:val="22"/>
          <w:szCs w:val="22"/>
          <w:highlight w:val="none"/>
          <w:lang w:val="en-US" w:eastAsia="zh-CN"/>
        </w:rPr>
        <w:t>系统</w:t>
      </w:r>
    </w:p>
    <w:p w14:paraId="53304D95">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1.病案首页统计</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4"/>
        <w:gridCol w:w="852"/>
        <w:gridCol w:w="1204"/>
        <w:gridCol w:w="6958"/>
      </w:tblGrid>
      <w:tr w14:paraId="7687A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235" w:type="pct"/>
            <w:noWrap w:val="0"/>
            <w:vAlign w:val="center"/>
          </w:tcPr>
          <w:p w14:paraId="31CFCB76">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序号</w:t>
            </w:r>
          </w:p>
        </w:tc>
        <w:tc>
          <w:tcPr>
            <w:tcW w:w="450" w:type="pct"/>
            <w:noWrap w:val="0"/>
            <w:vAlign w:val="center"/>
          </w:tcPr>
          <w:p w14:paraId="56F3BDED">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b/>
                <w:bCs/>
                <w:color w:val="auto"/>
                <w:kern w:val="0"/>
                <w:sz w:val="22"/>
                <w:szCs w:val="22"/>
                <w:highlight w:val="none"/>
                <w:lang w:val="en-US" w:eastAsia="zh-CN" w:bidi="ar-SA"/>
              </w:rPr>
            </w:pPr>
            <w:r>
              <w:rPr>
                <w:rFonts w:hint="eastAsia" w:ascii="新宋体" w:hAnsi="新宋体" w:eastAsia="新宋体" w:cs="新宋体"/>
                <w:b/>
                <w:bCs/>
                <w:color w:val="auto"/>
                <w:kern w:val="0"/>
                <w:sz w:val="22"/>
                <w:szCs w:val="22"/>
                <w:highlight w:val="none"/>
              </w:rPr>
              <w:t>模块</w:t>
            </w:r>
          </w:p>
        </w:tc>
        <w:tc>
          <w:tcPr>
            <w:tcW w:w="636" w:type="pct"/>
            <w:noWrap w:val="0"/>
            <w:vAlign w:val="center"/>
          </w:tcPr>
          <w:p w14:paraId="765074B5">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功能点</w:t>
            </w:r>
          </w:p>
        </w:tc>
        <w:tc>
          <w:tcPr>
            <w:tcW w:w="3677" w:type="pct"/>
            <w:noWrap w:val="0"/>
            <w:vAlign w:val="center"/>
          </w:tcPr>
          <w:p w14:paraId="376582AD">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功能描述</w:t>
            </w:r>
          </w:p>
        </w:tc>
      </w:tr>
      <w:tr w14:paraId="27B11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35" w:type="pct"/>
            <w:noWrap w:val="0"/>
            <w:vAlign w:val="center"/>
          </w:tcPr>
          <w:p w14:paraId="76F62915">
            <w:pPr>
              <w:keepNext w:val="0"/>
              <w:keepLines w:val="0"/>
              <w:pageBreakBefore w:val="0"/>
              <w:widowControl/>
              <w:kinsoku/>
              <w:wordWrap/>
              <w:overflowPunct/>
              <w:topLinePunct w:val="0"/>
              <w:autoSpaceDE/>
              <w:autoSpaceDN/>
              <w:bidi w:val="0"/>
              <w:adjustRightInd w:val="0"/>
              <w:snapToGrid w:val="0"/>
              <w:spacing w:line="360" w:lineRule="auto"/>
              <w:jc w:val="both"/>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1</w:t>
            </w:r>
          </w:p>
        </w:tc>
        <w:tc>
          <w:tcPr>
            <w:tcW w:w="450" w:type="pct"/>
            <w:vMerge w:val="restart"/>
            <w:noWrap w:val="0"/>
            <w:vAlign w:val="center"/>
          </w:tcPr>
          <w:p w14:paraId="6C59FFD5">
            <w:pPr>
              <w:keepNext w:val="0"/>
              <w:keepLines w:val="0"/>
              <w:pageBreakBefore w:val="0"/>
              <w:widowControl/>
              <w:kinsoku/>
              <w:wordWrap/>
              <w:overflowPunct/>
              <w:topLinePunct w:val="0"/>
              <w:autoSpaceDE/>
              <w:autoSpaceDN/>
              <w:bidi w:val="0"/>
              <w:adjustRightInd w:val="0"/>
              <w:snapToGrid w:val="0"/>
              <w:spacing w:line="360" w:lineRule="auto"/>
              <w:jc w:val="both"/>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rPr>
              <w:t>病案首页登记管理</w:t>
            </w:r>
          </w:p>
        </w:tc>
        <w:tc>
          <w:tcPr>
            <w:tcW w:w="636" w:type="pct"/>
            <w:noWrap w:val="0"/>
            <w:vAlign w:val="center"/>
          </w:tcPr>
          <w:p w14:paraId="7967C4CD">
            <w:pPr>
              <w:keepNext w:val="0"/>
              <w:keepLines w:val="0"/>
              <w:pageBreakBefore w:val="0"/>
              <w:widowControl/>
              <w:kinsoku/>
              <w:wordWrap/>
              <w:overflowPunct/>
              <w:topLinePunct w:val="0"/>
              <w:autoSpaceDE/>
              <w:autoSpaceDN/>
              <w:bidi w:val="0"/>
              <w:adjustRightInd w:val="0"/>
              <w:snapToGrid w:val="0"/>
              <w:spacing w:line="360" w:lineRule="auto"/>
              <w:jc w:val="both"/>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首页登记</w:t>
            </w:r>
          </w:p>
        </w:tc>
        <w:tc>
          <w:tcPr>
            <w:tcW w:w="3677" w:type="pct"/>
            <w:noWrap w:val="0"/>
            <w:vAlign w:val="center"/>
          </w:tcPr>
          <w:p w14:paraId="6369A551">
            <w:pPr>
              <w:keepNext w:val="0"/>
              <w:keepLines w:val="0"/>
              <w:pageBreakBefore w:val="0"/>
              <w:widowControl/>
              <w:numPr>
                <w:ilvl w:val="0"/>
                <w:numId w:val="19"/>
              </w:numPr>
              <w:kinsoku/>
              <w:wordWrap/>
              <w:overflowPunct/>
              <w:topLinePunct w:val="0"/>
              <w:autoSpaceDE/>
              <w:autoSpaceDN/>
              <w:bidi w:val="0"/>
              <w:adjustRightInd w:val="0"/>
              <w:snapToGrid w:val="0"/>
              <w:spacing w:after="160" w:line="360" w:lineRule="auto"/>
              <w:jc w:val="both"/>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能够提供标准的病案首页登记模板，也可以根据医院精细化管理需要，灵活增加所需的登记项目以及附页数据，主要包含：基本信息、出院诊断信息、手术信息、费用信息、其他信息、妇幼信息等。</w:t>
            </w:r>
          </w:p>
          <w:p w14:paraId="6171450D">
            <w:pPr>
              <w:keepNext w:val="0"/>
              <w:keepLines w:val="0"/>
              <w:pageBreakBefore w:val="0"/>
              <w:widowControl/>
              <w:numPr>
                <w:ilvl w:val="0"/>
                <w:numId w:val="19"/>
              </w:numPr>
              <w:kinsoku/>
              <w:wordWrap/>
              <w:overflowPunct/>
              <w:topLinePunct w:val="0"/>
              <w:autoSpaceDE/>
              <w:autoSpaceDN/>
              <w:bidi w:val="0"/>
              <w:adjustRightInd w:val="0"/>
              <w:snapToGrid w:val="0"/>
              <w:spacing w:after="160" w:line="360" w:lineRule="auto"/>
              <w:jc w:val="both"/>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首页登记页面支持常用快捷键操作，同时，快捷键可根据医院实际操作习惯进行配置。</w:t>
            </w:r>
          </w:p>
          <w:p w14:paraId="63A9A214">
            <w:pPr>
              <w:keepNext w:val="0"/>
              <w:keepLines w:val="0"/>
              <w:pageBreakBefore w:val="0"/>
              <w:widowControl/>
              <w:numPr>
                <w:ilvl w:val="0"/>
                <w:numId w:val="19"/>
              </w:numPr>
              <w:kinsoku/>
              <w:wordWrap/>
              <w:overflowPunct/>
              <w:topLinePunct w:val="0"/>
              <w:autoSpaceDE/>
              <w:autoSpaceDN/>
              <w:bidi w:val="0"/>
              <w:adjustRightInd w:val="0"/>
              <w:snapToGrid w:val="0"/>
              <w:spacing w:after="160" w:line="360" w:lineRule="auto"/>
              <w:jc w:val="both"/>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首页登记页保存时，支持对首页数据完整性和一致性和有效性审核，同时可定位至具体错误字段。</w:t>
            </w:r>
          </w:p>
          <w:p w14:paraId="5329A057">
            <w:pPr>
              <w:keepNext w:val="0"/>
              <w:keepLines w:val="0"/>
              <w:pageBreakBefore w:val="0"/>
              <w:widowControl/>
              <w:numPr>
                <w:ilvl w:val="0"/>
                <w:numId w:val="19"/>
              </w:numPr>
              <w:kinsoku/>
              <w:wordWrap/>
              <w:overflowPunct/>
              <w:topLinePunct w:val="0"/>
              <w:autoSpaceDE/>
              <w:autoSpaceDN/>
              <w:bidi w:val="0"/>
              <w:adjustRightInd w:val="0"/>
              <w:snapToGrid w:val="0"/>
              <w:spacing w:after="160" w:line="360" w:lineRule="auto"/>
              <w:jc w:val="both"/>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 xml:space="preserve"> 首页登记诊断和手术支持多套编码，支持查看院内编码、临床编码和医保编码</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b/>
                <w:bCs/>
                <w:color w:val="auto"/>
                <w:sz w:val="22"/>
                <w:szCs w:val="22"/>
                <w:highlight w:val="none"/>
                <w:lang w:val="en-US" w:eastAsia="zh-CN" w:bidi="ar"/>
              </w:rPr>
              <w:t>需</w:t>
            </w:r>
            <w:r>
              <w:rPr>
                <w:rFonts w:hint="default" w:ascii="新宋体" w:hAnsi="新宋体" w:eastAsia="新宋体" w:cs="新宋体"/>
                <w:b/>
                <w:bCs/>
                <w:color w:val="auto"/>
                <w:sz w:val="22"/>
                <w:szCs w:val="22"/>
                <w:highlight w:val="none"/>
                <w:lang w:val="en-US" w:bidi="ar"/>
              </w:rPr>
              <w:t>提供系统功能截图等佐证材料加盖投标供应商公章</w:t>
            </w:r>
            <w:r>
              <w:rPr>
                <w:rFonts w:hint="eastAsia" w:ascii="新宋体" w:hAnsi="新宋体" w:eastAsia="新宋体" w:cs="新宋体"/>
                <w:color w:val="auto"/>
                <w:kern w:val="0"/>
                <w:sz w:val="22"/>
                <w:szCs w:val="22"/>
                <w:highlight w:val="none"/>
                <w:lang w:eastAsia="zh-CN" w:bidi="ar"/>
              </w:rPr>
              <w:t>）。</w:t>
            </w:r>
          </w:p>
          <w:p w14:paraId="24BB8B98">
            <w:pPr>
              <w:keepNext w:val="0"/>
              <w:keepLines w:val="0"/>
              <w:pageBreakBefore w:val="0"/>
              <w:widowControl/>
              <w:numPr>
                <w:ilvl w:val="0"/>
                <w:numId w:val="19"/>
              </w:numPr>
              <w:kinsoku/>
              <w:wordWrap/>
              <w:overflowPunct/>
              <w:topLinePunct w:val="0"/>
              <w:autoSpaceDE/>
              <w:autoSpaceDN/>
              <w:bidi w:val="0"/>
              <w:adjustRightInd w:val="0"/>
              <w:snapToGrid w:val="0"/>
              <w:spacing w:after="160" w:line="360" w:lineRule="auto"/>
              <w:jc w:val="both"/>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 xml:space="preserve"> 首页登记诊断和手术支持勾选医保主要诊断和医保主要手术，同时可勾选其他诊断和其他手术编码是否医保上报</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b/>
                <w:bCs/>
                <w:color w:val="auto"/>
                <w:sz w:val="22"/>
                <w:szCs w:val="22"/>
                <w:highlight w:val="none"/>
                <w:lang w:val="en-US" w:eastAsia="zh-CN" w:bidi="ar"/>
              </w:rPr>
              <w:t>需</w:t>
            </w:r>
            <w:r>
              <w:rPr>
                <w:rFonts w:hint="default" w:ascii="新宋体" w:hAnsi="新宋体" w:eastAsia="新宋体" w:cs="新宋体"/>
                <w:b/>
                <w:bCs/>
                <w:color w:val="auto"/>
                <w:sz w:val="22"/>
                <w:szCs w:val="22"/>
                <w:highlight w:val="none"/>
                <w:lang w:val="en-US" w:bidi="ar"/>
              </w:rPr>
              <w:t>提供系统功能截图等佐证材料加盖投标供应商公章</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sz w:val="22"/>
                <w:szCs w:val="22"/>
                <w:highlight w:val="none"/>
              </w:rPr>
              <w:t>。</w:t>
            </w:r>
          </w:p>
          <w:p w14:paraId="7F075A67">
            <w:pPr>
              <w:keepNext w:val="0"/>
              <w:keepLines w:val="0"/>
              <w:pageBreakBefore w:val="0"/>
              <w:widowControl/>
              <w:numPr>
                <w:ilvl w:val="0"/>
                <w:numId w:val="19"/>
              </w:numPr>
              <w:kinsoku/>
              <w:wordWrap/>
              <w:overflowPunct/>
              <w:topLinePunct w:val="0"/>
              <w:autoSpaceDE/>
              <w:autoSpaceDN/>
              <w:bidi w:val="0"/>
              <w:adjustRightInd w:val="0"/>
              <w:snapToGrid w:val="0"/>
              <w:spacing w:after="160" w:line="360" w:lineRule="auto"/>
              <w:jc w:val="both"/>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 xml:space="preserve"> 首页手术信息支持显示每条手术是否为国考三级手术、国考四级手术、国考微创手术以及医保禁用编码</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b/>
                <w:bCs/>
                <w:color w:val="auto"/>
                <w:sz w:val="22"/>
                <w:szCs w:val="22"/>
                <w:highlight w:val="none"/>
                <w:lang w:val="en-US" w:eastAsia="zh-CN" w:bidi="ar"/>
              </w:rPr>
              <w:t>需</w:t>
            </w:r>
            <w:r>
              <w:rPr>
                <w:rFonts w:hint="default" w:ascii="新宋体" w:hAnsi="新宋体" w:eastAsia="新宋体" w:cs="新宋体"/>
                <w:b/>
                <w:bCs/>
                <w:color w:val="auto"/>
                <w:sz w:val="22"/>
                <w:szCs w:val="22"/>
                <w:highlight w:val="none"/>
                <w:lang w:val="en-US" w:bidi="ar"/>
              </w:rPr>
              <w:t>提供系统功能截图等佐证材料加盖投标供应商公章</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sz w:val="22"/>
                <w:szCs w:val="22"/>
                <w:highlight w:val="none"/>
              </w:rPr>
              <w:t>。</w:t>
            </w:r>
          </w:p>
          <w:p w14:paraId="013C6127">
            <w:pPr>
              <w:keepNext w:val="0"/>
              <w:keepLines w:val="0"/>
              <w:pageBreakBefore w:val="0"/>
              <w:widowControl/>
              <w:numPr>
                <w:ilvl w:val="0"/>
                <w:numId w:val="19"/>
              </w:numPr>
              <w:kinsoku/>
              <w:wordWrap/>
              <w:overflowPunct/>
              <w:topLinePunct w:val="0"/>
              <w:autoSpaceDE/>
              <w:autoSpaceDN/>
              <w:bidi w:val="0"/>
              <w:adjustRightInd w:val="0"/>
              <w:snapToGrid w:val="0"/>
              <w:spacing w:after="160" w:line="360" w:lineRule="auto"/>
              <w:jc w:val="both"/>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 xml:space="preserve"> 支持编码员与科室绑定，编码员只查询录入绑定科室病案</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b/>
                <w:bCs/>
                <w:color w:val="auto"/>
                <w:sz w:val="22"/>
                <w:szCs w:val="22"/>
                <w:highlight w:val="none"/>
                <w:lang w:val="en-US" w:eastAsia="zh-CN" w:bidi="ar"/>
              </w:rPr>
              <w:t>需</w:t>
            </w:r>
            <w:r>
              <w:rPr>
                <w:rFonts w:hint="default" w:ascii="新宋体" w:hAnsi="新宋体" w:eastAsia="新宋体" w:cs="新宋体"/>
                <w:b/>
                <w:bCs/>
                <w:color w:val="auto"/>
                <w:sz w:val="22"/>
                <w:szCs w:val="22"/>
                <w:highlight w:val="none"/>
                <w:lang w:val="en-US" w:bidi="ar"/>
              </w:rPr>
              <w:t>提供系统功能截图等佐证材料加盖投标供应商公章</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sz w:val="22"/>
                <w:szCs w:val="22"/>
                <w:highlight w:val="none"/>
              </w:rPr>
              <w:t>。</w:t>
            </w:r>
          </w:p>
          <w:p w14:paraId="1D474284">
            <w:pPr>
              <w:keepNext w:val="0"/>
              <w:keepLines w:val="0"/>
              <w:pageBreakBefore w:val="0"/>
              <w:widowControl/>
              <w:numPr>
                <w:ilvl w:val="0"/>
                <w:numId w:val="19"/>
              </w:numPr>
              <w:kinsoku/>
              <w:wordWrap/>
              <w:overflowPunct/>
              <w:topLinePunct w:val="0"/>
              <w:autoSpaceDE/>
              <w:autoSpaceDN/>
              <w:bidi w:val="0"/>
              <w:adjustRightInd w:val="0"/>
              <w:snapToGrid w:val="0"/>
              <w:spacing w:after="160" w:line="360" w:lineRule="auto"/>
              <w:jc w:val="both"/>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首页登记查看首页审核结果，同时可定位至具体问题。</w:t>
            </w:r>
          </w:p>
        </w:tc>
      </w:tr>
      <w:tr w14:paraId="30C8C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35" w:type="pct"/>
            <w:noWrap w:val="0"/>
            <w:vAlign w:val="center"/>
          </w:tcPr>
          <w:p w14:paraId="64267843">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2</w:t>
            </w:r>
          </w:p>
        </w:tc>
        <w:tc>
          <w:tcPr>
            <w:tcW w:w="450" w:type="pct"/>
            <w:vMerge w:val="continue"/>
            <w:noWrap w:val="0"/>
            <w:vAlign w:val="center"/>
          </w:tcPr>
          <w:p w14:paraId="08033780">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p>
        </w:tc>
        <w:tc>
          <w:tcPr>
            <w:tcW w:w="636" w:type="pct"/>
            <w:noWrap w:val="0"/>
            <w:vAlign w:val="center"/>
          </w:tcPr>
          <w:p w14:paraId="58BF83E1">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首页数据查询</w:t>
            </w:r>
          </w:p>
        </w:tc>
        <w:tc>
          <w:tcPr>
            <w:tcW w:w="3677" w:type="pct"/>
            <w:noWrap w:val="0"/>
            <w:vAlign w:val="center"/>
          </w:tcPr>
          <w:p w14:paraId="419ECE13">
            <w:pPr>
              <w:keepNext w:val="0"/>
              <w:keepLines w:val="0"/>
              <w:pageBreakBefore w:val="0"/>
              <w:widowControl/>
              <w:numPr>
                <w:ilvl w:val="0"/>
                <w:numId w:val="20"/>
              </w:numPr>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支持按照出院时间、录入时间、科室、编码员等条件查询具体病案明细。</w:t>
            </w:r>
          </w:p>
          <w:p w14:paraId="7F22BB8C">
            <w:pPr>
              <w:keepNext w:val="0"/>
              <w:keepLines w:val="0"/>
              <w:pageBreakBefore w:val="0"/>
              <w:widowControl/>
              <w:numPr>
                <w:ilvl w:val="0"/>
                <w:numId w:val="20"/>
              </w:numPr>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支持按总数量、审核错误数量、未登记数量、未锁定数量查看病案明细。</w:t>
            </w:r>
          </w:p>
          <w:p w14:paraId="04E1C930">
            <w:pPr>
              <w:keepNext w:val="0"/>
              <w:keepLines w:val="0"/>
              <w:pageBreakBefore w:val="0"/>
              <w:widowControl/>
              <w:numPr>
                <w:ilvl w:val="0"/>
                <w:numId w:val="20"/>
              </w:numPr>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审核错误病案和未登记病案支持直接跳转至登记页面进行编码录入。</w:t>
            </w:r>
          </w:p>
        </w:tc>
      </w:tr>
      <w:tr w14:paraId="4B872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35" w:type="pct"/>
            <w:noWrap w:val="0"/>
            <w:vAlign w:val="center"/>
          </w:tcPr>
          <w:p w14:paraId="32807C65">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3</w:t>
            </w:r>
          </w:p>
        </w:tc>
        <w:tc>
          <w:tcPr>
            <w:tcW w:w="450" w:type="pct"/>
            <w:vMerge w:val="continue"/>
            <w:noWrap w:val="0"/>
            <w:vAlign w:val="center"/>
          </w:tcPr>
          <w:p w14:paraId="05CC2DC4">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p>
        </w:tc>
        <w:tc>
          <w:tcPr>
            <w:tcW w:w="636" w:type="pct"/>
            <w:noWrap w:val="0"/>
            <w:vAlign w:val="center"/>
          </w:tcPr>
          <w:p w14:paraId="02B85AB5">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首页数据管理</w:t>
            </w:r>
          </w:p>
        </w:tc>
        <w:tc>
          <w:tcPr>
            <w:tcW w:w="3677" w:type="pct"/>
            <w:noWrap w:val="0"/>
            <w:vAlign w:val="center"/>
          </w:tcPr>
          <w:p w14:paraId="6E14D051">
            <w:pPr>
              <w:keepNext w:val="0"/>
              <w:keepLines w:val="0"/>
              <w:pageBreakBefore w:val="0"/>
              <w:widowControl/>
              <w:numPr>
                <w:ilvl w:val="0"/>
                <w:numId w:val="21"/>
              </w:numPr>
              <w:tabs>
                <w:tab w:val="left" w:pos="312"/>
                <w:tab w:val="clear" w:pos="317"/>
              </w:tabs>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病案室管理人员支持对查询病案明细进行批量审核、锁定、作废和解锁操作。</w:t>
            </w:r>
          </w:p>
          <w:p w14:paraId="0880EBCC">
            <w:pPr>
              <w:keepNext w:val="0"/>
              <w:keepLines w:val="0"/>
              <w:pageBreakBefore w:val="0"/>
              <w:widowControl/>
              <w:numPr>
                <w:ilvl w:val="0"/>
                <w:numId w:val="21"/>
              </w:numPr>
              <w:tabs>
                <w:tab w:val="left" w:pos="312"/>
                <w:tab w:val="clear" w:pos="317"/>
              </w:tabs>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支持按照出院时间、录入时间、科室、编码员等条件查询具体病案明细。</w:t>
            </w:r>
          </w:p>
          <w:p w14:paraId="0DBEF91A">
            <w:pPr>
              <w:keepNext w:val="0"/>
              <w:keepLines w:val="0"/>
              <w:pageBreakBefore w:val="0"/>
              <w:widowControl/>
              <w:numPr>
                <w:ilvl w:val="0"/>
                <w:numId w:val="21"/>
              </w:numPr>
              <w:tabs>
                <w:tab w:val="left" w:pos="312"/>
                <w:tab w:val="clear" w:pos="317"/>
              </w:tabs>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支持按总数量、审核错误数量、未登记数量、未锁定数量查看病案明细。</w:t>
            </w:r>
          </w:p>
          <w:p w14:paraId="0D4D53E0">
            <w:pPr>
              <w:keepNext w:val="0"/>
              <w:keepLines w:val="0"/>
              <w:pageBreakBefore w:val="0"/>
              <w:widowControl/>
              <w:numPr>
                <w:ilvl w:val="0"/>
                <w:numId w:val="21"/>
              </w:numPr>
              <w:tabs>
                <w:tab w:val="left" w:pos="312"/>
                <w:tab w:val="clear" w:pos="317"/>
              </w:tabs>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审核错误病案和未登记病案支持直接跳转至登记页面进行编码录入。</w:t>
            </w:r>
          </w:p>
          <w:p w14:paraId="66BD91DD">
            <w:pPr>
              <w:keepNext w:val="0"/>
              <w:keepLines w:val="0"/>
              <w:pageBreakBefore w:val="0"/>
              <w:widowControl/>
              <w:numPr>
                <w:ilvl w:val="0"/>
                <w:numId w:val="21"/>
              </w:numPr>
              <w:tabs>
                <w:tab w:val="left" w:pos="312"/>
                <w:tab w:val="clear" w:pos="317"/>
              </w:tabs>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支持按科室维度查看各科室病案数量、未登记数量、已登记数量、审核错误数量、未锁定数量和锁定状态。</w:t>
            </w:r>
          </w:p>
        </w:tc>
      </w:tr>
      <w:tr w14:paraId="740E0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35" w:type="pct"/>
            <w:noWrap w:val="0"/>
            <w:vAlign w:val="center"/>
          </w:tcPr>
          <w:p w14:paraId="1C506861">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4</w:t>
            </w:r>
          </w:p>
        </w:tc>
        <w:tc>
          <w:tcPr>
            <w:tcW w:w="450" w:type="pct"/>
            <w:vMerge w:val="continue"/>
            <w:noWrap w:val="0"/>
            <w:vAlign w:val="center"/>
          </w:tcPr>
          <w:p w14:paraId="672F1091">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p>
        </w:tc>
        <w:tc>
          <w:tcPr>
            <w:tcW w:w="636" w:type="pct"/>
            <w:noWrap w:val="0"/>
            <w:vAlign w:val="center"/>
          </w:tcPr>
          <w:p w14:paraId="75A0D957">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院内报表</w:t>
            </w:r>
          </w:p>
        </w:tc>
        <w:tc>
          <w:tcPr>
            <w:tcW w:w="3677" w:type="pct"/>
            <w:noWrap w:val="0"/>
            <w:vAlign w:val="center"/>
          </w:tcPr>
          <w:p w14:paraId="3ECED4E0">
            <w:pPr>
              <w:keepNext w:val="0"/>
              <w:keepLines w:val="0"/>
              <w:pageBreakBefore w:val="0"/>
              <w:widowControl/>
              <w:numPr>
                <w:ilvl w:val="0"/>
                <w:numId w:val="22"/>
              </w:numPr>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支持根据病案首页的数据进行院内报表统计。</w:t>
            </w:r>
          </w:p>
          <w:p w14:paraId="112E4D72">
            <w:pPr>
              <w:keepNext w:val="0"/>
              <w:keepLines w:val="0"/>
              <w:pageBreakBefore w:val="0"/>
              <w:widowControl/>
              <w:numPr>
                <w:ilvl w:val="0"/>
                <w:numId w:val="22"/>
              </w:numPr>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可以根据医院报表格式设置的信息打印医院需要的院内报表数据。</w:t>
            </w:r>
          </w:p>
          <w:p w14:paraId="598E24A9">
            <w:pPr>
              <w:keepNext w:val="0"/>
              <w:keepLines w:val="0"/>
              <w:pageBreakBefore w:val="0"/>
              <w:widowControl/>
              <w:numPr>
                <w:ilvl w:val="0"/>
                <w:numId w:val="22"/>
              </w:numPr>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所有报表支持导出。</w:t>
            </w:r>
          </w:p>
        </w:tc>
      </w:tr>
    </w:tbl>
    <w:p w14:paraId="4A544354">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2.国家公立医院绩效考核病案首页数据上报</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8"/>
        <w:gridCol w:w="874"/>
        <w:gridCol w:w="1268"/>
        <w:gridCol w:w="6868"/>
      </w:tblGrid>
      <w:tr w14:paraId="2F7A7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37" w:type="pct"/>
            <w:noWrap w:val="0"/>
            <w:vAlign w:val="center"/>
          </w:tcPr>
          <w:p w14:paraId="1FC35687">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序号</w:t>
            </w:r>
          </w:p>
        </w:tc>
        <w:tc>
          <w:tcPr>
            <w:tcW w:w="462" w:type="pct"/>
            <w:noWrap w:val="0"/>
            <w:vAlign w:val="center"/>
          </w:tcPr>
          <w:p w14:paraId="0539037D">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b/>
                <w:bCs/>
                <w:color w:val="auto"/>
                <w:kern w:val="0"/>
                <w:sz w:val="22"/>
                <w:szCs w:val="22"/>
                <w:highlight w:val="none"/>
              </w:rPr>
              <w:t>模块</w:t>
            </w:r>
          </w:p>
        </w:tc>
        <w:tc>
          <w:tcPr>
            <w:tcW w:w="670" w:type="pct"/>
            <w:noWrap w:val="0"/>
            <w:vAlign w:val="center"/>
          </w:tcPr>
          <w:p w14:paraId="77A2051D">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b/>
                <w:bCs/>
                <w:color w:val="auto"/>
                <w:kern w:val="0"/>
                <w:sz w:val="22"/>
                <w:szCs w:val="22"/>
                <w:highlight w:val="none"/>
              </w:rPr>
              <w:t>功能点</w:t>
            </w:r>
          </w:p>
        </w:tc>
        <w:tc>
          <w:tcPr>
            <w:tcW w:w="3629" w:type="pct"/>
            <w:noWrap w:val="0"/>
            <w:vAlign w:val="center"/>
          </w:tcPr>
          <w:p w14:paraId="0C458D48">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kern w:val="0"/>
                <w:sz w:val="22"/>
                <w:szCs w:val="22"/>
                <w:highlight w:val="none"/>
              </w:rPr>
              <w:t>功能描述</w:t>
            </w:r>
          </w:p>
        </w:tc>
      </w:tr>
      <w:tr w14:paraId="1F4AD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37" w:type="pct"/>
            <w:noWrap w:val="0"/>
            <w:vAlign w:val="center"/>
          </w:tcPr>
          <w:p w14:paraId="7435B5F5">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1</w:t>
            </w:r>
          </w:p>
        </w:tc>
        <w:tc>
          <w:tcPr>
            <w:tcW w:w="462" w:type="pct"/>
            <w:vMerge w:val="restart"/>
            <w:noWrap w:val="0"/>
            <w:vAlign w:val="center"/>
          </w:tcPr>
          <w:p w14:paraId="42182B0D">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rPr>
              <w:t>国考上报</w:t>
            </w:r>
          </w:p>
        </w:tc>
        <w:tc>
          <w:tcPr>
            <w:tcW w:w="670" w:type="pct"/>
            <w:noWrap w:val="0"/>
            <w:vAlign w:val="center"/>
          </w:tcPr>
          <w:p w14:paraId="1EF873E4">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代码维护</w:t>
            </w:r>
          </w:p>
        </w:tc>
        <w:tc>
          <w:tcPr>
            <w:tcW w:w="3629" w:type="pct"/>
            <w:noWrap w:val="0"/>
            <w:vAlign w:val="center"/>
          </w:tcPr>
          <w:p w14:paraId="309C6E51">
            <w:pPr>
              <w:keepNext w:val="0"/>
              <w:keepLines w:val="0"/>
              <w:pageBreakBefore w:val="0"/>
              <w:widowControl/>
              <w:numPr>
                <w:ilvl w:val="0"/>
                <w:numId w:val="23"/>
              </w:numPr>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系统支持公立医院绩效考核首页数据采集标准数据字典维护，包括诊断、手术、科室等所有数据字典的维护。</w:t>
            </w:r>
          </w:p>
          <w:p w14:paraId="16A4FAAB">
            <w:pPr>
              <w:keepNext w:val="0"/>
              <w:keepLines w:val="0"/>
              <w:pageBreakBefore w:val="0"/>
              <w:widowControl/>
              <w:numPr>
                <w:ilvl w:val="0"/>
                <w:numId w:val="23"/>
              </w:numPr>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系统支持院内代码和标准数据字典对照，根据公立医院绩效考核首页数据采集接口标准，提供院内数据编码和上报编码间的对照功能，通过编码对照实现院内编码的标准代码转换，以便保证上报的数据达标。</w:t>
            </w:r>
          </w:p>
        </w:tc>
      </w:tr>
      <w:tr w14:paraId="6EF36199">
        <w:tblPrEx>
          <w:tblCellMar>
            <w:top w:w="0" w:type="dxa"/>
            <w:left w:w="108" w:type="dxa"/>
            <w:bottom w:w="0" w:type="dxa"/>
            <w:right w:w="108" w:type="dxa"/>
          </w:tblCellMar>
        </w:tblPrEx>
        <w:trPr>
          <w:trHeight w:val="20" w:hRule="atLeast"/>
        </w:trPr>
        <w:tc>
          <w:tcPr>
            <w:tcW w:w="237" w:type="pct"/>
            <w:noWrap w:val="0"/>
            <w:vAlign w:val="center"/>
          </w:tcPr>
          <w:p w14:paraId="7A477C26">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2</w:t>
            </w:r>
          </w:p>
        </w:tc>
        <w:tc>
          <w:tcPr>
            <w:tcW w:w="462" w:type="pct"/>
            <w:vMerge w:val="continue"/>
            <w:noWrap w:val="0"/>
            <w:vAlign w:val="center"/>
          </w:tcPr>
          <w:p w14:paraId="1F911096">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p>
        </w:tc>
        <w:tc>
          <w:tcPr>
            <w:tcW w:w="670" w:type="pct"/>
            <w:noWrap w:val="0"/>
            <w:vAlign w:val="center"/>
          </w:tcPr>
          <w:p w14:paraId="3BCFC8AF">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数据上报上报</w:t>
            </w:r>
          </w:p>
        </w:tc>
        <w:tc>
          <w:tcPr>
            <w:tcW w:w="3629" w:type="pct"/>
            <w:noWrap w:val="0"/>
            <w:vAlign w:val="center"/>
          </w:tcPr>
          <w:p w14:paraId="20661DE2">
            <w:pPr>
              <w:keepNext w:val="0"/>
              <w:keepLines w:val="0"/>
              <w:pageBreakBefore w:val="0"/>
              <w:widowControl/>
              <w:numPr>
                <w:ilvl w:val="0"/>
                <w:numId w:val="24"/>
              </w:numPr>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系统支持公立医院绩效考核首页数据上报审核规则维护，可根据公立医院绩效考核首页数据采集接口标准，定义数据校验的规则，通过对数据的规则审核可有效保证上报数据的完整性、一致性和合理性。</w:t>
            </w:r>
          </w:p>
          <w:p w14:paraId="1F3973FF">
            <w:pPr>
              <w:keepNext w:val="0"/>
              <w:keepLines w:val="0"/>
              <w:pageBreakBefore w:val="0"/>
              <w:widowControl/>
              <w:numPr>
                <w:ilvl w:val="0"/>
                <w:numId w:val="24"/>
              </w:numPr>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系统提供上报绩效数据生成功能，通过审核的数据可按上报数据格式要求的CSV格式进行文件导出。</w:t>
            </w:r>
          </w:p>
        </w:tc>
      </w:tr>
    </w:tbl>
    <w:p w14:paraId="67E55ED4">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3.国家卫生统计网络首页数据上报</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2"/>
        <w:gridCol w:w="825"/>
        <w:gridCol w:w="1296"/>
        <w:gridCol w:w="6875"/>
      </w:tblGrid>
      <w:tr w14:paraId="1EE9B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blHeader/>
        </w:trPr>
        <w:tc>
          <w:tcPr>
            <w:tcW w:w="244" w:type="pct"/>
            <w:noWrap w:val="0"/>
            <w:vAlign w:val="center"/>
          </w:tcPr>
          <w:p w14:paraId="15372A32">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序号</w:t>
            </w:r>
          </w:p>
        </w:tc>
        <w:tc>
          <w:tcPr>
            <w:tcW w:w="436" w:type="pct"/>
            <w:noWrap w:val="0"/>
            <w:vAlign w:val="center"/>
          </w:tcPr>
          <w:p w14:paraId="4DB7DAF7">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b/>
                <w:bCs/>
                <w:color w:val="auto"/>
                <w:kern w:val="0"/>
                <w:sz w:val="22"/>
                <w:szCs w:val="22"/>
                <w:highlight w:val="none"/>
                <w:lang w:val="en-US" w:eastAsia="zh-CN" w:bidi="ar-SA"/>
              </w:rPr>
            </w:pPr>
            <w:r>
              <w:rPr>
                <w:rFonts w:hint="eastAsia" w:ascii="新宋体" w:hAnsi="新宋体" w:eastAsia="新宋体" w:cs="新宋体"/>
                <w:b/>
                <w:bCs/>
                <w:color w:val="auto"/>
                <w:kern w:val="0"/>
                <w:sz w:val="22"/>
                <w:szCs w:val="22"/>
                <w:highlight w:val="none"/>
              </w:rPr>
              <w:t>模块</w:t>
            </w:r>
          </w:p>
        </w:tc>
        <w:tc>
          <w:tcPr>
            <w:tcW w:w="685" w:type="pct"/>
            <w:noWrap w:val="0"/>
            <w:vAlign w:val="center"/>
          </w:tcPr>
          <w:p w14:paraId="482F6F55">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b/>
                <w:bCs/>
                <w:color w:val="auto"/>
                <w:kern w:val="0"/>
                <w:sz w:val="22"/>
                <w:szCs w:val="22"/>
                <w:highlight w:val="none"/>
              </w:rPr>
              <w:t>功能点</w:t>
            </w:r>
          </w:p>
        </w:tc>
        <w:tc>
          <w:tcPr>
            <w:tcW w:w="3633" w:type="pct"/>
            <w:noWrap w:val="0"/>
            <w:vAlign w:val="center"/>
          </w:tcPr>
          <w:p w14:paraId="28E45ABE">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kern w:val="0"/>
                <w:sz w:val="22"/>
                <w:szCs w:val="22"/>
                <w:highlight w:val="none"/>
              </w:rPr>
              <w:t>功能描述</w:t>
            </w:r>
          </w:p>
        </w:tc>
      </w:tr>
      <w:tr w14:paraId="2CA78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4" w:type="pct"/>
            <w:noWrap w:val="0"/>
            <w:vAlign w:val="center"/>
          </w:tcPr>
          <w:p w14:paraId="056B42F0">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1</w:t>
            </w:r>
          </w:p>
        </w:tc>
        <w:tc>
          <w:tcPr>
            <w:tcW w:w="436" w:type="pct"/>
            <w:vMerge w:val="restart"/>
            <w:noWrap w:val="0"/>
            <w:vAlign w:val="center"/>
          </w:tcPr>
          <w:p w14:paraId="2E6A3507">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rPr>
              <w:t>卫统4上报</w:t>
            </w:r>
          </w:p>
        </w:tc>
        <w:tc>
          <w:tcPr>
            <w:tcW w:w="685" w:type="pct"/>
            <w:noWrap w:val="0"/>
            <w:vAlign w:val="center"/>
          </w:tcPr>
          <w:p w14:paraId="716EE9DE">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代码维护</w:t>
            </w:r>
          </w:p>
        </w:tc>
        <w:tc>
          <w:tcPr>
            <w:tcW w:w="3633" w:type="pct"/>
            <w:noWrap w:val="0"/>
            <w:vAlign w:val="center"/>
          </w:tcPr>
          <w:p w14:paraId="0D82A65A">
            <w:pPr>
              <w:keepNext w:val="0"/>
              <w:keepLines w:val="0"/>
              <w:pageBreakBefore w:val="0"/>
              <w:widowControl/>
              <w:numPr>
                <w:ilvl w:val="0"/>
                <w:numId w:val="25"/>
              </w:numPr>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系统支持卫统4报表导出上报功能，能够兼容各地最新版上报的格式需求。</w:t>
            </w:r>
          </w:p>
          <w:p w14:paraId="6D2F9372">
            <w:pPr>
              <w:keepNext w:val="0"/>
              <w:keepLines w:val="0"/>
              <w:pageBreakBefore w:val="0"/>
              <w:widowControl/>
              <w:numPr>
                <w:ilvl w:val="0"/>
                <w:numId w:val="25"/>
              </w:numPr>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系统支持卫统4标准数据字典维护，包括诊断、手术、科室等所有数据字典的维护。</w:t>
            </w:r>
          </w:p>
        </w:tc>
      </w:tr>
      <w:tr w14:paraId="37EBD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4" w:type="pct"/>
            <w:noWrap w:val="0"/>
            <w:vAlign w:val="center"/>
          </w:tcPr>
          <w:p w14:paraId="34E138E0">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2</w:t>
            </w:r>
          </w:p>
        </w:tc>
        <w:tc>
          <w:tcPr>
            <w:tcW w:w="436" w:type="pct"/>
            <w:vMerge w:val="continue"/>
            <w:noWrap w:val="0"/>
            <w:vAlign w:val="center"/>
          </w:tcPr>
          <w:p w14:paraId="3E8BC4DE">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p>
        </w:tc>
        <w:tc>
          <w:tcPr>
            <w:tcW w:w="685" w:type="pct"/>
            <w:noWrap w:val="0"/>
            <w:vAlign w:val="center"/>
          </w:tcPr>
          <w:p w14:paraId="110A62AF">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数据上报</w:t>
            </w:r>
          </w:p>
        </w:tc>
        <w:tc>
          <w:tcPr>
            <w:tcW w:w="3633" w:type="pct"/>
            <w:noWrap w:val="0"/>
            <w:vAlign w:val="center"/>
          </w:tcPr>
          <w:p w14:paraId="5BB8E547">
            <w:pPr>
              <w:keepNext w:val="0"/>
              <w:keepLines w:val="0"/>
              <w:pageBreakBefore w:val="0"/>
              <w:widowControl/>
              <w:numPr>
                <w:ilvl w:val="0"/>
                <w:numId w:val="26"/>
              </w:numPr>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系统支持卫统4上报数据代码自动转换功能，能根据数据字典对照关系实现上报绩效数据中的院内代码和标准字典代码的自动转换，能自动生成未提供字典对照的院内代码维护功能，为代码对照的快速维护提供高效率维护功能。</w:t>
            </w:r>
          </w:p>
          <w:p w14:paraId="19FCE96F">
            <w:pPr>
              <w:keepNext w:val="0"/>
              <w:keepLines w:val="0"/>
              <w:pageBreakBefore w:val="0"/>
              <w:widowControl/>
              <w:numPr>
                <w:ilvl w:val="0"/>
                <w:numId w:val="26"/>
              </w:numPr>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系统要求可根据各地卫统4数据标准进行数据审核，支持查看具体审核错误得信息，修正后的数据可进行导出上报。</w:t>
            </w:r>
          </w:p>
        </w:tc>
      </w:tr>
    </w:tbl>
    <w:p w14:paraId="56AA113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4.浙江省DRGs绩效平台病案首页数据上报</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
        <w:gridCol w:w="853"/>
        <w:gridCol w:w="1285"/>
        <w:gridCol w:w="6875"/>
      </w:tblGrid>
      <w:tr w14:paraId="4744F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235" w:type="pct"/>
            <w:noWrap w:val="0"/>
            <w:vAlign w:val="center"/>
          </w:tcPr>
          <w:p w14:paraId="20BADA1A">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序号</w:t>
            </w:r>
          </w:p>
        </w:tc>
        <w:tc>
          <w:tcPr>
            <w:tcW w:w="451" w:type="pct"/>
            <w:noWrap w:val="0"/>
            <w:vAlign w:val="center"/>
          </w:tcPr>
          <w:p w14:paraId="4E3AE510">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b/>
                <w:bCs/>
                <w:color w:val="auto"/>
                <w:kern w:val="0"/>
                <w:sz w:val="22"/>
                <w:szCs w:val="22"/>
                <w:highlight w:val="none"/>
                <w:lang w:val="en-US" w:eastAsia="zh-CN" w:bidi="ar-SA"/>
              </w:rPr>
            </w:pPr>
            <w:r>
              <w:rPr>
                <w:rFonts w:hint="eastAsia" w:ascii="新宋体" w:hAnsi="新宋体" w:eastAsia="新宋体" w:cs="新宋体"/>
                <w:b/>
                <w:bCs/>
                <w:color w:val="auto"/>
                <w:kern w:val="0"/>
                <w:sz w:val="22"/>
                <w:szCs w:val="22"/>
                <w:highlight w:val="none"/>
              </w:rPr>
              <w:t>模块</w:t>
            </w:r>
          </w:p>
        </w:tc>
        <w:tc>
          <w:tcPr>
            <w:tcW w:w="679" w:type="pct"/>
            <w:noWrap w:val="0"/>
            <w:vAlign w:val="center"/>
          </w:tcPr>
          <w:p w14:paraId="70E9CFBC">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b/>
                <w:bCs/>
                <w:color w:val="auto"/>
                <w:kern w:val="0"/>
                <w:sz w:val="22"/>
                <w:szCs w:val="22"/>
                <w:highlight w:val="none"/>
              </w:rPr>
              <w:t>功能点</w:t>
            </w:r>
          </w:p>
        </w:tc>
        <w:tc>
          <w:tcPr>
            <w:tcW w:w="3633" w:type="pct"/>
            <w:noWrap w:val="0"/>
            <w:vAlign w:val="center"/>
          </w:tcPr>
          <w:p w14:paraId="3BFF6527">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kern w:val="0"/>
                <w:sz w:val="22"/>
                <w:szCs w:val="22"/>
                <w:highlight w:val="none"/>
              </w:rPr>
              <w:t>功能描述</w:t>
            </w:r>
          </w:p>
        </w:tc>
      </w:tr>
      <w:tr w14:paraId="2CDA2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35" w:type="pct"/>
            <w:vMerge w:val="restart"/>
            <w:noWrap w:val="0"/>
            <w:vAlign w:val="center"/>
          </w:tcPr>
          <w:p w14:paraId="4DE4401A">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1</w:t>
            </w:r>
          </w:p>
        </w:tc>
        <w:tc>
          <w:tcPr>
            <w:tcW w:w="451" w:type="pct"/>
            <w:vMerge w:val="restart"/>
            <w:noWrap w:val="0"/>
            <w:vAlign w:val="center"/>
          </w:tcPr>
          <w:p w14:paraId="7460F324">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lang w:val="en-US" w:eastAsia="zh-CN" w:bidi="ar-SA"/>
              </w:rPr>
            </w:pPr>
            <w:r>
              <w:rPr>
                <w:rFonts w:hint="eastAsia" w:ascii="新宋体" w:hAnsi="新宋体" w:eastAsia="新宋体" w:cs="新宋体"/>
                <w:color w:val="auto"/>
                <w:kern w:val="0"/>
                <w:sz w:val="22"/>
                <w:szCs w:val="22"/>
                <w:highlight w:val="none"/>
              </w:rPr>
              <w:t>省绩效DRG上报</w:t>
            </w:r>
          </w:p>
        </w:tc>
        <w:tc>
          <w:tcPr>
            <w:tcW w:w="679" w:type="pct"/>
            <w:noWrap w:val="0"/>
            <w:vAlign w:val="center"/>
          </w:tcPr>
          <w:p w14:paraId="1B632763">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代码对照</w:t>
            </w:r>
          </w:p>
        </w:tc>
        <w:tc>
          <w:tcPr>
            <w:tcW w:w="3633" w:type="pct"/>
            <w:noWrap w:val="0"/>
            <w:vAlign w:val="center"/>
          </w:tcPr>
          <w:p w14:paraId="3C8D1092">
            <w:pPr>
              <w:keepNext w:val="0"/>
              <w:keepLines w:val="0"/>
              <w:pageBreakBefore w:val="0"/>
              <w:numPr>
                <w:ilvl w:val="0"/>
                <w:numId w:val="27"/>
              </w:numPr>
              <w:kinsoku/>
              <w:wordWrap/>
              <w:overflowPunct/>
              <w:topLinePunct w:val="0"/>
              <w:autoSpaceDE/>
              <w:autoSpaceDN/>
              <w:bidi w:val="0"/>
              <w:adjustRightInd w:val="0"/>
              <w:snapToGrid w:val="0"/>
              <w:spacing w:after="160"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系统支持省卫健DRG首页上报数据采集标准数据字典维护，包括诊断、手术、科室等所有数据字典的维护。</w:t>
            </w:r>
          </w:p>
          <w:p w14:paraId="77377E00">
            <w:pPr>
              <w:keepNext w:val="0"/>
              <w:keepLines w:val="0"/>
              <w:pageBreakBefore w:val="0"/>
              <w:numPr>
                <w:ilvl w:val="0"/>
                <w:numId w:val="27"/>
              </w:numPr>
              <w:kinsoku/>
              <w:wordWrap/>
              <w:overflowPunct/>
              <w:topLinePunct w:val="0"/>
              <w:autoSpaceDE/>
              <w:autoSpaceDN/>
              <w:bidi w:val="0"/>
              <w:adjustRightInd w:val="0"/>
              <w:snapToGrid w:val="0"/>
              <w:spacing w:after="160" w:line="360" w:lineRule="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系统支持院内代码和标准数据字典对照，根据省卫健DRG首页上报数据采集接口标准，提供院内数据编码和上报编码间的对照功能，通过编码对照实现院内编码的标准代码转换，以便保证上报的数据达标。</w:t>
            </w:r>
          </w:p>
        </w:tc>
      </w:tr>
      <w:tr w14:paraId="031D4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trPr>
        <w:tc>
          <w:tcPr>
            <w:tcW w:w="235" w:type="pct"/>
            <w:vMerge w:val="continue"/>
            <w:noWrap w:val="0"/>
            <w:vAlign w:val="center"/>
          </w:tcPr>
          <w:p w14:paraId="71A23CAC">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p>
        </w:tc>
        <w:tc>
          <w:tcPr>
            <w:tcW w:w="451" w:type="pct"/>
            <w:vMerge w:val="continue"/>
            <w:noWrap w:val="0"/>
            <w:vAlign w:val="center"/>
          </w:tcPr>
          <w:p w14:paraId="7407E513">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p>
        </w:tc>
        <w:tc>
          <w:tcPr>
            <w:tcW w:w="679" w:type="pct"/>
            <w:noWrap w:val="0"/>
            <w:vAlign w:val="center"/>
          </w:tcPr>
          <w:p w14:paraId="32F5AE9F">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数据上报</w:t>
            </w:r>
          </w:p>
        </w:tc>
        <w:tc>
          <w:tcPr>
            <w:tcW w:w="3633" w:type="pct"/>
            <w:noWrap w:val="0"/>
            <w:vAlign w:val="center"/>
          </w:tcPr>
          <w:p w14:paraId="7EE3E56C">
            <w:pPr>
              <w:keepNext w:val="0"/>
              <w:keepLines w:val="0"/>
              <w:pageBreakBefore w:val="0"/>
              <w:widowControl/>
              <w:kinsoku/>
              <w:wordWrap/>
              <w:overflowPunct/>
              <w:topLinePunct w:val="0"/>
              <w:autoSpaceDE/>
              <w:autoSpaceDN/>
              <w:bidi w:val="0"/>
              <w:adjustRightInd w:val="0"/>
              <w:snapToGrid w:val="0"/>
              <w:spacing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系统提供上报</w:t>
            </w:r>
            <w:r>
              <w:rPr>
                <w:rFonts w:hint="eastAsia" w:ascii="新宋体" w:hAnsi="新宋体" w:eastAsia="新宋体" w:cs="新宋体"/>
                <w:color w:val="auto"/>
                <w:kern w:val="0"/>
                <w:sz w:val="22"/>
                <w:szCs w:val="22"/>
                <w:highlight w:val="none"/>
              </w:rPr>
              <w:t>省绩效DRG</w:t>
            </w:r>
            <w:r>
              <w:rPr>
                <w:rFonts w:hint="eastAsia" w:ascii="新宋体" w:hAnsi="新宋体" w:eastAsia="新宋体" w:cs="新宋体"/>
                <w:color w:val="auto"/>
                <w:sz w:val="22"/>
                <w:szCs w:val="22"/>
                <w:highlight w:val="none"/>
              </w:rPr>
              <w:t>数据生成功能，通过审核的数据可按上报数据格式要求的CSV格式进行文件导出上报。</w:t>
            </w:r>
          </w:p>
        </w:tc>
      </w:tr>
    </w:tbl>
    <w:p w14:paraId="39BE4A52">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5.病案配置管理</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7"/>
        <w:gridCol w:w="853"/>
        <w:gridCol w:w="1749"/>
        <w:gridCol w:w="6419"/>
      </w:tblGrid>
      <w:tr w14:paraId="366F1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231" w:type="pct"/>
            <w:noWrap w:val="0"/>
            <w:vAlign w:val="center"/>
          </w:tcPr>
          <w:p w14:paraId="25B6394F">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序号</w:t>
            </w:r>
          </w:p>
        </w:tc>
        <w:tc>
          <w:tcPr>
            <w:tcW w:w="451" w:type="pct"/>
            <w:noWrap w:val="0"/>
            <w:vAlign w:val="center"/>
          </w:tcPr>
          <w:p w14:paraId="36702D51">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模块</w:t>
            </w:r>
          </w:p>
        </w:tc>
        <w:tc>
          <w:tcPr>
            <w:tcW w:w="924" w:type="pct"/>
            <w:noWrap w:val="0"/>
            <w:vAlign w:val="center"/>
          </w:tcPr>
          <w:p w14:paraId="2867684B">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功能点</w:t>
            </w:r>
          </w:p>
        </w:tc>
        <w:tc>
          <w:tcPr>
            <w:tcW w:w="3392" w:type="pct"/>
            <w:noWrap w:val="0"/>
            <w:vAlign w:val="center"/>
          </w:tcPr>
          <w:p w14:paraId="35AED377">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功能描述</w:t>
            </w:r>
          </w:p>
        </w:tc>
      </w:tr>
      <w:tr w14:paraId="094F2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31" w:type="pct"/>
            <w:noWrap w:val="0"/>
            <w:vAlign w:val="center"/>
          </w:tcPr>
          <w:p w14:paraId="5AA44732">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1</w:t>
            </w:r>
          </w:p>
        </w:tc>
        <w:tc>
          <w:tcPr>
            <w:tcW w:w="451" w:type="pct"/>
            <w:noWrap w:val="0"/>
            <w:vAlign w:val="center"/>
          </w:tcPr>
          <w:p w14:paraId="4D3D3743">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用户管理</w:t>
            </w:r>
          </w:p>
        </w:tc>
        <w:tc>
          <w:tcPr>
            <w:tcW w:w="924" w:type="pct"/>
            <w:noWrap w:val="0"/>
            <w:vAlign w:val="center"/>
          </w:tcPr>
          <w:p w14:paraId="172FB3EC">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用户权限配置</w:t>
            </w:r>
          </w:p>
        </w:tc>
        <w:tc>
          <w:tcPr>
            <w:tcW w:w="3392" w:type="pct"/>
            <w:noWrap w:val="0"/>
            <w:vAlign w:val="center"/>
          </w:tcPr>
          <w:p w14:paraId="2A8F69AE">
            <w:pPr>
              <w:keepNext w:val="0"/>
              <w:keepLines w:val="0"/>
              <w:pageBreakBefore w:val="0"/>
              <w:widowControl/>
              <w:numPr>
                <w:ilvl w:val="0"/>
                <w:numId w:val="28"/>
              </w:numPr>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设置病案管理系统操作用户信息。</w:t>
            </w:r>
          </w:p>
          <w:p w14:paraId="55BB645C">
            <w:pPr>
              <w:keepNext w:val="0"/>
              <w:keepLines w:val="0"/>
              <w:pageBreakBefore w:val="0"/>
              <w:widowControl/>
              <w:numPr>
                <w:ilvl w:val="0"/>
                <w:numId w:val="28"/>
              </w:numPr>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根据各系统不同的需求配置角色信息。</w:t>
            </w:r>
          </w:p>
          <w:p w14:paraId="78EB6621">
            <w:pPr>
              <w:keepNext w:val="0"/>
              <w:keepLines w:val="0"/>
              <w:pageBreakBefore w:val="0"/>
              <w:widowControl/>
              <w:numPr>
                <w:ilvl w:val="0"/>
                <w:numId w:val="28"/>
              </w:numPr>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根据不同的系统不同的分组分配操作用户。</w:t>
            </w:r>
          </w:p>
          <w:p w14:paraId="3620E31E">
            <w:pPr>
              <w:keepNext w:val="0"/>
              <w:keepLines w:val="0"/>
              <w:pageBreakBefore w:val="0"/>
              <w:widowControl/>
              <w:numPr>
                <w:ilvl w:val="0"/>
                <w:numId w:val="28"/>
              </w:numPr>
              <w:kinsoku/>
              <w:wordWrap/>
              <w:overflowPunct/>
              <w:topLinePunct w:val="0"/>
              <w:autoSpaceDE/>
              <w:autoSpaceDN/>
              <w:bidi w:val="0"/>
              <w:adjustRightInd w:val="0"/>
              <w:snapToGrid w:val="0"/>
              <w:spacing w:after="160"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设置编码员负责科室信息。</w:t>
            </w:r>
          </w:p>
        </w:tc>
      </w:tr>
      <w:tr w14:paraId="39F5E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trPr>
        <w:tc>
          <w:tcPr>
            <w:tcW w:w="231" w:type="pct"/>
            <w:vMerge w:val="restart"/>
            <w:noWrap w:val="0"/>
            <w:vAlign w:val="center"/>
          </w:tcPr>
          <w:p w14:paraId="7A5BF693">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2</w:t>
            </w:r>
          </w:p>
        </w:tc>
        <w:tc>
          <w:tcPr>
            <w:tcW w:w="451" w:type="pct"/>
            <w:vMerge w:val="restart"/>
            <w:noWrap w:val="0"/>
            <w:vAlign w:val="center"/>
          </w:tcPr>
          <w:p w14:paraId="14548C87">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基础配置</w:t>
            </w:r>
          </w:p>
        </w:tc>
        <w:tc>
          <w:tcPr>
            <w:tcW w:w="924" w:type="pct"/>
            <w:noWrap w:val="0"/>
            <w:vAlign w:val="center"/>
          </w:tcPr>
          <w:p w14:paraId="6ACD3D61">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字典配置</w:t>
            </w:r>
          </w:p>
        </w:tc>
        <w:tc>
          <w:tcPr>
            <w:tcW w:w="3392" w:type="pct"/>
            <w:noWrap w:val="0"/>
            <w:vAlign w:val="center"/>
          </w:tcPr>
          <w:p w14:paraId="7B5AFF32">
            <w:pPr>
              <w:keepNext w:val="0"/>
              <w:keepLines w:val="0"/>
              <w:pageBreakBefore w:val="0"/>
              <w:widowControl/>
              <w:kinsoku/>
              <w:wordWrap/>
              <w:overflowPunct/>
              <w:topLinePunct w:val="0"/>
              <w:autoSpaceDE/>
              <w:autoSpaceDN/>
              <w:bidi w:val="0"/>
              <w:adjustRightInd w:val="0"/>
              <w:snapToGrid w:val="0"/>
              <w:spacing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设置病案首页登记项目需要的字典库。如：医疗付费方式、性别等字典库信息。</w:t>
            </w:r>
          </w:p>
        </w:tc>
      </w:tr>
      <w:tr w14:paraId="30EC2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exact"/>
        </w:trPr>
        <w:tc>
          <w:tcPr>
            <w:tcW w:w="231" w:type="pct"/>
            <w:vMerge w:val="continue"/>
            <w:noWrap w:val="0"/>
            <w:vAlign w:val="center"/>
          </w:tcPr>
          <w:p w14:paraId="22C510E7">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p>
        </w:tc>
        <w:tc>
          <w:tcPr>
            <w:tcW w:w="451" w:type="pct"/>
            <w:vMerge w:val="continue"/>
            <w:noWrap w:val="0"/>
            <w:vAlign w:val="center"/>
          </w:tcPr>
          <w:p w14:paraId="426A1646">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p>
        </w:tc>
        <w:tc>
          <w:tcPr>
            <w:tcW w:w="924" w:type="pct"/>
            <w:noWrap w:val="0"/>
            <w:vAlign w:val="center"/>
          </w:tcPr>
          <w:p w14:paraId="0D2B103D">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系统编码库设置</w:t>
            </w:r>
          </w:p>
        </w:tc>
        <w:tc>
          <w:tcPr>
            <w:tcW w:w="3392" w:type="pct"/>
            <w:noWrap w:val="0"/>
            <w:vAlign w:val="center"/>
          </w:tcPr>
          <w:p w14:paraId="72F493C9">
            <w:pPr>
              <w:keepNext w:val="0"/>
              <w:keepLines w:val="0"/>
              <w:pageBreakBefore w:val="0"/>
              <w:kinsoku/>
              <w:wordWrap/>
              <w:overflowPunct/>
              <w:topLinePunct w:val="0"/>
              <w:autoSpaceDE/>
              <w:autoSpaceDN/>
              <w:bidi w:val="0"/>
              <w:adjustRightInd w:val="0"/>
              <w:snapToGrid w:val="0"/>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1.疾病查询，支持按照编码、名称进行检索。</w:t>
            </w:r>
          </w:p>
          <w:p w14:paraId="7D00EE75">
            <w:pPr>
              <w:keepNext w:val="0"/>
              <w:keepLines w:val="0"/>
              <w:pageBreakBefore w:val="0"/>
              <w:kinsoku/>
              <w:wordWrap/>
              <w:overflowPunct/>
              <w:topLinePunct w:val="0"/>
              <w:autoSpaceDE/>
              <w:autoSpaceDN/>
              <w:bidi w:val="0"/>
              <w:adjustRightInd w:val="0"/>
              <w:snapToGrid w:val="0"/>
              <w:spacing w:line="360" w:lineRule="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2.手术查询，支持按照编码、名称进行检索。</w:t>
            </w:r>
          </w:p>
        </w:tc>
      </w:tr>
      <w:tr w14:paraId="0CC31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exact"/>
        </w:trPr>
        <w:tc>
          <w:tcPr>
            <w:tcW w:w="231" w:type="pct"/>
            <w:vMerge w:val="continue"/>
            <w:noWrap w:val="0"/>
            <w:vAlign w:val="center"/>
          </w:tcPr>
          <w:p w14:paraId="55970DF0">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p>
        </w:tc>
        <w:tc>
          <w:tcPr>
            <w:tcW w:w="451" w:type="pct"/>
            <w:vMerge w:val="continue"/>
            <w:noWrap w:val="0"/>
            <w:vAlign w:val="center"/>
          </w:tcPr>
          <w:p w14:paraId="1E8983A8">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p>
        </w:tc>
        <w:tc>
          <w:tcPr>
            <w:tcW w:w="924" w:type="pct"/>
            <w:noWrap w:val="0"/>
            <w:vAlign w:val="center"/>
          </w:tcPr>
          <w:p w14:paraId="0A29CDE0">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医院信息设置</w:t>
            </w:r>
          </w:p>
        </w:tc>
        <w:tc>
          <w:tcPr>
            <w:tcW w:w="3392" w:type="pct"/>
            <w:noWrap w:val="0"/>
            <w:vAlign w:val="center"/>
          </w:tcPr>
          <w:p w14:paraId="5DF60F0F">
            <w:pPr>
              <w:keepNext w:val="0"/>
              <w:keepLines w:val="0"/>
              <w:pageBreakBefore w:val="0"/>
              <w:widowControl/>
              <w:kinsoku/>
              <w:wordWrap/>
              <w:overflowPunct/>
              <w:topLinePunct w:val="0"/>
              <w:autoSpaceDE/>
              <w:autoSpaceDN/>
              <w:bidi w:val="0"/>
              <w:adjustRightInd w:val="0"/>
              <w:snapToGrid w:val="0"/>
              <w:spacing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设置医院基本信息。如：医院名称、机构代码等。</w:t>
            </w:r>
          </w:p>
        </w:tc>
      </w:tr>
      <w:tr w14:paraId="4AA70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trPr>
        <w:tc>
          <w:tcPr>
            <w:tcW w:w="231" w:type="pct"/>
            <w:vMerge w:val="continue"/>
            <w:noWrap w:val="0"/>
            <w:vAlign w:val="center"/>
          </w:tcPr>
          <w:p w14:paraId="4DC5E188">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p>
        </w:tc>
        <w:tc>
          <w:tcPr>
            <w:tcW w:w="451" w:type="pct"/>
            <w:vMerge w:val="continue"/>
            <w:noWrap w:val="0"/>
            <w:vAlign w:val="center"/>
          </w:tcPr>
          <w:p w14:paraId="54F6300B">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p>
        </w:tc>
        <w:tc>
          <w:tcPr>
            <w:tcW w:w="924" w:type="pct"/>
            <w:noWrap w:val="0"/>
            <w:vAlign w:val="center"/>
          </w:tcPr>
          <w:p w14:paraId="7EA0048F">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医院医生设置</w:t>
            </w:r>
          </w:p>
        </w:tc>
        <w:tc>
          <w:tcPr>
            <w:tcW w:w="3392" w:type="pct"/>
            <w:noWrap w:val="0"/>
            <w:vAlign w:val="center"/>
          </w:tcPr>
          <w:p w14:paraId="5B738660">
            <w:pPr>
              <w:keepNext w:val="0"/>
              <w:keepLines w:val="0"/>
              <w:pageBreakBefore w:val="0"/>
              <w:widowControl/>
              <w:kinsoku/>
              <w:wordWrap/>
              <w:overflowPunct/>
              <w:topLinePunct w:val="0"/>
              <w:autoSpaceDE/>
              <w:autoSpaceDN/>
              <w:bidi w:val="0"/>
              <w:adjustRightInd w:val="0"/>
              <w:snapToGrid w:val="0"/>
              <w:spacing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设置医院医生、护士等信息。如医生工号、医生姓名等</w:t>
            </w:r>
          </w:p>
        </w:tc>
      </w:tr>
      <w:tr w14:paraId="6EE4A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trPr>
        <w:tc>
          <w:tcPr>
            <w:tcW w:w="231" w:type="pct"/>
            <w:vMerge w:val="continue"/>
            <w:noWrap w:val="0"/>
            <w:vAlign w:val="center"/>
          </w:tcPr>
          <w:p w14:paraId="4F132987">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p>
        </w:tc>
        <w:tc>
          <w:tcPr>
            <w:tcW w:w="451" w:type="pct"/>
            <w:vMerge w:val="continue"/>
            <w:noWrap w:val="0"/>
            <w:vAlign w:val="center"/>
          </w:tcPr>
          <w:p w14:paraId="337ADF76">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p>
        </w:tc>
        <w:tc>
          <w:tcPr>
            <w:tcW w:w="924" w:type="pct"/>
            <w:noWrap w:val="0"/>
            <w:vAlign w:val="center"/>
          </w:tcPr>
          <w:p w14:paraId="277AA7BB">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医院科室设置</w:t>
            </w:r>
          </w:p>
        </w:tc>
        <w:tc>
          <w:tcPr>
            <w:tcW w:w="3392" w:type="pct"/>
            <w:noWrap w:val="0"/>
            <w:vAlign w:val="center"/>
          </w:tcPr>
          <w:p w14:paraId="4A8CE180">
            <w:pPr>
              <w:keepNext w:val="0"/>
              <w:keepLines w:val="0"/>
              <w:pageBreakBefore w:val="0"/>
              <w:widowControl/>
              <w:kinsoku/>
              <w:wordWrap/>
              <w:overflowPunct/>
              <w:topLinePunct w:val="0"/>
              <w:autoSpaceDE/>
              <w:autoSpaceDN/>
              <w:bidi w:val="0"/>
              <w:adjustRightInd w:val="0"/>
              <w:snapToGrid w:val="0"/>
              <w:spacing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设置医院门急诊、观察室、临床科室以及医技科室信息。</w:t>
            </w:r>
          </w:p>
        </w:tc>
      </w:tr>
      <w:tr w14:paraId="41BBC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trPr>
        <w:tc>
          <w:tcPr>
            <w:tcW w:w="231" w:type="pct"/>
            <w:vMerge w:val="continue"/>
            <w:noWrap w:val="0"/>
            <w:vAlign w:val="center"/>
          </w:tcPr>
          <w:p w14:paraId="7791E2FA">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p>
        </w:tc>
        <w:tc>
          <w:tcPr>
            <w:tcW w:w="451" w:type="pct"/>
            <w:vMerge w:val="continue"/>
            <w:noWrap w:val="0"/>
            <w:vAlign w:val="center"/>
          </w:tcPr>
          <w:p w14:paraId="45BEEB99">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kern w:val="0"/>
                <w:sz w:val="22"/>
                <w:szCs w:val="22"/>
                <w:highlight w:val="none"/>
              </w:rPr>
            </w:pPr>
          </w:p>
        </w:tc>
        <w:tc>
          <w:tcPr>
            <w:tcW w:w="924" w:type="pct"/>
            <w:noWrap w:val="0"/>
            <w:vAlign w:val="center"/>
          </w:tcPr>
          <w:p w14:paraId="078C4392">
            <w:pPr>
              <w:keepNext w:val="0"/>
              <w:keepLines w:val="0"/>
              <w:pageBreakBefore w:val="0"/>
              <w:widowControl/>
              <w:kinsoku/>
              <w:wordWrap/>
              <w:overflowPunct/>
              <w:topLinePunct w:val="0"/>
              <w:autoSpaceDE/>
              <w:autoSpaceDN/>
              <w:bidi w:val="0"/>
              <w:adjustRightInd w:val="0"/>
              <w:snapToGrid w:val="0"/>
              <w:spacing w:line="360" w:lineRule="auto"/>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医院假日设置</w:t>
            </w:r>
          </w:p>
        </w:tc>
        <w:tc>
          <w:tcPr>
            <w:tcW w:w="3392" w:type="pct"/>
            <w:noWrap w:val="0"/>
            <w:vAlign w:val="center"/>
          </w:tcPr>
          <w:p w14:paraId="4DD90457">
            <w:pPr>
              <w:keepNext w:val="0"/>
              <w:keepLines w:val="0"/>
              <w:pageBreakBefore w:val="0"/>
              <w:widowControl/>
              <w:kinsoku/>
              <w:wordWrap/>
              <w:overflowPunct/>
              <w:topLinePunct w:val="0"/>
              <w:autoSpaceDE/>
              <w:autoSpaceDN/>
              <w:bidi w:val="0"/>
              <w:adjustRightInd w:val="0"/>
              <w:snapToGrid w:val="0"/>
              <w:spacing w:line="360" w:lineRule="auto"/>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设置每年医院节假日信息，以便报表统计需要。</w:t>
            </w:r>
          </w:p>
        </w:tc>
      </w:tr>
    </w:tbl>
    <w:p w14:paraId="763F468A">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二、温州市医疗大数据智廉监管平台</w:t>
      </w:r>
    </w:p>
    <w:tbl>
      <w:tblPr>
        <w:tblStyle w:val="31"/>
        <w:tblW w:w="4993" w:type="pct"/>
        <w:tblInd w:w="0" w:type="dxa"/>
        <w:tblLayout w:type="fixed"/>
        <w:tblCellMar>
          <w:top w:w="0" w:type="dxa"/>
          <w:left w:w="108" w:type="dxa"/>
          <w:bottom w:w="0" w:type="dxa"/>
          <w:right w:w="108" w:type="dxa"/>
        </w:tblCellMar>
      </w:tblPr>
      <w:tblGrid>
        <w:gridCol w:w="447"/>
        <w:gridCol w:w="1081"/>
        <w:gridCol w:w="7917"/>
      </w:tblGrid>
      <w:tr w14:paraId="4E95ED5B">
        <w:tblPrEx>
          <w:tblCellMar>
            <w:top w:w="0" w:type="dxa"/>
            <w:left w:w="108" w:type="dxa"/>
            <w:bottom w:w="0" w:type="dxa"/>
            <w:right w:w="108" w:type="dxa"/>
          </w:tblCellMar>
        </w:tblPrEx>
        <w:trPr>
          <w:trHeight w:val="531" w:hRule="atLeast"/>
        </w:trPr>
        <w:tc>
          <w:tcPr>
            <w:tcW w:w="237"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16E77CF">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序号</w:t>
            </w:r>
          </w:p>
        </w:tc>
        <w:tc>
          <w:tcPr>
            <w:tcW w:w="572"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8084D0E">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功能</w:t>
            </w:r>
          </w:p>
        </w:tc>
        <w:tc>
          <w:tcPr>
            <w:tcW w:w="4190" w:type="pc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62D7E1C">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技术规格及要求</w:t>
            </w:r>
          </w:p>
        </w:tc>
      </w:tr>
      <w:tr w14:paraId="012D89D3">
        <w:tblPrEx>
          <w:tblCellMar>
            <w:top w:w="0" w:type="dxa"/>
            <w:left w:w="108" w:type="dxa"/>
            <w:bottom w:w="0" w:type="dxa"/>
            <w:right w:w="108" w:type="dxa"/>
          </w:tblCellMar>
        </w:tblPrEx>
        <w:trPr>
          <w:trHeight w:val="20" w:hRule="atLeast"/>
        </w:trPr>
        <w:tc>
          <w:tcPr>
            <w:tcW w:w="237" w:type="pct"/>
            <w:vMerge w:val="restart"/>
            <w:tcBorders>
              <w:top w:val="single" w:color="000000" w:sz="4" w:space="0"/>
              <w:left w:val="single" w:color="000000" w:sz="4" w:space="0"/>
              <w:bottom w:val="single" w:color="000000" w:sz="4" w:space="0"/>
              <w:right w:val="single" w:color="000000" w:sz="4" w:space="0"/>
            </w:tcBorders>
            <w:noWrap w:val="0"/>
            <w:vAlign w:val="center"/>
          </w:tcPr>
          <w:p w14:paraId="6325F079">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1</w:t>
            </w:r>
          </w:p>
        </w:tc>
        <w:tc>
          <w:tcPr>
            <w:tcW w:w="572" w:type="pct"/>
            <w:vMerge w:val="restart"/>
            <w:tcBorders>
              <w:top w:val="single" w:color="000000" w:sz="4" w:space="0"/>
              <w:left w:val="single" w:color="000000" w:sz="4" w:space="0"/>
              <w:bottom w:val="single" w:color="000000" w:sz="4" w:space="0"/>
              <w:right w:val="single" w:color="000000" w:sz="4" w:space="0"/>
            </w:tcBorders>
            <w:noWrap w:val="0"/>
            <w:vAlign w:val="center"/>
          </w:tcPr>
          <w:p w14:paraId="16E08885">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预警总览</w:t>
            </w: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69BF3A97">
            <w:pPr>
              <w:keepNext w:val="0"/>
              <w:keepLines w:val="0"/>
              <w:pageBreakBefore w:val="0"/>
              <w:widowControl/>
              <w:numPr>
                <w:ilvl w:val="0"/>
                <w:numId w:val="29"/>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kern w:val="0"/>
                <w:sz w:val="22"/>
                <w:szCs w:val="22"/>
                <w:highlight w:val="none"/>
                <w:lang w:bidi="ar"/>
              </w:rPr>
              <w:t>各医院预警记录趋势:显示近12个月预警（红色/黄色）总数，待处置数，已处置人次，待处置人次，高频率预警数，并以折线图显示各月趋势情况</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b/>
                <w:bCs/>
                <w:color w:val="auto"/>
                <w:sz w:val="22"/>
                <w:szCs w:val="22"/>
                <w:highlight w:val="none"/>
                <w:lang w:val="en-US" w:eastAsia="zh-CN" w:bidi="ar"/>
              </w:rPr>
              <w:t>需</w:t>
            </w:r>
            <w:r>
              <w:rPr>
                <w:rFonts w:hint="default" w:ascii="新宋体" w:hAnsi="新宋体" w:eastAsia="新宋体" w:cs="新宋体"/>
                <w:b/>
                <w:bCs/>
                <w:color w:val="auto"/>
                <w:sz w:val="22"/>
                <w:szCs w:val="22"/>
                <w:highlight w:val="none"/>
                <w:lang w:val="en-US" w:bidi="ar"/>
              </w:rPr>
              <w:t>提供系统功能截图等佐证材料加盖投标供应商公章</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w:t>
            </w:r>
          </w:p>
        </w:tc>
      </w:tr>
      <w:tr w14:paraId="0E4A9D25">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B1191B2">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6F6B3A2">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6770D252">
            <w:pPr>
              <w:keepNext w:val="0"/>
              <w:keepLines w:val="0"/>
              <w:pageBreakBefore w:val="0"/>
              <w:widowControl/>
              <w:numPr>
                <w:ilvl w:val="0"/>
                <w:numId w:val="29"/>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各医院耗材模型预警排名:各耗材预警模型近12个月，产生红/黄预警数排名前5柱状图，同时显示待处置数量。</w:t>
            </w:r>
          </w:p>
        </w:tc>
      </w:tr>
      <w:tr w14:paraId="6F076EA3">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2FFF1A73">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825A51">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090DCE89">
            <w:pPr>
              <w:keepNext w:val="0"/>
              <w:keepLines w:val="0"/>
              <w:pageBreakBefore w:val="0"/>
              <w:widowControl/>
              <w:numPr>
                <w:ilvl w:val="0"/>
                <w:numId w:val="29"/>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各医院药品模型预警排名:各药品预警模型近12个月，产生红/黄预警数排名前5柱状图，同时显示待处置数量。</w:t>
            </w:r>
          </w:p>
        </w:tc>
      </w:tr>
      <w:tr w14:paraId="32F63FF0">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DD7D89A">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D6A1D57">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03C54E0D">
            <w:pPr>
              <w:keepNext w:val="0"/>
              <w:keepLines w:val="0"/>
              <w:pageBreakBefore w:val="0"/>
              <w:widowControl/>
              <w:numPr>
                <w:ilvl w:val="0"/>
                <w:numId w:val="29"/>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各医院耗材预警按手术排名:耗材预警推送数量前5名手术名称分布饼状图。</w:t>
            </w:r>
          </w:p>
        </w:tc>
      </w:tr>
      <w:tr w14:paraId="72197C45">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AAC2A4A">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C17C8B">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181D47D2">
            <w:pPr>
              <w:keepNext w:val="0"/>
              <w:keepLines w:val="0"/>
              <w:pageBreakBefore w:val="0"/>
              <w:widowControl/>
              <w:numPr>
                <w:ilvl w:val="0"/>
                <w:numId w:val="29"/>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各医院耗材预警按医生排名:耗材预警推送数量前5名医生分布饼状图。</w:t>
            </w:r>
          </w:p>
        </w:tc>
      </w:tr>
      <w:tr w14:paraId="2DE53B65">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7F020B6">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8B2DCB9">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19D11004">
            <w:pPr>
              <w:keepNext w:val="0"/>
              <w:keepLines w:val="0"/>
              <w:pageBreakBefore w:val="0"/>
              <w:widowControl/>
              <w:numPr>
                <w:ilvl w:val="0"/>
                <w:numId w:val="29"/>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各医院药品预警按品种排名:药品预警推送数量前5名药品分布饼状图。</w:t>
            </w:r>
          </w:p>
        </w:tc>
      </w:tr>
      <w:tr w14:paraId="41104628">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B698A67">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D80C2CB">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5276B065">
            <w:pPr>
              <w:keepNext w:val="0"/>
              <w:keepLines w:val="0"/>
              <w:pageBreakBefore w:val="0"/>
              <w:widowControl/>
              <w:numPr>
                <w:ilvl w:val="0"/>
                <w:numId w:val="29"/>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各医院药品预警按医生排名:药品预警推送数量前5名医生分布饼状图。</w:t>
            </w:r>
          </w:p>
        </w:tc>
      </w:tr>
      <w:tr w14:paraId="03D1CEBF">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35314598">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A5712DF">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2AD81303">
            <w:pPr>
              <w:keepNext w:val="0"/>
              <w:keepLines w:val="0"/>
              <w:pageBreakBefore w:val="0"/>
              <w:widowControl/>
              <w:numPr>
                <w:ilvl w:val="0"/>
                <w:numId w:val="29"/>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各医院耗材/药品处置记录:列表显示各医院耗材/药品处置记录</w:t>
            </w:r>
          </w:p>
        </w:tc>
      </w:tr>
      <w:tr w14:paraId="35D10E43">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25A2345">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362C675">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239F269E">
            <w:pPr>
              <w:keepNext w:val="0"/>
              <w:keepLines w:val="0"/>
              <w:pageBreakBefore w:val="0"/>
              <w:widowControl/>
              <w:numPr>
                <w:ilvl w:val="0"/>
                <w:numId w:val="29"/>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行业监管耗材/药品预警记录:列表显示各医院行业监管耗材/药品预警风险次数</w:t>
            </w:r>
          </w:p>
        </w:tc>
      </w:tr>
      <w:tr w14:paraId="13570783">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25D812DD">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1F8BDBE">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2A5EFCA4">
            <w:pPr>
              <w:keepNext w:val="0"/>
              <w:keepLines w:val="0"/>
              <w:pageBreakBefore w:val="0"/>
              <w:widowControl/>
              <w:numPr>
                <w:ilvl w:val="0"/>
                <w:numId w:val="29"/>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行业监管耗材/药品处置记录:列表显示各医院耗材/药品行业监管处置记录</w:t>
            </w:r>
          </w:p>
        </w:tc>
      </w:tr>
      <w:tr w14:paraId="09A2FDC4">
        <w:tblPrEx>
          <w:tblCellMar>
            <w:top w:w="0" w:type="dxa"/>
            <w:left w:w="108" w:type="dxa"/>
            <w:bottom w:w="0" w:type="dxa"/>
            <w:right w:w="108" w:type="dxa"/>
          </w:tblCellMar>
        </w:tblPrEx>
        <w:trPr>
          <w:trHeight w:val="20" w:hRule="atLeast"/>
        </w:trPr>
        <w:tc>
          <w:tcPr>
            <w:tcW w:w="237" w:type="pct"/>
            <w:vMerge w:val="restart"/>
            <w:tcBorders>
              <w:top w:val="nil"/>
              <w:left w:val="single" w:color="000000" w:sz="4" w:space="0"/>
              <w:bottom w:val="single" w:color="000000" w:sz="4" w:space="0"/>
              <w:right w:val="single" w:color="000000" w:sz="4" w:space="0"/>
            </w:tcBorders>
            <w:noWrap w:val="0"/>
            <w:vAlign w:val="center"/>
          </w:tcPr>
          <w:p w14:paraId="707FB464">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2</w:t>
            </w:r>
          </w:p>
        </w:tc>
        <w:tc>
          <w:tcPr>
            <w:tcW w:w="572" w:type="pct"/>
            <w:vMerge w:val="restart"/>
            <w:tcBorders>
              <w:top w:val="nil"/>
              <w:left w:val="single" w:color="000000" w:sz="4" w:space="0"/>
              <w:bottom w:val="single" w:color="000000" w:sz="4" w:space="0"/>
              <w:right w:val="single" w:color="000000" w:sz="4" w:space="0"/>
            </w:tcBorders>
            <w:noWrap w:val="0"/>
            <w:vAlign w:val="center"/>
          </w:tcPr>
          <w:p w14:paraId="01278A21">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常规管理</w:t>
            </w: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3BA0E08C">
            <w:pPr>
              <w:keepNext w:val="0"/>
              <w:keepLines w:val="0"/>
              <w:pageBreakBefore w:val="0"/>
              <w:widowControl/>
              <w:numPr>
                <w:ilvl w:val="0"/>
                <w:numId w:val="30"/>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系统配置:用于系统基础配置，可以在此增改系统的变量和分组，也可以自定义分组和变量。</w:t>
            </w:r>
          </w:p>
        </w:tc>
      </w:tr>
      <w:tr w14:paraId="44E516D2">
        <w:tblPrEx>
          <w:tblCellMar>
            <w:top w:w="0" w:type="dxa"/>
            <w:left w:w="108" w:type="dxa"/>
            <w:bottom w:w="0" w:type="dxa"/>
            <w:right w:w="108" w:type="dxa"/>
          </w:tblCellMar>
        </w:tblPrEx>
        <w:trPr>
          <w:trHeight w:val="20" w:hRule="atLeast"/>
        </w:trPr>
        <w:tc>
          <w:tcPr>
            <w:tcW w:w="237" w:type="pct"/>
            <w:vMerge w:val="continue"/>
            <w:tcBorders>
              <w:top w:val="nil"/>
              <w:left w:val="single" w:color="000000" w:sz="4" w:space="0"/>
              <w:bottom w:val="single" w:color="000000" w:sz="4" w:space="0"/>
              <w:right w:val="single" w:color="000000" w:sz="4" w:space="0"/>
            </w:tcBorders>
            <w:noWrap w:val="0"/>
            <w:vAlign w:val="center"/>
          </w:tcPr>
          <w:p w14:paraId="771123E0">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nil"/>
              <w:left w:val="single" w:color="000000" w:sz="4" w:space="0"/>
              <w:bottom w:val="single" w:color="000000" w:sz="4" w:space="0"/>
              <w:right w:val="single" w:color="000000" w:sz="4" w:space="0"/>
            </w:tcBorders>
            <w:noWrap w:val="0"/>
            <w:vAlign w:val="center"/>
          </w:tcPr>
          <w:p w14:paraId="2C4B8D3D">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56179A9E">
            <w:pPr>
              <w:keepNext w:val="0"/>
              <w:keepLines w:val="0"/>
              <w:pageBreakBefore w:val="0"/>
              <w:widowControl/>
              <w:numPr>
                <w:ilvl w:val="0"/>
                <w:numId w:val="30"/>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附件管理:主要用于管理上传到服务器或第三方存储的数据。</w:t>
            </w:r>
          </w:p>
        </w:tc>
      </w:tr>
      <w:tr w14:paraId="35E9322D">
        <w:tblPrEx>
          <w:tblCellMar>
            <w:top w:w="0" w:type="dxa"/>
            <w:left w:w="108" w:type="dxa"/>
            <w:bottom w:w="0" w:type="dxa"/>
            <w:right w:w="108" w:type="dxa"/>
          </w:tblCellMar>
        </w:tblPrEx>
        <w:trPr>
          <w:trHeight w:val="20" w:hRule="atLeast"/>
        </w:trPr>
        <w:tc>
          <w:tcPr>
            <w:tcW w:w="237" w:type="pct"/>
            <w:vMerge w:val="continue"/>
            <w:tcBorders>
              <w:top w:val="nil"/>
              <w:left w:val="single" w:color="000000" w:sz="4" w:space="0"/>
              <w:bottom w:val="single" w:color="000000" w:sz="4" w:space="0"/>
              <w:right w:val="single" w:color="000000" w:sz="4" w:space="0"/>
            </w:tcBorders>
            <w:noWrap w:val="0"/>
            <w:vAlign w:val="center"/>
          </w:tcPr>
          <w:p w14:paraId="76A423D8">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nil"/>
              <w:left w:val="single" w:color="000000" w:sz="4" w:space="0"/>
              <w:bottom w:val="single" w:color="000000" w:sz="4" w:space="0"/>
              <w:right w:val="single" w:color="000000" w:sz="4" w:space="0"/>
            </w:tcBorders>
            <w:noWrap w:val="0"/>
            <w:vAlign w:val="center"/>
          </w:tcPr>
          <w:p w14:paraId="03F09F02">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63CBD15D">
            <w:pPr>
              <w:keepNext w:val="0"/>
              <w:keepLines w:val="0"/>
              <w:pageBreakBefore w:val="0"/>
              <w:widowControl/>
              <w:numPr>
                <w:ilvl w:val="0"/>
                <w:numId w:val="30"/>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个人资料:超级管理员设置和维护。</w:t>
            </w:r>
          </w:p>
        </w:tc>
      </w:tr>
      <w:tr w14:paraId="2C75CCF0">
        <w:tblPrEx>
          <w:tblCellMar>
            <w:top w:w="0" w:type="dxa"/>
            <w:left w:w="108" w:type="dxa"/>
            <w:bottom w:w="0" w:type="dxa"/>
            <w:right w:w="108" w:type="dxa"/>
          </w:tblCellMar>
        </w:tblPrEx>
        <w:trPr>
          <w:trHeight w:val="20" w:hRule="atLeast"/>
        </w:trPr>
        <w:tc>
          <w:tcPr>
            <w:tcW w:w="237" w:type="pct"/>
            <w:vMerge w:val="restart"/>
            <w:tcBorders>
              <w:top w:val="single" w:color="000000" w:sz="4" w:space="0"/>
              <w:left w:val="single" w:color="000000" w:sz="4" w:space="0"/>
              <w:bottom w:val="single" w:color="000000" w:sz="4" w:space="0"/>
              <w:right w:val="single" w:color="000000" w:sz="4" w:space="0"/>
            </w:tcBorders>
            <w:noWrap w:val="0"/>
            <w:vAlign w:val="center"/>
          </w:tcPr>
          <w:p w14:paraId="36EF7842">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3</w:t>
            </w:r>
          </w:p>
        </w:tc>
        <w:tc>
          <w:tcPr>
            <w:tcW w:w="572" w:type="pct"/>
            <w:vMerge w:val="restart"/>
            <w:tcBorders>
              <w:top w:val="single" w:color="000000" w:sz="4" w:space="0"/>
              <w:left w:val="single" w:color="000000" w:sz="4" w:space="0"/>
              <w:bottom w:val="single" w:color="000000" w:sz="4" w:space="0"/>
              <w:right w:val="single" w:color="000000" w:sz="4" w:space="0"/>
            </w:tcBorders>
            <w:noWrap/>
            <w:vAlign w:val="center"/>
          </w:tcPr>
          <w:p w14:paraId="3535C02D">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后台管理</w:t>
            </w: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549E7F87">
            <w:pPr>
              <w:keepNext w:val="0"/>
              <w:keepLines w:val="0"/>
              <w:pageBreakBefore w:val="0"/>
              <w:widowControl/>
              <w:numPr>
                <w:ilvl w:val="0"/>
                <w:numId w:val="31"/>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人员信息管理:人员管理信息指超级管理员对人员信息进行添加、删除、批量导入、人员导入模板下载及绑定钉钉等操作。一个管理员可以有多个角色组,左侧的菜单根据管理员所拥有的权限进行生成。</w:t>
            </w:r>
          </w:p>
        </w:tc>
      </w:tr>
      <w:tr w14:paraId="0B0769B9">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2719215">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ign w:val="center"/>
          </w:tcPr>
          <w:p w14:paraId="6FE70175">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21C39ECC">
            <w:pPr>
              <w:keepNext w:val="0"/>
              <w:keepLines w:val="0"/>
              <w:pageBreakBefore w:val="0"/>
              <w:widowControl/>
              <w:numPr>
                <w:ilvl w:val="0"/>
                <w:numId w:val="31"/>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科室组织架构:</w:t>
            </w:r>
          </w:p>
          <w:p w14:paraId="4042C957">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科室组织管理是指医院或机构部门的组织行政架构进行编辑和添加。</w:t>
            </w:r>
          </w:p>
          <w:p w14:paraId="3C134F3E">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科室组织信息包括：所属医院或机构部门、父及科室所属、科室主任、科室护士长、科室代码、科室名称、科室类型、是否在用。</w:t>
            </w:r>
          </w:p>
          <w:p w14:paraId="5AF8DFB1">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科室类型分为：临床服务、医疗技术、医疗辅助、行政后勤。</w:t>
            </w:r>
          </w:p>
        </w:tc>
      </w:tr>
      <w:tr w14:paraId="4CA9AAAB">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1F0DAD5">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ign w:val="center"/>
          </w:tcPr>
          <w:p w14:paraId="2DC0ACA0">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7747E2CD">
            <w:pPr>
              <w:keepNext w:val="0"/>
              <w:keepLines w:val="0"/>
              <w:pageBreakBefore w:val="0"/>
              <w:widowControl/>
              <w:numPr>
                <w:ilvl w:val="0"/>
                <w:numId w:val="31"/>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系统操作日志:</w:t>
            </w:r>
            <w:r>
              <w:rPr>
                <w:rFonts w:hint="eastAsia" w:ascii="新宋体" w:hAnsi="新宋体" w:eastAsia="新宋体" w:cs="新宋体"/>
                <w:color w:val="auto"/>
                <w:kern w:val="0"/>
                <w:sz w:val="22"/>
                <w:szCs w:val="22"/>
                <w:highlight w:val="none"/>
              </w:rPr>
              <w:t>系统操作日志指超级管理组可以查看自己所拥有的权限的管理员日志，日志记录每一个角色操作系统的痕迹。删除按钮只能超级管理组显示和操作，勾选日志列表点击删除即可对日志列表信息进行批量删除，点击列表单个列表信息删除按钮可删除相应记录。</w:t>
            </w:r>
          </w:p>
        </w:tc>
      </w:tr>
      <w:tr w14:paraId="3CFA92E3">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2D622436">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ign w:val="center"/>
          </w:tcPr>
          <w:p w14:paraId="7D77BA7A">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16C3281B">
            <w:pPr>
              <w:keepNext w:val="0"/>
              <w:keepLines w:val="0"/>
              <w:pageBreakBefore w:val="0"/>
              <w:widowControl/>
              <w:numPr>
                <w:ilvl w:val="0"/>
                <w:numId w:val="31"/>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角色组授权:</w:t>
            </w:r>
            <w:r>
              <w:rPr>
                <w:rFonts w:hint="eastAsia" w:ascii="新宋体" w:hAnsi="新宋体" w:eastAsia="新宋体" w:cs="新宋体"/>
                <w:color w:val="auto"/>
                <w:kern w:val="0"/>
                <w:sz w:val="22"/>
                <w:szCs w:val="22"/>
                <w:highlight w:val="none"/>
              </w:rPr>
              <w:t>角色组授权功能是指超级管理员对相应角色权限进行设置，角色组可以有多个,角色有上下级层级关系,如果子角色有角色组和管理员的权限则可以派生属于自己组别的下级角色组或管理员。</w:t>
            </w:r>
          </w:p>
        </w:tc>
      </w:tr>
      <w:tr w14:paraId="5E87F093">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A35B8A2">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ign w:val="center"/>
          </w:tcPr>
          <w:p w14:paraId="69248E2A">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2CE6D837">
            <w:pPr>
              <w:keepNext w:val="0"/>
              <w:keepLines w:val="0"/>
              <w:pageBreakBefore w:val="0"/>
              <w:widowControl/>
              <w:numPr>
                <w:ilvl w:val="0"/>
                <w:numId w:val="31"/>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菜单规则:菜单规则管理是指系统支持对各功能节点菜单及功能名称字段的编辑和修改，菜单规则通常对应一个控制器的方法,同时左侧的菜单栏数据也从规则中体现,通常通过命令行进行生成规则节点。</w:t>
            </w:r>
          </w:p>
        </w:tc>
      </w:tr>
      <w:tr w14:paraId="2945C324">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73C908B">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ign w:val="center"/>
          </w:tcPr>
          <w:p w14:paraId="4F495D9B">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56C685F3">
            <w:pPr>
              <w:keepNext w:val="0"/>
              <w:keepLines w:val="0"/>
              <w:pageBreakBefore w:val="0"/>
              <w:widowControl/>
              <w:numPr>
                <w:ilvl w:val="0"/>
                <w:numId w:val="31"/>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综合字典维护:综合字典维护功能是系统内对一些重要数据定义属性及数据类型的行使的规则定义，通过设置对人员、功能模块、细化节点及细化权限的授权。</w:t>
            </w:r>
          </w:p>
          <w:p w14:paraId="60FB83FC">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综合字典维护信包括：代码信息、名称、长度、归属、标记、备注。操作按钮包括：添加、归属权限选择框、标记属性选择框、综合字典明细按钮、编辑/删除按钮。</w:t>
            </w:r>
          </w:p>
        </w:tc>
      </w:tr>
      <w:tr w14:paraId="4875B29F">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80B0C63">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ign w:val="center"/>
          </w:tcPr>
          <w:p w14:paraId="41FFF6F4">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44F21387">
            <w:pPr>
              <w:keepNext w:val="0"/>
              <w:keepLines w:val="0"/>
              <w:pageBreakBefore w:val="0"/>
              <w:widowControl/>
              <w:numPr>
                <w:ilvl w:val="0"/>
                <w:numId w:val="31"/>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消息推送设置:消息通知配置，用于设置钉钉消息通知配置。</w:t>
            </w:r>
          </w:p>
        </w:tc>
      </w:tr>
      <w:tr w14:paraId="52A9BBD1">
        <w:tblPrEx>
          <w:tblCellMar>
            <w:top w:w="0" w:type="dxa"/>
            <w:left w:w="108" w:type="dxa"/>
            <w:bottom w:w="0" w:type="dxa"/>
            <w:right w:w="108" w:type="dxa"/>
          </w:tblCellMar>
        </w:tblPrEx>
        <w:trPr>
          <w:trHeight w:val="272" w:hRule="atLeast"/>
        </w:trPr>
        <w:tc>
          <w:tcPr>
            <w:tcW w:w="237" w:type="pct"/>
            <w:vMerge w:val="restart"/>
            <w:tcBorders>
              <w:top w:val="single" w:color="000000" w:sz="4" w:space="0"/>
              <w:left w:val="single" w:color="000000" w:sz="4" w:space="0"/>
              <w:bottom w:val="single" w:color="000000" w:sz="4" w:space="0"/>
              <w:right w:val="single" w:color="000000" w:sz="4" w:space="0"/>
            </w:tcBorders>
            <w:noWrap w:val="0"/>
            <w:vAlign w:val="center"/>
          </w:tcPr>
          <w:p w14:paraId="755C8367">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4</w:t>
            </w:r>
          </w:p>
        </w:tc>
        <w:tc>
          <w:tcPr>
            <w:tcW w:w="572" w:type="pct"/>
            <w:vMerge w:val="restart"/>
            <w:tcBorders>
              <w:top w:val="single" w:color="000000" w:sz="4" w:space="0"/>
              <w:left w:val="single" w:color="000000" w:sz="4" w:space="0"/>
              <w:bottom w:val="single" w:color="000000" w:sz="4" w:space="0"/>
              <w:right w:val="single" w:color="000000" w:sz="4" w:space="0"/>
            </w:tcBorders>
            <w:noWrap w:val="0"/>
            <w:vAlign w:val="center"/>
          </w:tcPr>
          <w:p w14:paraId="2E66E08E">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预警管理</w:t>
            </w:r>
            <w:r>
              <w:rPr>
                <w:rFonts w:hint="eastAsia" w:ascii="新宋体" w:hAnsi="新宋体" w:eastAsia="新宋体" w:cs="新宋体"/>
                <w:color w:val="auto"/>
                <w:kern w:val="0"/>
                <w:sz w:val="22"/>
                <w:szCs w:val="22"/>
                <w:highlight w:val="none"/>
                <w:lang w:bidi="ar"/>
              </w:rPr>
              <w:br w:type="textWrapping"/>
            </w:r>
            <w:r>
              <w:rPr>
                <w:rFonts w:hint="eastAsia" w:ascii="新宋体" w:hAnsi="新宋体" w:eastAsia="新宋体" w:cs="新宋体"/>
                <w:color w:val="auto"/>
                <w:kern w:val="0"/>
                <w:sz w:val="22"/>
                <w:szCs w:val="22"/>
                <w:highlight w:val="none"/>
                <w:lang w:bidi="ar"/>
              </w:rPr>
              <w:t>（小闭环）</w:t>
            </w:r>
          </w:p>
        </w:tc>
        <w:tc>
          <w:tcPr>
            <w:tcW w:w="4190" w:type="pct"/>
            <w:vMerge w:val="restart"/>
            <w:tcBorders>
              <w:top w:val="single" w:color="000000" w:sz="4" w:space="0"/>
              <w:left w:val="single" w:color="000000" w:sz="4" w:space="0"/>
              <w:bottom w:val="single" w:color="000000" w:sz="4" w:space="0"/>
              <w:right w:val="single" w:color="000000" w:sz="4" w:space="0"/>
            </w:tcBorders>
            <w:noWrap w:val="0"/>
            <w:vAlign w:val="top"/>
          </w:tcPr>
          <w:p w14:paraId="226D36D1">
            <w:pPr>
              <w:keepNext w:val="0"/>
              <w:keepLines w:val="0"/>
              <w:pageBreakBefore w:val="0"/>
              <w:widowControl/>
              <w:numPr>
                <w:ilvl w:val="0"/>
                <w:numId w:val="32"/>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规则设定:</w:t>
            </w:r>
          </w:p>
          <w:p w14:paraId="6A9477B3">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rPr>
              <w:t xml:space="preserve">★ </w:t>
            </w:r>
            <w:r>
              <w:rPr>
                <w:rFonts w:hint="eastAsia" w:ascii="新宋体" w:hAnsi="新宋体" w:eastAsia="新宋体" w:cs="新宋体"/>
                <w:color w:val="auto"/>
                <w:kern w:val="0"/>
                <w:sz w:val="22"/>
                <w:szCs w:val="22"/>
                <w:highlight w:val="none"/>
                <w:lang w:bidi="ar"/>
              </w:rPr>
              <w:t>①预警规则设定：选择三级菜单预警规则设定，即可查看到全区域医院或机构所设定的预警规则的信息及规则列表展示，信息字段包括机构或医院名称、所属分类（耗材、手术、药品等）、预警级别（红色、黄色）、时间单位（月、季度）、规则名称、预警对象、启用/停用快捷按钮及操作按钮</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b/>
                <w:bCs/>
                <w:color w:val="auto"/>
                <w:sz w:val="22"/>
                <w:szCs w:val="22"/>
                <w:highlight w:val="none"/>
                <w:lang w:val="en-US" w:eastAsia="zh-CN" w:bidi="ar"/>
              </w:rPr>
              <w:t>需</w:t>
            </w:r>
            <w:r>
              <w:rPr>
                <w:rFonts w:hint="default" w:ascii="新宋体" w:hAnsi="新宋体" w:eastAsia="新宋体" w:cs="新宋体"/>
                <w:b/>
                <w:bCs/>
                <w:color w:val="auto"/>
                <w:sz w:val="22"/>
                <w:szCs w:val="22"/>
                <w:highlight w:val="none"/>
                <w:lang w:val="en-US" w:bidi="ar"/>
              </w:rPr>
              <w:t>提供系统功能截图等佐证材料加盖投标供应商公章</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w:t>
            </w:r>
          </w:p>
          <w:p w14:paraId="344AE77B">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功能选项包括：启用/停用规则、详情、立即执行、结果预览及删除等选项。</w:t>
            </w:r>
          </w:p>
          <w:p w14:paraId="2253D034">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rPr>
              <w:t xml:space="preserve">★ </w:t>
            </w:r>
            <w:r>
              <w:rPr>
                <w:rFonts w:hint="eastAsia" w:ascii="新宋体" w:hAnsi="新宋体" w:eastAsia="新宋体" w:cs="新宋体"/>
                <w:color w:val="auto"/>
                <w:kern w:val="0"/>
                <w:sz w:val="22"/>
                <w:szCs w:val="22"/>
                <w:highlight w:val="none"/>
                <w:lang w:bidi="ar"/>
              </w:rPr>
              <w:t>② 豁免品种设定：豁免品种设定是一个允许医院对特定品种药品、耗材不做预警的功能模块</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b/>
                <w:bCs/>
                <w:color w:val="auto"/>
                <w:sz w:val="22"/>
                <w:szCs w:val="22"/>
                <w:highlight w:val="none"/>
                <w:lang w:val="en-US" w:eastAsia="zh-CN" w:bidi="ar"/>
              </w:rPr>
              <w:t>需</w:t>
            </w:r>
            <w:r>
              <w:rPr>
                <w:rFonts w:hint="default" w:ascii="新宋体" w:hAnsi="新宋体" w:eastAsia="新宋体" w:cs="新宋体"/>
                <w:b/>
                <w:bCs/>
                <w:color w:val="auto"/>
                <w:sz w:val="22"/>
                <w:szCs w:val="22"/>
                <w:highlight w:val="none"/>
                <w:lang w:val="en-US" w:bidi="ar"/>
              </w:rPr>
              <w:t>提供系统功能截图等佐证材料加盖投标供应商公章</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w:t>
            </w:r>
          </w:p>
          <w:p w14:paraId="1515710E">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bidi="ar"/>
              </w:rPr>
              <w:t>功能包括：豁免设定和豁免取消等选项</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b/>
                <w:bCs/>
                <w:color w:val="auto"/>
                <w:sz w:val="22"/>
                <w:szCs w:val="22"/>
                <w:highlight w:val="none"/>
                <w:lang w:val="en-US" w:eastAsia="zh-CN" w:bidi="ar"/>
              </w:rPr>
              <w:t>需</w:t>
            </w:r>
            <w:r>
              <w:rPr>
                <w:rFonts w:hint="default" w:ascii="新宋体" w:hAnsi="新宋体" w:eastAsia="新宋体" w:cs="新宋体"/>
                <w:b/>
                <w:bCs/>
                <w:color w:val="auto"/>
                <w:sz w:val="22"/>
                <w:szCs w:val="22"/>
                <w:highlight w:val="none"/>
                <w:lang w:val="en-US" w:bidi="ar"/>
              </w:rPr>
              <w:t>提供系统功能截图等佐证材料加盖投标供应商公章</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w:t>
            </w:r>
          </w:p>
        </w:tc>
      </w:tr>
      <w:tr w14:paraId="55698DDD">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1D0B1F7">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80B13B1">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1DBAEF2E">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729B4836">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99698C8">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5B1A12E">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restart"/>
            <w:tcBorders>
              <w:top w:val="single" w:color="000000" w:sz="4" w:space="0"/>
              <w:left w:val="single" w:color="000000" w:sz="4" w:space="0"/>
              <w:bottom w:val="single" w:color="000000" w:sz="4" w:space="0"/>
              <w:right w:val="single" w:color="000000" w:sz="4" w:space="0"/>
            </w:tcBorders>
            <w:noWrap w:val="0"/>
            <w:vAlign w:val="top"/>
          </w:tcPr>
          <w:p w14:paraId="3E06380E">
            <w:pPr>
              <w:keepNext w:val="0"/>
              <w:keepLines w:val="0"/>
              <w:pageBreakBefore w:val="0"/>
              <w:widowControl/>
              <w:numPr>
                <w:ilvl w:val="0"/>
                <w:numId w:val="32"/>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院内预警推送:</w:t>
            </w:r>
          </w:p>
          <w:p w14:paraId="2DD96B19">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①提示类预警推送：（药事/耗材）专员根据不同模型的预警需求，在固定时间节点将模型的预警提示信息发送给当事医生、科主任、管理部门人员，起到加强监督管理的提示作用。该部分预警信息分级归为黄色预警。</w:t>
            </w:r>
          </w:p>
          <w:p w14:paraId="131AEB8D">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② 点评类预警推送：针对需要点评分析的预警记录进行推送。该部分预警信息分级归为黄色预警。</w:t>
            </w:r>
          </w:p>
        </w:tc>
      </w:tr>
      <w:tr w14:paraId="06CE9949">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6704BD4B">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F56B6C2">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7728AA46">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0F58F11A">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AD59721">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AF76BCF">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restart"/>
            <w:tcBorders>
              <w:top w:val="single" w:color="000000" w:sz="4" w:space="0"/>
              <w:left w:val="single" w:color="000000" w:sz="4" w:space="0"/>
              <w:bottom w:val="single" w:color="000000" w:sz="4" w:space="0"/>
              <w:right w:val="single" w:color="000000" w:sz="4" w:space="0"/>
            </w:tcBorders>
            <w:noWrap w:val="0"/>
            <w:vAlign w:val="top"/>
          </w:tcPr>
          <w:p w14:paraId="58BF3936">
            <w:pPr>
              <w:keepNext w:val="0"/>
              <w:keepLines w:val="0"/>
              <w:pageBreakBefore w:val="0"/>
              <w:widowControl/>
              <w:numPr>
                <w:ilvl w:val="0"/>
                <w:numId w:val="32"/>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预警推送审核:</w:t>
            </w:r>
          </w:p>
          <w:p w14:paraId="59755E80">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①提示类预警审批：（药事/耗材）专员先推送到科主任（药事/耗材委员会），科主任再推送。点同意或不同意：同意全推送，不同意，豁免（去掉豁免药物的勾选），写明理由后推送。</w:t>
            </w:r>
          </w:p>
          <w:p w14:paraId="3015E1DB">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②点评类预警审批：（药事/耗材）专员先推送到科主任（药事/耗材委员会），科主任再推送。点同意或不同意：同意全推送，不同意，豁免（去掉豁免药物的勾选），写明理由后推送。</w:t>
            </w:r>
          </w:p>
        </w:tc>
      </w:tr>
      <w:tr w14:paraId="375C2145">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61BB977E">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ED29378">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3ED99B5F">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189170E0">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091F2B">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DE71574">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3D4C3AF9">
            <w:pPr>
              <w:keepNext w:val="0"/>
              <w:keepLines w:val="0"/>
              <w:pageBreakBefore w:val="0"/>
              <w:widowControl/>
              <w:numPr>
                <w:ilvl w:val="0"/>
                <w:numId w:val="32"/>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分配点评任务:根据已审核的点评类预警品种进行任务分配工作，分配到点评师。预警推送后，加入处方点评小组，抽取处方病历号（门诊+住院），点评药师进入系统后点评（30份）。要求：有抽取处方的处方号原始记录。</w:t>
            </w:r>
          </w:p>
        </w:tc>
      </w:tr>
      <w:tr w14:paraId="537DC3FC">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366C2954">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5244BD7">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6E0AD246">
            <w:pPr>
              <w:keepNext w:val="0"/>
              <w:keepLines w:val="0"/>
              <w:pageBreakBefore w:val="0"/>
              <w:widowControl/>
              <w:numPr>
                <w:ilvl w:val="0"/>
                <w:numId w:val="32"/>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点评任务处理:点评师根据管理部门分配的药品或耗材点评任务进行系统点评，点评包括随机抽取30份病理进行点评，生成点评结果。点评药师进入点评列表，XXX年第X季度XX药点评清单 一级菜单:某个药下面的“医生列表”，二级菜单：科室、住院号/门诊号、患者姓名、年龄、诊断，点评结果字段”合理/不合理”，不合理添加“具体案例”。</w:t>
            </w:r>
          </w:p>
        </w:tc>
      </w:tr>
      <w:tr w14:paraId="588E07DB">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6AA58688">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5BA9937">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restart"/>
            <w:tcBorders>
              <w:top w:val="single" w:color="000000" w:sz="4" w:space="0"/>
              <w:left w:val="single" w:color="000000" w:sz="4" w:space="0"/>
              <w:bottom w:val="single" w:color="000000" w:sz="4" w:space="0"/>
              <w:right w:val="single" w:color="000000" w:sz="4" w:space="0"/>
            </w:tcBorders>
            <w:noWrap w:val="0"/>
            <w:vAlign w:val="top"/>
          </w:tcPr>
          <w:p w14:paraId="40EFCA1A">
            <w:pPr>
              <w:keepNext w:val="0"/>
              <w:keepLines w:val="0"/>
              <w:pageBreakBefore w:val="0"/>
              <w:widowControl/>
              <w:numPr>
                <w:ilvl w:val="0"/>
                <w:numId w:val="32"/>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预警结果:</w:t>
            </w:r>
          </w:p>
          <w:p w14:paraId="46A3EC8C">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①医生清单：按照选定的预警类型（提示/点评），选择查询时间段，按医生汇总，以列表形式显示各医生预警次数，按预警次数排序，选中医生后可显示该医生预警记录明细。</w:t>
            </w:r>
          </w:p>
          <w:p w14:paraId="618D974E">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②药品清单：按照选定的预警类型（提示/点评），选择查询时间段，按药品汇总，以列表形式显示各药品预警次数，按预警次数排序，可查看每个药品的用药趋势和医生排名情况。</w:t>
            </w:r>
          </w:p>
          <w:p w14:paraId="0A251811">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③通知消息记录：通知消息汇总列表展示根据管理部门审批后生成通知信息记录，包括：通知人员、通知内容、通知状态、通知时间。支持勾选通知列表可一键导出通知消息汇总列表，信息表字段包括：序号、医院名称、发送对象、通知方式、联系方式、通知时间、数据时间、通知内容、阅读状态。</w:t>
            </w:r>
          </w:p>
        </w:tc>
      </w:tr>
      <w:tr w14:paraId="1412438B">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174D21C">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2768B36">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2EE83A04">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7368DDDE">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3884C7A">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6D4F018">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431BA4DE">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65E9ECBE">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DFDF3F3">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1DD904">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508A9578">
            <w:pPr>
              <w:keepNext w:val="0"/>
              <w:keepLines w:val="0"/>
              <w:pageBreakBefore w:val="0"/>
              <w:widowControl/>
              <w:numPr>
                <w:ilvl w:val="0"/>
                <w:numId w:val="32"/>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形成点评报告:点评结束后系统自动生成电子报告数据，形成季度分析报告列表信息展示报告内容涉及：背景、数据方法、结果分析、结论、建议、措施。季度报告模板，将典型案例、具体数据直接嵌入到报告。在医务科还未最终确认报告时，制作分析报告人员生成报告后还可以针对报告进行修改调整。点击选择时间范围可生成季度统计报告，导出报告字段和列表相同。</w:t>
            </w:r>
          </w:p>
        </w:tc>
      </w:tr>
      <w:tr w14:paraId="78CFB407">
        <w:tblPrEx>
          <w:tblCellMar>
            <w:top w:w="0" w:type="dxa"/>
            <w:left w:w="108" w:type="dxa"/>
            <w:bottom w:w="0" w:type="dxa"/>
            <w:right w:w="108" w:type="dxa"/>
          </w:tblCellMar>
        </w:tblPrEx>
        <w:trPr>
          <w:trHeight w:val="20" w:hRule="atLeast"/>
        </w:trPr>
        <w:tc>
          <w:tcPr>
            <w:tcW w:w="237" w:type="pct"/>
            <w:vMerge w:val="restart"/>
            <w:tcBorders>
              <w:top w:val="single" w:color="000000" w:sz="4" w:space="0"/>
              <w:left w:val="single" w:color="000000" w:sz="4" w:space="0"/>
              <w:bottom w:val="single" w:color="000000" w:sz="4" w:space="0"/>
              <w:right w:val="single" w:color="000000" w:sz="4" w:space="0"/>
            </w:tcBorders>
            <w:noWrap w:val="0"/>
            <w:vAlign w:val="center"/>
          </w:tcPr>
          <w:p w14:paraId="063A782A">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5</w:t>
            </w:r>
          </w:p>
        </w:tc>
        <w:tc>
          <w:tcPr>
            <w:tcW w:w="572" w:type="pct"/>
            <w:vMerge w:val="restart"/>
            <w:tcBorders>
              <w:top w:val="single" w:color="000000" w:sz="4" w:space="0"/>
              <w:left w:val="single" w:color="000000" w:sz="4" w:space="0"/>
              <w:bottom w:val="single" w:color="000000" w:sz="4" w:space="0"/>
              <w:right w:val="single" w:color="000000" w:sz="4" w:space="0"/>
            </w:tcBorders>
            <w:noWrap w:val="0"/>
            <w:vAlign w:val="center"/>
          </w:tcPr>
          <w:p w14:paraId="357CEBF3">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开展约谈</w:t>
            </w:r>
            <w:r>
              <w:rPr>
                <w:rFonts w:hint="eastAsia" w:ascii="新宋体" w:hAnsi="新宋体" w:eastAsia="新宋体" w:cs="新宋体"/>
                <w:color w:val="auto"/>
                <w:kern w:val="0"/>
                <w:sz w:val="22"/>
                <w:szCs w:val="22"/>
                <w:highlight w:val="none"/>
                <w:lang w:bidi="ar"/>
              </w:rPr>
              <w:br w:type="textWrapping"/>
            </w:r>
            <w:r>
              <w:rPr>
                <w:rFonts w:hint="eastAsia" w:ascii="新宋体" w:hAnsi="新宋体" w:eastAsia="新宋体" w:cs="新宋体"/>
                <w:color w:val="auto"/>
                <w:kern w:val="0"/>
                <w:sz w:val="22"/>
                <w:szCs w:val="22"/>
                <w:highlight w:val="none"/>
                <w:lang w:bidi="ar"/>
              </w:rPr>
              <w:t>（小闭环）</w:t>
            </w: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68391C53">
            <w:pPr>
              <w:keepNext w:val="0"/>
              <w:keepLines w:val="0"/>
              <w:pageBreakBefore w:val="0"/>
              <w:widowControl/>
              <w:numPr>
                <w:ilvl w:val="0"/>
                <w:numId w:val="33"/>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确认点评报告:确认季度报告是指以季度为时间段，汇总季度内产生的所有约谈相关报告记录推送和汇总功能。特别注意的是医务科接收到电子报告后进行报告确认，在医务科还没确认报告前，电子报告信息还可以进行调整。包括确认季度报告、报告详情查看功能。</w:t>
            </w:r>
          </w:p>
        </w:tc>
      </w:tr>
      <w:tr w14:paraId="66CD9DDA">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ADC1324">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9AAE5BF">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192B0DB9">
            <w:pPr>
              <w:keepNext w:val="0"/>
              <w:keepLines w:val="0"/>
              <w:pageBreakBefore w:val="0"/>
              <w:widowControl/>
              <w:numPr>
                <w:ilvl w:val="0"/>
                <w:numId w:val="33"/>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生成约谈表格:根据点评不合理的医生系统自动生成约谈表格信息记录，把需要约谈的医生打印出约谈表格。约谈表格展示内容包括：谈话前问卷、谈话主要原因、谈话主要内容、谈话对象意见、谈话人意见等。约谈表格打印上传后约谈状态将更新。并支持一键导出约谈报告。</w:t>
            </w:r>
          </w:p>
        </w:tc>
      </w:tr>
      <w:tr w14:paraId="41D4E9B1">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61142E31">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A729578">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71E18434">
            <w:pPr>
              <w:keepNext w:val="0"/>
              <w:keepLines w:val="0"/>
              <w:pageBreakBefore w:val="0"/>
              <w:widowControl/>
              <w:numPr>
                <w:ilvl w:val="0"/>
                <w:numId w:val="33"/>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形成约谈记录:在约谈过程种，医生需要申诉需要产生申诉记录，包括申诉理由、申诉附件，提交于委里医政处进行复核。</w:t>
            </w:r>
          </w:p>
          <w:p w14:paraId="617998B9">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点击编辑整改措施并上传附件内容即可提交申诉申请，并形成记录。</w:t>
            </w:r>
          </w:p>
        </w:tc>
      </w:tr>
      <w:tr w14:paraId="3FA80600">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1F94B41">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1AFE087">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5E63C38C">
            <w:pPr>
              <w:keepNext w:val="0"/>
              <w:keepLines w:val="0"/>
              <w:pageBreakBefore w:val="0"/>
              <w:widowControl/>
              <w:numPr>
                <w:ilvl w:val="0"/>
                <w:numId w:val="33"/>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医生申诉记录:医生申诉记录功能是卫健管理部门查看医生申诉的记录，医生或相关需约谈人员也可在该功能节点下载电子申诉表，打印填写后在页面上传形成申诉记录。卫健委医政处接收各医院申诉记录后组织专家进行复核，复核后反馈平台申诉成功或申诉失败结果。</w:t>
            </w:r>
          </w:p>
        </w:tc>
      </w:tr>
      <w:tr w14:paraId="6BF5CD85">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581FC72">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85E299B">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7A5B9E30">
            <w:pPr>
              <w:keepNext w:val="0"/>
              <w:keepLines w:val="0"/>
              <w:pageBreakBefore w:val="0"/>
              <w:widowControl/>
              <w:numPr>
                <w:ilvl w:val="0"/>
                <w:numId w:val="33"/>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约谈汇总:对约谈记录进行汇总，可查看约谈内容，以及进行监管追溯的功能。</w:t>
            </w:r>
          </w:p>
        </w:tc>
      </w:tr>
      <w:tr w14:paraId="6BC691B3">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3348C602">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482F927">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restart"/>
            <w:tcBorders>
              <w:top w:val="single" w:color="000000" w:sz="4" w:space="0"/>
              <w:left w:val="single" w:color="000000" w:sz="4" w:space="0"/>
              <w:bottom w:val="single" w:color="000000" w:sz="4" w:space="0"/>
              <w:right w:val="single" w:color="000000" w:sz="4" w:space="0"/>
            </w:tcBorders>
            <w:noWrap w:val="0"/>
            <w:vAlign w:val="top"/>
          </w:tcPr>
          <w:p w14:paraId="0622CC5E">
            <w:pPr>
              <w:keepNext w:val="0"/>
              <w:keepLines w:val="0"/>
              <w:pageBreakBefore w:val="0"/>
              <w:widowControl/>
              <w:numPr>
                <w:ilvl w:val="0"/>
                <w:numId w:val="33"/>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行业监管处置（大闭环医院处置部分）:</w:t>
            </w:r>
          </w:p>
          <w:p w14:paraId="2E3C371B">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①干系人维护：药品/耗材供应商销售代表或法人信息维护。</w:t>
            </w:r>
          </w:p>
          <w:p w14:paraId="51091931">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②高频率预警处置（医务科）：医院医务科接收行业监管高频率预警反馈到医院后，处置功能节点。</w:t>
            </w:r>
          </w:p>
          <w:p w14:paraId="02648FCD">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③ 高偏离预警处置（监察室）：医院监察室接收行业监管高偏离预警反馈到医院后，处置功能节点。</w:t>
            </w:r>
          </w:p>
          <w:p w14:paraId="3E786861">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④高风险预警处置（院纪委）：医院纪委接收行业监管高偏离预警反馈到医院后，处置功能节点。</w:t>
            </w:r>
          </w:p>
          <w:p w14:paraId="2AB52C89">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⑤高风险预警处置（医务科）：医院医务科接收行业监管高偏离预警反馈到医院后，处置功能节点。</w:t>
            </w:r>
          </w:p>
        </w:tc>
      </w:tr>
      <w:tr w14:paraId="0061FAD5">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4EE8A0A">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5242B7A">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22F7D23E">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36AB4006">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83F1EA">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342ECF3">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448DF11A">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19237B1A">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E6C1ABC">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8D8B696">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416843E5">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38C24B64">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66763AE1">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8C67B14">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492BAD74">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7331FFC8">
        <w:tblPrEx>
          <w:tblCellMar>
            <w:top w:w="0" w:type="dxa"/>
            <w:left w:w="108" w:type="dxa"/>
            <w:bottom w:w="0" w:type="dxa"/>
            <w:right w:w="108" w:type="dxa"/>
          </w:tblCellMar>
        </w:tblPrEx>
        <w:trPr>
          <w:trHeight w:val="272" w:hRule="atLeast"/>
        </w:trPr>
        <w:tc>
          <w:tcPr>
            <w:tcW w:w="237" w:type="pct"/>
            <w:vMerge w:val="restart"/>
            <w:tcBorders>
              <w:top w:val="single" w:color="000000" w:sz="4" w:space="0"/>
              <w:left w:val="single" w:color="000000" w:sz="4" w:space="0"/>
              <w:bottom w:val="single" w:color="000000" w:sz="4" w:space="0"/>
              <w:right w:val="single" w:color="000000" w:sz="4" w:space="0"/>
            </w:tcBorders>
            <w:noWrap w:val="0"/>
            <w:vAlign w:val="center"/>
          </w:tcPr>
          <w:p w14:paraId="38F43D56">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6</w:t>
            </w:r>
          </w:p>
        </w:tc>
        <w:tc>
          <w:tcPr>
            <w:tcW w:w="572" w:type="pct"/>
            <w:vMerge w:val="restart"/>
            <w:tcBorders>
              <w:top w:val="single" w:color="000000" w:sz="4" w:space="0"/>
              <w:left w:val="single" w:color="000000" w:sz="4" w:space="0"/>
              <w:bottom w:val="single" w:color="000000" w:sz="4" w:space="0"/>
              <w:right w:val="single" w:color="000000" w:sz="4" w:space="0"/>
            </w:tcBorders>
            <w:noWrap w:val="0"/>
            <w:vAlign w:val="center"/>
          </w:tcPr>
          <w:p w14:paraId="3BDDA272">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行业监管</w:t>
            </w:r>
            <w:r>
              <w:rPr>
                <w:rFonts w:hint="eastAsia" w:ascii="新宋体" w:hAnsi="新宋体" w:eastAsia="新宋体" w:cs="新宋体"/>
                <w:color w:val="auto"/>
                <w:kern w:val="0"/>
                <w:sz w:val="22"/>
                <w:szCs w:val="22"/>
                <w:highlight w:val="none"/>
                <w:lang w:bidi="ar"/>
              </w:rPr>
              <w:br w:type="textWrapping"/>
            </w:r>
            <w:r>
              <w:rPr>
                <w:rFonts w:hint="eastAsia" w:ascii="新宋体" w:hAnsi="新宋体" w:eastAsia="新宋体" w:cs="新宋体"/>
                <w:color w:val="auto"/>
                <w:kern w:val="0"/>
                <w:sz w:val="22"/>
                <w:szCs w:val="22"/>
                <w:highlight w:val="none"/>
                <w:lang w:bidi="ar"/>
              </w:rPr>
              <w:t>（大闭环）</w:t>
            </w:r>
          </w:p>
        </w:tc>
        <w:tc>
          <w:tcPr>
            <w:tcW w:w="4190" w:type="pct"/>
            <w:vMerge w:val="restart"/>
            <w:tcBorders>
              <w:top w:val="single" w:color="000000" w:sz="4" w:space="0"/>
              <w:left w:val="single" w:color="000000" w:sz="4" w:space="0"/>
              <w:bottom w:val="single" w:color="000000" w:sz="4" w:space="0"/>
              <w:right w:val="single" w:color="000000" w:sz="4" w:space="0"/>
            </w:tcBorders>
            <w:noWrap w:val="0"/>
            <w:vAlign w:val="top"/>
          </w:tcPr>
          <w:p w14:paraId="2E8C2473">
            <w:pPr>
              <w:keepNext w:val="0"/>
              <w:keepLines w:val="0"/>
              <w:pageBreakBefore w:val="0"/>
              <w:widowControl/>
              <w:numPr>
                <w:ilvl w:val="0"/>
                <w:numId w:val="34"/>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高频率预警管理:</w:t>
            </w:r>
          </w:p>
          <w:p w14:paraId="76BC4523">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①专家信息库维护：跨院点评专家库新增和维护功能。</w:t>
            </w:r>
          </w:p>
          <w:p w14:paraId="547F626C">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②高频率预警确认：高频率预警确认。</w:t>
            </w:r>
          </w:p>
          <w:p w14:paraId="352C288C">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③高频率预警处理：选中高频率预警记录进行处理后，平台自动根据规则对这条高频率预警，自动匹配跨院专家，分配跨院点评任务。</w:t>
            </w:r>
          </w:p>
          <w:p w14:paraId="162C87DF">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④专家跨院点评：专家接收到跨院点评任务，完成线上跨院点评任务。</w:t>
            </w:r>
          </w:p>
          <w:p w14:paraId="1E7BFBF7">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⑤医院处置结果确认：医院医务科针对本院高频率预警跨院点评结果，进行相应的后续处置。</w:t>
            </w:r>
          </w:p>
        </w:tc>
      </w:tr>
      <w:tr w14:paraId="65BF2BBF">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BD5B8B8">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77D3E070">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5116E17A">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40E3F07F">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BB6BEDB">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0B3C959">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0D377037">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145CB830">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769F64F0">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55BB1C8">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0B50E840">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23F093F9">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C5F5890">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CCEBAB6">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6805C6F8">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0C919F6B">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A0B7454">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4276908">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restart"/>
            <w:tcBorders>
              <w:top w:val="single" w:color="000000" w:sz="4" w:space="0"/>
              <w:left w:val="single" w:color="000000" w:sz="4" w:space="0"/>
              <w:bottom w:val="single" w:color="000000" w:sz="4" w:space="0"/>
              <w:right w:val="single" w:color="000000" w:sz="4" w:space="0"/>
            </w:tcBorders>
            <w:noWrap w:val="0"/>
            <w:vAlign w:val="top"/>
          </w:tcPr>
          <w:p w14:paraId="2051AFA4">
            <w:pPr>
              <w:keepNext w:val="0"/>
              <w:keepLines w:val="0"/>
              <w:pageBreakBefore w:val="0"/>
              <w:widowControl/>
              <w:numPr>
                <w:ilvl w:val="0"/>
                <w:numId w:val="34"/>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高偏离预警管理</w:t>
            </w:r>
            <w:r>
              <w:rPr>
                <w:rFonts w:hint="eastAsia" w:ascii="新宋体" w:hAnsi="新宋体" w:eastAsia="新宋体" w:cs="新宋体"/>
                <w:color w:val="auto"/>
                <w:kern w:val="0"/>
                <w:sz w:val="22"/>
                <w:szCs w:val="22"/>
                <w:highlight w:val="none"/>
                <w:lang w:bidi="ar"/>
              </w:rPr>
              <w:t>:</w:t>
            </w:r>
          </w:p>
          <w:p w14:paraId="1D33166F">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①高偏离预警处理：高偏离预警处置功能节点。</w:t>
            </w:r>
          </w:p>
          <w:p w14:paraId="4FF0F1A5">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②组织人事处处置：组织人事处针对高偏离预警处置。</w:t>
            </w:r>
          </w:p>
          <w:p w14:paraId="2AFC03E9">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③医药医政处处置：针对高偏离预警进行查实。</w:t>
            </w:r>
          </w:p>
          <w:p w14:paraId="6D9D9E21">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④机关党委处置：机关党委针对高偏离预警处置。</w:t>
            </w:r>
          </w:p>
        </w:tc>
      </w:tr>
      <w:tr w14:paraId="2BE2E922">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D91BBC8">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73FF9E7">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000254E9">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179F0F1D">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755566">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BD7E60F">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394F3FE7">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17C39906">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2A9FEAC">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4453F6E">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3A4584C2">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0E75BFA6">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22FFAFBB">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1AE4A56">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restart"/>
            <w:tcBorders>
              <w:top w:val="single" w:color="000000" w:sz="4" w:space="0"/>
              <w:left w:val="single" w:color="000000" w:sz="4" w:space="0"/>
              <w:bottom w:val="single" w:color="000000" w:sz="4" w:space="0"/>
              <w:right w:val="single" w:color="000000" w:sz="4" w:space="0"/>
            </w:tcBorders>
            <w:noWrap w:val="0"/>
            <w:vAlign w:val="top"/>
          </w:tcPr>
          <w:p w14:paraId="62360FE4">
            <w:pPr>
              <w:keepNext w:val="0"/>
              <w:keepLines w:val="0"/>
              <w:pageBreakBefore w:val="0"/>
              <w:widowControl/>
              <w:numPr>
                <w:ilvl w:val="0"/>
                <w:numId w:val="34"/>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高风险预警管理</w:t>
            </w:r>
            <w:r>
              <w:rPr>
                <w:rFonts w:hint="eastAsia" w:ascii="新宋体" w:hAnsi="新宋体" w:eastAsia="新宋体" w:cs="新宋体"/>
                <w:color w:val="auto"/>
                <w:kern w:val="0"/>
                <w:sz w:val="22"/>
                <w:szCs w:val="22"/>
                <w:highlight w:val="none"/>
                <w:lang w:bidi="ar"/>
              </w:rPr>
              <w:t>:</w:t>
            </w:r>
          </w:p>
          <w:p w14:paraId="46DDB6DC">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①高风险预警处理：高风险预警处理，默认显示未处置的，通过将高频率预警记录对应供应商相关人员与干系人库进行碰撞，如碰撞成功，则产生高风险预警。</w:t>
            </w:r>
          </w:p>
          <w:p w14:paraId="05B92777">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②机关党委处置：根据高风险预警所对应人员政治面貌和行政职级进行对应处置。</w:t>
            </w:r>
          </w:p>
          <w:p w14:paraId="57781A59">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③组织人事处处置：根据高风险预警所对应人员政治面貌和行政职级进行对应处置。</w:t>
            </w:r>
          </w:p>
          <w:p w14:paraId="5E4D811B">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④驻委纪检监察组：根据高风险预警所对应人员政治面貌和行政职级进行对应处置。</w:t>
            </w:r>
          </w:p>
        </w:tc>
      </w:tr>
      <w:tr w14:paraId="445A9D97">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4B0A413">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7400B77A">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56E30896">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51A65877">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CE6EEF">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31C90C3">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2BE7D32D">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26DB9847">
        <w:tblPrEx>
          <w:tblCellMar>
            <w:top w:w="0" w:type="dxa"/>
            <w:left w:w="108" w:type="dxa"/>
            <w:bottom w:w="0" w:type="dxa"/>
            <w:right w:w="108" w:type="dxa"/>
          </w:tblCellMar>
        </w:tblPrEx>
        <w:trPr>
          <w:trHeight w:val="272"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EC54A5E">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EFE0C06">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vMerge w:val="continue"/>
            <w:tcBorders>
              <w:top w:val="single" w:color="000000" w:sz="4" w:space="0"/>
              <w:left w:val="single" w:color="000000" w:sz="4" w:space="0"/>
              <w:bottom w:val="single" w:color="000000" w:sz="4" w:space="0"/>
              <w:right w:val="single" w:color="000000" w:sz="4" w:space="0"/>
            </w:tcBorders>
            <w:noWrap w:val="0"/>
            <w:vAlign w:val="top"/>
          </w:tcPr>
          <w:p w14:paraId="430075D5">
            <w:pPr>
              <w:keepNext w:val="0"/>
              <w:keepLines w:val="0"/>
              <w:pageBreakBefore w:val="0"/>
              <w:kinsoku/>
              <w:wordWrap/>
              <w:overflowPunct/>
              <w:topLinePunct w:val="0"/>
              <w:autoSpaceDE/>
              <w:autoSpaceDN/>
              <w:bidi w:val="0"/>
              <w:snapToGrid w:val="0"/>
              <w:spacing w:line="360" w:lineRule="auto"/>
              <w:rPr>
                <w:rFonts w:hint="eastAsia" w:ascii="新宋体" w:hAnsi="新宋体" w:eastAsia="新宋体" w:cs="新宋体"/>
                <w:color w:val="auto"/>
                <w:sz w:val="22"/>
                <w:szCs w:val="22"/>
                <w:highlight w:val="none"/>
              </w:rPr>
            </w:pPr>
          </w:p>
        </w:tc>
      </w:tr>
      <w:tr w14:paraId="7742A3BC">
        <w:tblPrEx>
          <w:tblCellMar>
            <w:top w:w="0" w:type="dxa"/>
            <w:left w:w="108" w:type="dxa"/>
            <w:bottom w:w="0" w:type="dxa"/>
            <w:right w:w="108" w:type="dxa"/>
          </w:tblCellMar>
        </w:tblPrEx>
        <w:trPr>
          <w:trHeight w:val="20" w:hRule="atLeast"/>
        </w:trPr>
        <w:tc>
          <w:tcPr>
            <w:tcW w:w="237" w:type="pct"/>
            <w:vMerge w:val="restart"/>
            <w:tcBorders>
              <w:top w:val="single" w:color="000000" w:sz="4" w:space="0"/>
              <w:left w:val="single" w:color="000000" w:sz="4" w:space="0"/>
              <w:bottom w:val="single" w:color="000000" w:sz="4" w:space="0"/>
              <w:right w:val="single" w:color="000000" w:sz="4" w:space="0"/>
            </w:tcBorders>
            <w:noWrap w:val="0"/>
            <w:vAlign w:val="center"/>
          </w:tcPr>
          <w:p w14:paraId="1291A884">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7</w:t>
            </w:r>
          </w:p>
        </w:tc>
        <w:tc>
          <w:tcPr>
            <w:tcW w:w="572" w:type="pct"/>
            <w:vMerge w:val="restart"/>
            <w:tcBorders>
              <w:top w:val="single" w:color="000000" w:sz="4" w:space="0"/>
              <w:left w:val="single" w:color="000000" w:sz="4" w:space="0"/>
              <w:bottom w:val="single" w:color="000000" w:sz="4" w:space="0"/>
              <w:right w:val="single" w:color="000000" w:sz="4" w:space="0"/>
            </w:tcBorders>
            <w:noWrap w:val="0"/>
            <w:vAlign w:val="center"/>
          </w:tcPr>
          <w:p w14:paraId="28A51EDC">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数据分析</w:t>
            </w:r>
            <w:r>
              <w:rPr>
                <w:rFonts w:hint="eastAsia" w:ascii="新宋体" w:hAnsi="新宋体" w:eastAsia="新宋体" w:cs="新宋体"/>
                <w:color w:val="auto"/>
                <w:kern w:val="0"/>
                <w:sz w:val="22"/>
                <w:szCs w:val="22"/>
                <w:highlight w:val="none"/>
                <w:lang w:bidi="ar"/>
              </w:rPr>
              <w:br w:type="textWrapping"/>
            </w:r>
            <w:r>
              <w:rPr>
                <w:rFonts w:hint="eastAsia" w:ascii="新宋体" w:hAnsi="新宋体" w:eastAsia="新宋体" w:cs="新宋体"/>
                <w:color w:val="auto"/>
                <w:kern w:val="0"/>
                <w:sz w:val="22"/>
                <w:szCs w:val="22"/>
                <w:highlight w:val="none"/>
                <w:lang w:bidi="ar"/>
              </w:rPr>
              <w:t>（耗材）</w:t>
            </w: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039F4DC0">
            <w:pPr>
              <w:keepNext w:val="0"/>
              <w:keepLines w:val="0"/>
              <w:pageBreakBefore w:val="0"/>
              <w:widowControl/>
              <w:numPr>
                <w:ilvl w:val="0"/>
                <w:numId w:val="35"/>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数据分析总览:显示选定医院与耗材相关部分指标，如总额、环比、同比、住院人数、人均收费金额，排名前10耗材总金额、同比、环比，排名前20明细，重点监管耗材排名前10等。</w:t>
            </w:r>
          </w:p>
        </w:tc>
      </w:tr>
      <w:tr w14:paraId="26B4AACD">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059DBA8">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14CF288">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62C85A0B">
            <w:pPr>
              <w:keepNext w:val="0"/>
              <w:keepLines w:val="0"/>
              <w:pageBreakBefore w:val="0"/>
              <w:widowControl/>
              <w:numPr>
                <w:ilvl w:val="0"/>
                <w:numId w:val="35"/>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材料排名分析:材料用量排名可选择地区内不同医院进行对比，可按物资名称、物资规格、时间区间和卫生材料分类进行细分对比。</w:t>
            </w:r>
          </w:p>
        </w:tc>
      </w:tr>
      <w:tr w14:paraId="3AD05C2B">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6625C7C">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565350E">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3BB53382">
            <w:pPr>
              <w:keepNext w:val="0"/>
              <w:keepLines w:val="0"/>
              <w:pageBreakBefore w:val="0"/>
              <w:widowControl/>
              <w:numPr>
                <w:ilvl w:val="0"/>
                <w:numId w:val="35"/>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物资分类分析:物资分类分析可选择地区内不同医院进行对比，可按物资名称、物资规格、时间区间和卫生材料分类进行细分对比。</w:t>
            </w:r>
          </w:p>
        </w:tc>
      </w:tr>
      <w:tr w14:paraId="2E39B4DC">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7B1EAB">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34383D9">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4EC9E7DC">
            <w:pPr>
              <w:keepNext w:val="0"/>
              <w:keepLines w:val="0"/>
              <w:pageBreakBefore w:val="0"/>
              <w:widowControl/>
              <w:numPr>
                <w:ilvl w:val="0"/>
                <w:numId w:val="35"/>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手术数据分析:手术数据分析功能可选择地区不同医院进行对比，可按手术名称、时间区间进行细分对比，手术合并分析对比功能可显示对比手术名称、平台金额中位数、平台人均手术金额中位数、各对比医院手术费用中位数及增长情况占比、各对比医院人均费用情况及增长情况占比、各对比医院人均费用对市卫健委中位数超额情况及增长占比、各对比医院病人数量、各对比医院总金额统计等。手术数据医生分析对比功能可查看所对比医院手术医生统计和本院人均费用增长情况，支持选取手术和医生对其进行预警和监管。</w:t>
            </w:r>
          </w:p>
        </w:tc>
      </w:tr>
      <w:tr w14:paraId="78F74857">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512E40D">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90BBE64">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45AEDE47">
            <w:pPr>
              <w:keepNext w:val="0"/>
              <w:keepLines w:val="0"/>
              <w:pageBreakBefore w:val="0"/>
              <w:widowControl/>
              <w:numPr>
                <w:ilvl w:val="0"/>
                <w:numId w:val="35"/>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高倍率分析:用于选定时间段，分析高倍率病人亏损情况。</w:t>
            </w:r>
          </w:p>
        </w:tc>
      </w:tr>
      <w:tr w14:paraId="07994DF1">
        <w:tblPrEx>
          <w:tblCellMar>
            <w:top w:w="0" w:type="dxa"/>
            <w:left w:w="108" w:type="dxa"/>
            <w:bottom w:w="0" w:type="dxa"/>
            <w:right w:w="108" w:type="dxa"/>
          </w:tblCellMar>
        </w:tblPrEx>
        <w:trPr>
          <w:trHeight w:val="20" w:hRule="atLeast"/>
        </w:trPr>
        <w:tc>
          <w:tcPr>
            <w:tcW w:w="237" w:type="pct"/>
            <w:vMerge w:val="restart"/>
            <w:tcBorders>
              <w:top w:val="single" w:color="000000" w:sz="4" w:space="0"/>
              <w:left w:val="single" w:color="000000" w:sz="4" w:space="0"/>
              <w:bottom w:val="single" w:color="000000" w:sz="4" w:space="0"/>
              <w:right w:val="single" w:color="000000" w:sz="4" w:space="0"/>
            </w:tcBorders>
            <w:noWrap w:val="0"/>
            <w:vAlign w:val="center"/>
          </w:tcPr>
          <w:p w14:paraId="1D6B0AB5">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8</w:t>
            </w:r>
          </w:p>
        </w:tc>
        <w:tc>
          <w:tcPr>
            <w:tcW w:w="572" w:type="pct"/>
            <w:vMerge w:val="restart"/>
            <w:tcBorders>
              <w:top w:val="single" w:color="000000" w:sz="4" w:space="0"/>
              <w:left w:val="single" w:color="000000" w:sz="4" w:space="0"/>
              <w:bottom w:val="single" w:color="000000" w:sz="4" w:space="0"/>
              <w:right w:val="single" w:color="000000" w:sz="4" w:space="0"/>
            </w:tcBorders>
            <w:noWrap w:val="0"/>
            <w:vAlign w:val="center"/>
          </w:tcPr>
          <w:p w14:paraId="2E7C7B85">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基础信息库</w:t>
            </w: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19986354">
            <w:pPr>
              <w:keepNext w:val="0"/>
              <w:keepLines w:val="0"/>
              <w:pageBreakBefore w:val="0"/>
              <w:widowControl/>
              <w:numPr>
                <w:ilvl w:val="0"/>
                <w:numId w:val="36"/>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辅助耗材对比:辅助耗材对比功能可选择地区内不同医院进行对比，可按需对比科室、时间区间进行细分对比，可查看对比科室医生用量、查看供应商列表及图标详细信息。</w:t>
            </w:r>
          </w:p>
        </w:tc>
      </w:tr>
      <w:tr w14:paraId="39D0D0BA">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5357CB">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4EA2D50">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0A2984A8">
            <w:pPr>
              <w:keepNext w:val="0"/>
              <w:keepLines w:val="0"/>
              <w:pageBreakBefore w:val="0"/>
              <w:widowControl/>
              <w:numPr>
                <w:ilvl w:val="0"/>
                <w:numId w:val="36"/>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医院耗材字典:实现对医疗机构耗材字典进行添加、导入及编辑，支持一键停用和启用。</w:t>
            </w:r>
          </w:p>
        </w:tc>
      </w:tr>
      <w:tr w14:paraId="1DF3A3CB">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737653A2">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DDDE5A2">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161031B1">
            <w:pPr>
              <w:keepNext w:val="0"/>
              <w:keepLines w:val="0"/>
              <w:pageBreakBefore w:val="0"/>
              <w:widowControl/>
              <w:numPr>
                <w:ilvl w:val="0"/>
                <w:numId w:val="36"/>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耗材分类维护:平台物资字典分类名称维护，按照浙江省两定平台目录分类来定。</w:t>
            </w:r>
          </w:p>
        </w:tc>
      </w:tr>
      <w:tr w14:paraId="3CAAEF6F">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7EBE717C">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05DC559">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44F22B16">
            <w:pPr>
              <w:keepNext w:val="0"/>
              <w:keepLines w:val="0"/>
              <w:pageBreakBefore w:val="0"/>
              <w:widowControl/>
              <w:numPr>
                <w:ilvl w:val="0"/>
                <w:numId w:val="36"/>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耗材招标分类:平台采购目录分为集中采购、带量采购、自行采购等等。包含新增分类、编辑等功能。</w:t>
            </w:r>
          </w:p>
        </w:tc>
      </w:tr>
      <w:tr w14:paraId="4F20F553">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B520181">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39C208C">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01D35FD6">
            <w:pPr>
              <w:keepNext w:val="0"/>
              <w:keepLines w:val="0"/>
              <w:pageBreakBefore w:val="0"/>
              <w:widowControl/>
              <w:numPr>
                <w:ilvl w:val="0"/>
                <w:numId w:val="36"/>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耗材挂网目录</w:t>
            </w:r>
            <w:r>
              <w:rPr>
                <w:rFonts w:hint="eastAsia" w:ascii="新宋体" w:hAnsi="新宋体" w:eastAsia="新宋体" w:cs="新宋体"/>
                <w:color w:val="auto"/>
                <w:kern w:val="0"/>
                <w:sz w:val="22"/>
                <w:szCs w:val="22"/>
                <w:highlight w:val="none"/>
                <w:lang w:bidi="ar"/>
              </w:rPr>
              <w:t>:根据与浙江省两定平台接口对接获取新增、更新浙江省挂网平台所有目录。</w:t>
            </w:r>
          </w:p>
        </w:tc>
      </w:tr>
      <w:tr w14:paraId="5EF0C12D">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2AD3C52">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67204CB">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4C55AB3F">
            <w:pPr>
              <w:keepNext w:val="0"/>
              <w:keepLines w:val="0"/>
              <w:pageBreakBefore w:val="0"/>
              <w:widowControl/>
              <w:numPr>
                <w:ilvl w:val="0"/>
                <w:numId w:val="36"/>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药品分类维护:药品分类维护，包含添加、编辑、删除等功能。</w:t>
            </w:r>
          </w:p>
        </w:tc>
      </w:tr>
      <w:tr w14:paraId="756C2BA0">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687ADF7F">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3319E3A">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750A47ED">
            <w:pPr>
              <w:keepNext w:val="0"/>
              <w:keepLines w:val="0"/>
              <w:pageBreakBefore w:val="0"/>
              <w:widowControl/>
              <w:numPr>
                <w:ilvl w:val="0"/>
                <w:numId w:val="36"/>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药品招标分类:药品招标分类维护，包含新增分类、编辑、删除等功能。</w:t>
            </w:r>
          </w:p>
        </w:tc>
      </w:tr>
      <w:tr w14:paraId="63276361">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12DECB">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496B116">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5AFBE06D">
            <w:pPr>
              <w:keepNext w:val="0"/>
              <w:keepLines w:val="0"/>
              <w:pageBreakBefore w:val="0"/>
              <w:widowControl/>
              <w:numPr>
                <w:ilvl w:val="0"/>
                <w:numId w:val="36"/>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药品挂网目类:药品挂网目类维护，包含新增、同步招采平台、设定重点监管等功能。</w:t>
            </w:r>
          </w:p>
        </w:tc>
      </w:tr>
      <w:tr w14:paraId="670C0B4C">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584A904">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5B71726">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0E91D596">
            <w:pPr>
              <w:keepNext w:val="0"/>
              <w:keepLines w:val="0"/>
              <w:pageBreakBefore w:val="0"/>
              <w:widowControl/>
              <w:numPr>
                <w:ilvl w:val="0"/>
                <w:numId w:val="36"/>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平台机构目录:平台机构目录是指与浙江省两定平台对接后获取浙江省两定平台所有配送商目录信息，也可以手动添加供应商信息。包含新增机构、同步招采平台、编辑/删除的功能。</w:t>
            </w:r>
          </w:p>
        </w:tc>
      </w:tr>
      <w:tr w14:paraId="2B5160CA">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CADC953">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4BDC757">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33708113">
            <w:pPr>
              <w:keepNext w:val="0"/>
              <w:keepLines w:val="0"/>
              <w:pageBreakBefore w:val="0"/>
              <w:widowControl/>
              <w:numPr>
                <w:ilvl w:val="0"/>
                <w:numId w:val="36"/>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医疗机构目录:医疗机构目录信息包括：序号、医疗机构代码、医疗机构名称、上级医疗机构代码。可添加或维护医疗机构所需填写信息，信息包括：上级医疗机构代码、医疗机构代码、医疗机构名称、接口公钥、接口密钥、两定耗材码、两定耗材授权码、两定药品码、两定药品授权码、两定医保密钥、预警联系方式、所在地、备注信息的字段。</w:t>
            </w:r>
          </w:p>
        </w:tc>
      </w:tr>
      <w:tr w14:paraId="7A5B4396">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686A54EE">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C7F5590">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182D33D2">
            <w:pPr>
              <w:keepNext w:val="0"/>
              <w:keepLines w:val="0"/>
              <w:pageBreakBefore w:val="0"/>
              <w:widowControl/>
              <w:numPr>
                <w:ilvl w:val="0"/>
                <w:numId w:val="36"/>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ICD-9手术分类:ICD-9手术分类功能是指通过与手术分类库对接获取最新最全的手术代码、手术名称信息，支持手动添加手术分类。</w:t>
            </w:r>
          </w:p>
        </w:tc>
      </w:tr>
      <w:tr w14:paraId="030A1E0B">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621A26DB">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2433EEA5">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705D4C99">
            <w:pPr>
              <w:keepNext w:val="0"/>
              <w:keepLines w:val="0"/>
              <w:pageBreakBefore w:val="0"/>
              <w:widowControl/>
              <w:numPr>
                <w:ilvl w:val="0"/>
                <w:numId w:val="36"/>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ICD-10疾病分类:ICD-10疾病分类功能是指通过与疾病分类库对接获取最新最全的疾病名称信息，支持手动添加疾病分类。</w:t>
            </w:r>
          </w:p>
        </w:tc>
      </w:tr>
      <w:tr w14:paraId="45C982BC">
        <w:tblPrEx>
          <w:tblCellMar>
            <w:top w:w="0" w:type="dxa"/>
            <w:left w:w="108" w:type="dxa"/>
            <w:bottom w:w="0" w:type="dxa"/>
            <w:right w:w="108" w:type="dxa"/>
          </w:tblCellMar>
        </w:tblPrEx>
        <w:trPr>
          <w:trHeight w:val="20" w:hRule="atLeast"/>
        </w:trPr>
        <w:tc>
          <w:tcPr>
            <w:tcW w:w="23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2A635A8">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D8CB720">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3D914B80">
            <w:pPr>
              <w:keepNext w:val="0"/>
              <w:keepLines w:val="0"/>
              <w:pageBreakBefore w:val="0"/>
              <w:widowControl/>
              <w:numPr>
                <w:ilvl w:val="0"/>
                <w:numId w:val="36"/>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医保医用耗材分类库:</w:t>
            </w:r>
          </w:p>
          <w:p w14:paraId="001E56CA">
            <w:pPr>
              <w:keepNext w:val="0"/>
              <w:keepLines w:val="0"/>
              <w:pageBreakBefore w:val="0"/>
              <w:widowControl/>
              <w:kinsoku/>
              <w:wordWrap/>
              <w:overflowPunct/>
              <w:topLinePunct w:val="0"/>
              <w:autoSpaceDE/>
              <w:autoSpaceDN/>
              <w:bidi w:val="0"/>
              <w:snapToGrid w:val="0"/>
              <w:spacing w:line="360" w:lineRule="auto"/>
              <w:textAlignment w:val="top"/>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医保医用耗材分类库功能是指对接医保平台获取国家医保医用耗材平台目录分类进行维护管理。</w:t>
            </w:r>
          </w:p>
          <w:p w14:paraId="241F9F7A">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医保医用耗材分类库列表信息包括：序号、国家耗材分类码、一级(学科、品类)、二级(用途、品目)、三级(部位、功能、品种)、医保通用名、材质、规格、生产企业的字段。包含新增医保分类、编辑、删除、导出等功能。</w:t>
            </w:r>
          </w:p>
        </w:tc>
      </w:tr>
      <w:tr w14:paraId="7548CE8B">
        <w:tblPrEx>
          <w:tblCellMar>
            <w:top w:w="0" w:type="dxa"/>
            <w:left w:w="108" w:type="dxa"/>
            <w:bottom w:w="0" w:type="dxa"/>
            <w:right w:w="108" w:type="dxa"/>
          </w:tblCellMar>
        </w:tblPrEx>
        <w:trPr>
          <w:trHeight w:val="20" w:hRule="atLeast"/>
        </w:trPr>
        <w:tc>
          <w:tcPr>
            <w:tcW w:w="237" w:type="pct"/>
            <w:vMerge w:val="restart"/>
            <w:tcBorders>
              <w:top w:val="single" w:color="000000" w:sz="4" w:space="0"/>
              <w:left w:val="single" w:color="000000" w:sz="4" w:space="0"/>
              <w:right w:val="single" w:color="000000" w:sz="4" w:space="0"/>
            </w:tcBorders>
            <w:noWrap w:val="0"/>
            <w:vAlign w:val="center"/>
          </w:tcPr>
          <w:p w14:paraId="0111E196">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9</w:t>
            </w:r>
          </w:p>
        </w:tc>
        <w:tc>
          <w:tcPr>
            <w:tcW w:w="572" w:type="pct"/>
            <w:vMerge w:val="restart"/>
            <w:tcBorders>
              <w:top w:val="single" w:color="000000" w:sz="4" w:space="0"/>
              <w:left w:val="single" w:color="000000" w:sz="4" w:space="0"/>
              <w:right w:val="single" w:color="000000" w:sz="4" w:space="0"/>
            </w:tcBorders>
            <w:noWrap w:val="0"/>
            <w:vAlign w:val="center"/>
          </w:tcPr>
          <w:p w14:paraId="7295C90E">
            <w:pPr>
              <w:keepNext w:val="0"/>
              <w:keepLines w:val="0"/>
              <w:pageBreakBefore w:val="0"/>
              <w:widowControl/>
              <w:kinsoku/>
              <w:wordWrap/>
              <w:overflowPunct/>
              <w:topLinePunct w:val="0"/>
              <w:autoSpaceDE/>
              <w:autoSpaceDN/>
              <w:bidi w:val="0"/>
              <w:snapToGrid w:val="0"/>
              <w:spacing w:line="360" w:lineRule="auto"/>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数据归集</w:t>
            </w: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40AD69BE">
            <w:pPr>
              <w:keepNext w:val="0"/>
              <w:keepLines w:val="0"/>
              <w:pageBreakBefore w:val="0"/>
              <w:widowControl/>
              <w:numPr>
                <w:ilvl w:val="0"/>
                <w:numId w:val="37"/>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重点耗材监管分类库:</w:t>
            </w:r>
          </w:p>
          <w:p w14:paraId="47687E19">
            <w:pPr>
              <w:keepNext w:val="0"/>
              <w:keepLines w:val="0"/>
              <w:pageBreakBefore w:val="0"/>
              <w:widowControl/>
              <w:kinsoku/>
              <w:wordWrap/>
              <w:overflowPunct/>
              <w:topLinePunct w:val="0"/>
              <w:autoSpaceDE/>
              <w:autoSpaceDN/>
              <w:bidi w:val="0"/>
              <w:snapToGrid w:val="0"/>
              <w:spacing w:line="360" w:lineRule="auto"/>
              <w:textAlignment w:val="top"/>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重点耗材监管分类库是指在系统维护浙江省18大类耗材库代码信息。</w:t>
            </w:r>
          </w:p>
          <w:p w14:paraId="2407189A">
            <w:pPr>
              <w:keepNext w:val="0"/>
              <w:keepLines w:val="0"/>
              <w:pageBreakBefore w:val="0"/>
              <w:widowControl/>
              <w:kinsoku/>
              <w:wordWrap/>
              <w:overflowPunct/>
              <w:topLinePunct w:val="0"/>
              <w:autoSpaceDE/>
              <w:autoSpaceDN/>
              <w:bidi w:val="0"/>
              <w:snapToGrid w:val="0"/>
              <w:spacing w:line="360" w:lineRule="auto"/>
              <w:textAlignment w:val="top"/>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重点耗材监管分类库列表信息包括：分类名称、分类归属、重点监管标志、产品描述、预期用途、品名举例、管理级别、是否在用、备注信息的字段。</w:t>
            </w:r>
          </w:p>
          <w:p w14:paraId="5379150F">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包含：添加、展开全部、编辑、删除、导出、切换视图等功能。</w:t>
            </w:r>
          </w:p>
        </w:tc>
      </w:tr>
      <w:tr w14:paraId="54AE7A40">
        <w:tblPrEx>
          <w:tblCellMar>
            <w:top w:w="0" w:type="dxa"/>
            <w:left w:w="108" w:type="dxa"/>
            <w:bottom w:w="0" w:type="dxa"/>
            <w:right w:w="108" w:type="dxa"/>
          </w:tblCellMar>
        </w:tblPrEx>
        <w:trPr>
          <w:trHeight w:val="20" w:hRule="atLeast"/>
        </w:trPr>
        <w:tc>
          <w:tcPr>
            <w:tcW w:w="237" w:type="pct"/>
            <w:vMerge w:val="continue"/>
            <w:tcBorders>
              <w:left w:val="single" w:color="000000" w:sz="4" w:space="0"/>
              <w:right w:val="single" w:color="000000" w:sz="4" w:space="0"/>
            </w:tcBorders>
            <w:noWrap w:val="0"/>
            <w:vAlign w:val="center"/>
          </w:tcPr>
          <w:p w14:paraId="07538D85">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left w:val="single" w:color="000000" w:sz="4" w:space="0"/>
              <w:right w:val="single" w:color="000000" w:sz="4" w:space="0"/>
            </w:tcBorders>
            <w:noWrap w:val="0"/>
            <w:vAlign w:val="center"/>
          </w:tcPr>
          <w:p w14:paraId="41AA5BAE">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387390ED">
            <w:pPr>
              <w:keepNext w:val="0"/>
              <w:keepLines w:val="0"/>
              <w:pageBreakBefore w:val="0"/>
              <w:widowControl/>
              <w:numPr>
                <w:ilvl w:val="0"/>
                <w:numId w:val="37"/>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数据月清洗匹配情况:</w:t>
            </w:r>
            <w:r>
              <w:rPr>
                <w:rFonts w:hint="eastAsia" w:ascii="新宋体" w:hAnsi="新宋体" w:eastAsia="新宋体" w:cs="新宋体"/>
                <w:color w:val="auto"/>
                <w:sz w:val="22"/>
                <w:szCs w:val="22"/>
                <w:highlight w:val="none"/>
              </w:rPr>
              <w:t>统计地区内药品和耗材月度数据清洗及匹配情况占比和分值显示。</w:t>
            </w:r>
          </w:p>
        </w:tc>
      </w:tr>
      <w:tr w14:paraId="09314F86">
        <w:tblPrEx>
          <w:tblCellMar>
            <w:top w:w="0" w:type="dxa"/>
            <w:left w:w="108" w:type="dxa"/>
            <w:bottom w:w="0" w:type="dxa"/>
            <w:right w:w="108" w:type="dxa"/>
          </w:tblCellMar>
        </w:tblPrEx>
        <w:trPr>
          <w:trHeight w:val="20" w:hRule="atLeast"/>
        </w:trPr>
        <w:tc>
          <w:tcPr>
            <w:tcW w:w="237" w:type="pct"/>
            <w:vMerge w:val="continue"/>
            <w:tcBorders>
              <w:left w:val="single" w:color="000000" w:sz="4" w:space="0"/>
              <w:right w:val="single" w:color="000000" w:sz="4" w:space="0"/>
            </w:tcBorders>
            <w:noWrap w:val="0"/>
            <w:vAlign w:val="center"/>
          </w:tcPr>
          <w:p w14:paraId="31698486">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left w:val="single" w:color="000000" w:sz="4" w:space="0"/>
              <w:right w:val="single" w:color="000000" w:sz="4" w:space="0"/>
            </w:tcBorders>
            <w:noWrap w:val="0"/>
            <w:vAlign w:val="center"/>
          </w:tcPr>
          <w:p w14:paraId="7020F196">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045E45B4">
            <w:pPr>
              <w:keepNext w:val="0"/>
              <w:keepLines w:val="0"/>
              <w:pageBreakBefore w:val="0"/>
              <w:widowControl/>
              <w:numPr>
                <w:ilvl w:val="0"/>
                <w:numId w:val="37"/>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数据季度清洗匹配情况:</w:t>
            </w:r>
            <w:r>
              <w:rPr>
                <w:rFonts w:hint="eastAsia" w:ascii="新宋体" w:hAnsi="新宋体" w:eastAsia="新宋体" w:cs="新宋体"/>
                <w:color w:val="auto"/>
                <w:sz w:val="22"/>
                <w:szCs w:val="22"/>
                <w:highlight w:val="none"/>
              </w:rPr>
              <w:t>统计地区内药品和耗材季度数据清洗及匹配情况占比和分值显示。</w:t>
            </w:r>
          </w:p>
        </w:tc>
      </w:tr>
      <w:tr w14:paraId="74621612">
        <w:tblPrEx>
          <w:tblCellMar>
            <w:top w:w="0" w:type="dxa"/>
            <w:left w:w="108" w:type="dxa"/>
            <w:bottom w:w="0" w:type="dxa"/>
            <w:right w:w="108" w:type="dxa"/>
          </w:tblCellMar>
        </w:tblPrEx>
        <w:trPr>
          <w:trHeight w:val="20" w:hRule="atLeast"/>
        </w:trPr>
        <w:tc>
          <w:tcPr>
            <w:tcW w:w="237" w:type="pct"/>
            <w:vMerge w:val="continue"/>
            <w:tcBorders>
              <w:left w:val="single" w:color="000000" w:sz="4" w:space="0"/>
              <w:right w:val="single" w:color="000000" w:sz="4" w:space="0"/>
            </w:tcBorders>
            <w:noWrap w:val="0"/>
            <w:vAlign w:val="center"/>
          </w:tcPr>
          <w:p w14:paraId="0D336CCE">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left w:val="single" w:color="000000" w:sz="4" w:space="0"/>
              <w:right w:val="single" w:color="000000" w:sz="4" w:space="0"/>
            </w:tcBorders>
            <w:noWrap w:val="0"/>
            <w:vAlign w:val="center"/>
          </w:tcPr>
          <w:p w14:paraId="59DE202A">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6BBAA6A2">
            <w:pPr>
              <w:keepNext w:val="0"/>
              <w:keepLines w:val="0"/>
              <w:pageBreakBefore w:val="0"/>
              <w:widowControl/>
              <w:numPr>
                <w:ilvl w:val="0"/>
                <w:numId w:val="37"/>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各医院匹配得分情况:</w:t>
            </w:r>
          </w:p>
          <w:p w14:paraId="4916ABC5">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查看统计排名地区内各医院数据匹配情况得分排名。</w:t>
            </w:r>
          </w:p>
        </w:tc>
      </w:tr>
      <w:tr w14:paraId="6FC42F79">
        <w:tblPrEx>
          <w:tblCellMar>
            <w:top w:w="0" w:type="dxa"/>
            <w:left w:w="108" w:type="dxa"/>
            <w:bottom w:w="0" w:type="dxa"/>
            <w:right w:w="108" w:type="dxa"/>
          </w:tblCellMar>
        </w:tblPrEx>
        <w:trPr>
          <w:trHeight w:val="20" w:hRule="atLeast"/>
        </w:trPr>
        <w:tc>
          <w:tcPr>
            <w:tcW w:w="237" w:type="pct"/>
            <w:vMerge w:val="continue"/>
            <w:tcBorders>
              <w:left w:val="single" w:color="000000" w:sz="4" w:space="0"/>
              <w:right w:val="single" w:color="000000" w:sz="4" w:space="0"/>
            </w:tcBorders>
            <w:noWrap w:val="0"/>
            <w:vAlign w:val="center"/>
          </w:tcPr>
          <w:p w14:paraId="0A95DFEC">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left w:val="single" w:color="000000" w:sz="4" w:space="0"/>
              <w:right w:val="single" w:color="000000" w:sz="4" w:space="0"/>
            </w:tcBorders>
            <w:noWrap w:val="0"/>
            <w:vAlign w:val="center"/>
          </w:tcPr>
          <w:p w14:paraId="5B5E1C77">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1168B7AD">
            <w:pPr>
              <w:keepNext w:val="0"/>
              <w:keepLines w:val="0"/>
              <w:pageBreakBefore w:val="0"/>
              <w:widowControl/>
              <w:numPr>
                <w:ilvl w:val="0"/>
                <w:numId w:val="37"/>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药品清洗各类数据统计:统计区域内各医院药品数据已完成清洗的统计分析，包括：品种数量、医生人数、科室数量、诊断数量的字段总数计算展示。</w:t>
            </w:r>
          </w:p>
        </w:tc>
      </w:tr>
      <w:tr w14:paraId="33F246FF">
        <w:tblPrEx>
          <w:tblCellMar>
            <w:top w:w="0" w:type="dxa"/>
            <w:left w:w="108" w:type="dxa"/>
            <w:bottom w:w="0" w:type="dxa"/>
            <w:right w:w="108" w:type="dxa"/>
          </w:tblCellMar>
        </w:tblPrEx>
        <w:trPr>
          <w:trHeight w:val="20" w:hRule="atLeast"/>
        </w:trPr>
        <w:tc>
          <w:tcPr>
            <w:tcW w:w="237" w:type="pct"/>
            <w:vMerge w:val="continue"/>
            <w:tcBorders>
              <w:left w:val="single" w:color="000000" w:sz="4" w:space="0"/>
              <w:right w:val="single" w:color="000000" w:sz="4" w:space="0"/>
            </w:tcBorders>
            <w:noWrap w:val="0"/>
            <w:vAlign w:val="center"/>
          </w:tcPr>
          <w:p w14:paraId="12A70B69">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left w:val="single" w:color="000000" w:sz="4" w:space="0"/>
              <w:right w:val="single" w:color="000000" w:sz="4" w:space="0"/>
            </w:tcBorders>
            <w:noWrap w:val="0"/>
            <w:vAlign w:val="center"/>
          </w:tcPr>
          <w:p w14:paraId="1C4A7DF1">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4C9E2698">
            <w:pPr>
              <w:keepNext w:val="0"/>
              <w:keepLines w:val="0"/>
              <w:pageBreakBefore w:val="0"/>
              <w:widowControl/>
              <w:numPr>
                <w:ilvl w:val="0"/>
                <w:numId w:val="37"/>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耗材清洗各类数据统计:</w:t>
            </w:r>
          </w:p>
          <w:p w14:paraId="11525FC7">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统计区域内各医院耗材数据已完成清洗的统计分析，包括：品种数量、医生人数、科室数量、诊断数量的字段总数计算展示。</w:t>
            </w:r>
          </w:p>
        </w:tc>
      </w:tr>
      <w:tr w14:paraId="0834A9A2">
        <w:tblPrEx>
          <w:tblCellMar>
            <w:top w:w="0" w:type="dxa"/>
            <w:left w:w="108" w:type="dxa"/>
            <w:bottom w:w="0" w:type="dxa"/>
            <w:right w:w="108" w:type="dxa"/>
          </w:tblCellMar>
        </w:tblPrEx>
        <w:trPr>
          <w:trHeight w:val="20" w:hRule="atLeast"/>
        </w:trPr>
        <w:tc>
          <w:tcPr>
            <w:tcW w:w="237" w:type="pct"/>
            <w:vMerge w:val="continue"/>
            <w:tcBorders>
              <w:left w:val="single" w:color="000000" w:sz="4" w:space="0"/>
              <w:right w:val="single" w:color="000000" w:sz="4" w:space="0"/>
            </w:tcBorders>
            <w:noWrap w:val="0"/>
            <w:vAlign w:val="center"/>
          </w:tcPr>
          <w:p w14:paraId="2134EF7B">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left w:val="single" w:color="000000" w:sz="4" w:space="0"/>
              <w:right w:val="single" w:color="000000" w:sz="4" w:space="0"/>
            </w:tcBorders>
            <w:noWrap w:val="0"/>
            <w:vAlign w:val="center"/>
          </w:tcPr>
          <w:p w14:paraId="31ED0355">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7A9FA745">
            <w:pPr>
              <w:keepNext w:val="0"/>
              <w:keepLines w:val="0"/>
              <w:pageBreakBefore w:val="0"/>
              <w:widowControl/>
              <w:numPr>
                <w:ilvl w:val="0"/>
                <w:numId w:val="37"/>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未匹配上的品种:</w:t>
            </w:r>
          </w:p>
          <w:p w14:paraId="3078834A">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统计地区内各医院需监管药品或耗材品种所上传数据未完成匹配的品种清单滚动图展示。</w:t>
            </w:r>
          </w:p>
        </w:tc>
      </w:tr>
      <w:tr w14:paraId="2195D931">
        <w:tblPrEx>
          <w:tblCellMar>
            <w:top w:w="0" w:type="dxa"/>
            <w:left w:w="108" w:type="dxa"/>
            <w:bottom w:w="0" w:type="dxa"/>
            <w:right w:w="108" w:type="dxa"/>
          </w:tblCellMar>
        </w:tblPrEx>
        <w:trPr>
          <w:trHeight w:val="20" w:hRule="atLeast"/>
        </w:trPr>
        <w:tc>
          <w:tcPr>
            <w:tcW w:w="237" w:type="pct"/>
            <w:vMerge w:val="continue"/>
            <w:tcBorders>
              <w:left w:val="single" w:color="000000" w:sz="4" w:space="0"/>
              <w:bottom w:val="single" w:color="000000" w:sz="4" w:space="0"/>
              <w:right w:val="single" w:color="000000" w:sz="4" w:space="0"/>
            </w:tcBorders>
            <w:noWrap w:val="0"/>
            <w:vAlign w:val="center"/>
          </w:tcPr>
          <w:p w14:paraId="5092CC8C">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572" w:type="pct"/>
            <w:vMerge w:val="continue"/>
            <w:tcBorders>
              <w:left w:val="single" w:color="000000" w:sz="4" w:space="0"/>
              <w:bottom w:val="single" w:color="000000" w:sz="4" w:space="0"/>
              <w:right w:val="single" w:color="000000" w:sz="4" w:space="0"/>
            </w:tcBorders>
            <w:noWrap w:val="0"/>
            <w:vAlign w:val="center"/>
          </w:tcPr>
          <w:p w14:paraId="1DA10738">
            <w:pPr>
              <w:keepNext w:val="0"/>
              <w:keepLines w:val="0"/>
              <w:pageBreakBefore w:val="0"/>
              <w:kinsoku/>
              <w:wordWrap/>
              <w:overflowPunct/>
              <w:topLinePunct w:val="0"/>
              <w:autoSpaceDE/>
              <w:autoSpaceDN/>
              <w:bidi w:val="0"/>
              <w:snapToGrid w:val="0"/>
              <w:spacing w:line="360" w:lineRule="auto"/>
              <w:jc w:val="center"/>
              <w:rPr>
                <w:rFonts w:hint="eastAsia" w:ascii="新宋体" w:hAnsi="新宋体" w:eastAsia="新宋体" w:cs="新宋体"/>
                <w:color w:val="auto"/>
                <w:sz w:val="22"/>
                <w:szCs w:val="22"/>
                <w:highlight w:val="none"/>
              </w:rPr>
            </w:pPr>
          </w:p>
        </w:tc>
        <w:tc>
          <w:tcPr>
            <w:tcW w:w="4190" w:type="pct"/>
            <w:tcBorders>
              <w:top w:val="single" w:color="000000" w:sz="4" w:space="0"/>
              <w:left w:val="single" w:color="000000" w:sz="4" w:space="0"/>
              <w:bottom w:val="single" w:color="000000" w:sz="4" w:space="0"/>
              <w:right w:val="single" w:color="000000" w:sz="4" w:space="0"/>
            </w:tcBorders>
            <w:noWrap w:val="0"/>
            <w:vAlign w:val="top"/>
          </w:tcPr>
          <w:p w14:paraId="7AA70D95">
            <w:pPr>
              <w:keepNext w:val="0"/>
              <w:keepLines w:val="0"/>
              <w:pageBreakBefore w:val="0"/>
              <w:widowControl/>
              <w:numPr>
                <w:ilvl w:val="0"/>
                <w:numId w:val="37"/>
              </w:numPr>
              <w:kinsoku/>
              <w:wordWrap/>
              <w:overflowPunct/>
              <w:topLinePunct w:val="0"/>
              <w:autoSpaceDE/>
              <w:autoSpaceDN/>
              <w:bidi w:val="0"/>
              <w:snapToGrid w:val="0"/>
              <w:spacing w:after="160"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各医院清洗数据总量排名:</w:t>
            </w:r>
          </w:p>
          <w:p w14:paraId="0A35377E">
            <w:pPr>
              <w:keepNext w:val="0"/>
              <w:keepLines w:val="0"/>
              <w:pageBreakBefore w:val="0"/>
              <w:widowControl/>
              <w:kinsoku/>
              <w:wordWrap/>
              <w:overflowPunct/>
              <w:topLinePunct w:val="0"/>
              <w:autoSpaceDE/>
              <w:autoSpaceDN/>
              <w:bidi w:val="0"/>
              <w:snapToGrid w:val="0"/>
              <w:spacing w:line="360" w:lineRule="auto"/>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可查看统计区域内各医院药品和耗材数据已完成清洗的统计排名展示。</w:t>
            </w:r>
          </w:p>
        </w:tc>
      </w:tr>
    </w:tbl>
    <w:p w14:paraId="494D01A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三、市级医院运营管理决策支持平台</w:t>
      </w:r>
    </w:p>
    <w:tbl>
      <w:tblPr>
        <w:tblStyle w:val="31"/>
        <w:tblW w:w="4925" w:type="pct"/>
        <w:tblInd w:w="0" w:type="dxa"/>
        <w:tblLayout w:type="fixed"/>
        <w:tblCellMar>
          <w:top w:w="0" w:type="dxa"/>
          <w:left w:w="108" w:type="dxa"/>
          <w:bottom w:w="0" w:type="dxa"/>
          <w:right w:w="108" w:type="dxa"/>
        </w:tblCellMar>
      </w:tblPr>
      <w:tblGrid>
        <w:gridCol w:w="438"/>
        <w:gridCol w:w="1312"/>
        <w:gridCol w:w="1431"/>
        <w:gridCol w:w="6135"/>
      </w:tblGrid>
      <w:tr w14:paraId="324FCDBE">
        <w:tblPrEx>
          <w:tblCellMar>
            <w:top w:w="0" w:type="dxa"/>
            <w:left w:w="108" w:type="dxa"/>
            <w:bottom w:w="0" w:type="dxa"/>
            <w:right w:w="108" w:type="dxa"/>
          </w:tblCellMar>
        </w:tblPrEx>
        <w:trPr>
          <w:trHeight w:val="527" w:hRule="atLeast"/>
        </w:trPr>
        <w:tc>
          <w:tcPr>
            <w:tcW w:w="234" w:type="pct"/>
            <w:tcBorders>
              <w:top w:val="single" w:color="auto" w:sz="4" w:space="0"/>
              <w:left w:val="single" w:color="auto" w:sz="4" w:space="0"/>
              <w:bottom w:val="single" w:color="auto" w:sz="4" w:space="0"/>
              <w:right w:val="single" w:color="auto" w:sz="4" w:space="0"/>
            </w:tcBorders>
            <w:noWrap/>
            <w:vAlign w:val="center"/>
          </w:tcPr>
          <w:p w14:paraId="0595ECC5">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序号</w:t>
            </w:r>
          </w:p>
        </w:tc>
        <w:tc>
          <w:tcPr>
            <w:tcW w:w="704" w:type="pct"/>
            <w:tcBorders>
              <w:top w:val="single" w:color="auto" w:sz="4" w:space="0"/>
              <w:left w:val="nil"/>
              <w:bottom w:val="single" w:color="auto" w:sz="4" w:space="0"/>
              <w:right w:val="single" w:color="auto" w:sz="4" w:space="0"/>
            </w:tcBorders>
            <w:noWrap/>
            <w:vAlign w:val="center"/>
          </w:tcPr>
          <w:p w14:paraId="4F998F9D">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模块</w:t>
            </w:r>
          </w:p>
        </w:tc>
        <w:tc>
          <w:tcPr>
            <w:tcW w:w="768" w:type="pct"/>
            <w:tcBorders>
              <w:top w:val="single" w:color="auto" w:sz="4" w:space="0"/>
              <w:left w:val="nil"/>
              <w:bottom w:val="single" w:color="auto" w:sz="4" w:space="0"/>
              <w:right w:val="single" w:color="auto" w:sz="4" w:space="0"/>
            </w:tcBorders>
            <w:noWrap/>
            <w:vAlign w:val="center"/>
          </w:tcPr>
          <w:p w14:paraId="401E18AB">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功能项</w:t>
            </w:r>
          </w:p>
        </w:tc>
        <w:tc>
          <w:tcPr>
            <w:tcW w:w="3292" w:type="pct"/>
            <w:tcBorders>
              <w:top w:val="single" w:color="auto" w:sz="4" w:space="0"/>
              <w:left w:val="nil"/>
              <w:bottom w:val="single" w:color="auto" w:sz="4" w:space="0"/>
              <w:right w:val="single" w:color="auto" w:sz="4" w:space="0"/>
            </w:tcBorders>
            <w:noWrap w:val="0"/>
            <w:vAlign w:val="center"/>
          </w:tcPr>
          <w:p w14:paraId="2575D8C3">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技术参数</w:t>
            </w:r>
          </w:p>
        </w:tc>
      </w:tr>
      <w:tr w14:paraId="198F1A54">
        <w:tblPrEx>
          <w:tblCellMar>
            <w:top w:w="0" w:type="dxa"/>
            <w:left w:w="108" w:type="dxa"/>
            <w:bottom w:w="0" w:type="dxa"/>
            <w:right w:w="108" w:type="dxa"/>
          </w:tblCellMar>
        </w:tblPrEx>
        <w:trPr>
          <w:trHeight w:val="575" w:hRule="atLeast"/>
        </w:trPr>
        <w:tc>
          <w:tcPr>
            <w:tcW w:w="234" w:type="pct"/>
            <w:tcBorders>
              <w:top w:val="nil"/>
              <w:left w:val="single" w:color="auto" w:sz="4" w:space="0"/>
              <w:bottom w:val="single" w:color="auto" w:sz="4" w:space="0"/>
              <w:right w:val="single" w:color="auto" w:sz="4" w:space="0"/>
            </w:tcBorders>
            <w:noWrap/>
            <w:vAlign w:val="center"/>
          </w:tcPr>
          <w:p w14:paraId="4C663468">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w:t>
            </w:r>
          </w:p>
        </w:tc>
        <w:tc>
          <w:tcPr>
            <w:tcW w:w="704" w:type="pct"/>
            <w:vMerge w:val="restart"/>
            <w:tcBorders>
              <w:top w:val="nil"/>
              <w:left w:val="single" w:color="auto" w:sz="4" w:space="0"/>
              <w:bottom w:val="single" w:color="auto" w:sz="4" w:space="0"/>
              <w:right w:val="single" w:color="auto" w:sz="4" w:space="0"/>
            </w:tcBorders>
            <w:noWrap/>
            <w:vAlign w:val="center"/>
          </w:tcPr>
          <w:p w14:paraId="45526348">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市级医院运营管理</w:t>
            </w:r>
          </w:p>
        </w:tc>
        <w:tc>
          <w:tcPr>
            <w:tcW w:w="768" w:type="pct"/>
            <w:tcBorders>
              <w:top w:val="nil"/>
              <w:left w:val="nil"/>
              <w:bottom w:val="single" w:color="auto" w:sz="4" w:space="0"/>
              <w:right w:val="single" w:color="auto" w:sz="4" w:space="0"/>
            </w:tcBorders>
            <w:noWrap/>
            <w:vAlign w:val="center"/>
          </w:tcPr>
          <w:p w14:paraId="48CF880D">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用户登录</w:t>
            </w:r>
          </w:p>
        </w:tc>
        <w:tc>
          <w:tcPr>
            <w:tcW w:w="3292" w:type="pct"/>
            <w:tcBorders>
              <w:top w:val="nil"/>
              <w:left w:val="nil"/>
              <w:bottom w:val="single" w:color="auto" w:sz="4" w:space="0"/>
              <w:right w:val="single" w:color="auto" w:sz="4" w:space="0"/>
            </w:tcBorders>
            <w:noWrap w:val="0"/>
            <w:vAlign w:val="center"/>
          </w:tcPr>
          <w:p w14:paraId="4105E47A">
            <w:pPr>
              <w:keepNext w:val="0"/>
              <w:keepLines w:val="0"/>
              <w:pageBreakBefore w:val="0"/>
              <w:widowControl/>
              <w:kinsoku/>
              <w:wordWrap/>
              <w:overflowPunct/>
              <w:topLinePunct w:val="0"/>
              <w:autoSpaceDE/>
              <w:autoSpaceDN/>
              <w:bidi w:val="0"/>
              <w:spacing w:line="360" w:lineRule="auto"/>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输入账号、短信验证码登录。</w:t>
            </w:r>
          </w:p>
        </w:tc>
      </w:tr>
      <w:tr w14:paraId="1F41DC7A">
        <w:tblPrEx>
          <w:tblCellMar>
            <w:top w:w="0" w:type="dxa"/>
            <w:left w:w="108" w:type="dxa"/>
            <w:bottom w:w="0" w:type="dxa"/>
            <w:right w:w="108" w:type="dxa"/>
          </w:tblCellMar>
        </w:tblPrEx>
        <w:trPr>
          <w:trHeight w:val="810" w:hRule="atLeast"/>
        </w:trPr>
        <w:tc>
          <w:tcPr>
            <w:tcW w:w="234" w:type="pct"/>
            <w:tcBorders>
              <w:top w:val="nil"/>
              <w:left w:val="single" w:color="auto" w:sz="4" w:space="0"/>
              <w:bottom w:val="single" w:color="auto" w:sz="4" w:space="0"/>
              <w:right w:val="single" w:color="auto" w:sz="4" w:space="0"/>
            </w:tcBorders>
            <w:noWrap/>
            <w:vAlign w:val="center"/>
          </w:tcPr>
          <w:p w14:paraId="138F165E">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w:t>
            </w:r>
          </w:p>
        </w:tc>
        <w:tc>
          <w:tcPr>
            <w:tcW w:w="704" w:type="pct"/>
            <w:vMerge w:val="continue"/>
            <w:tcBorders>
              <w:top w:val="nil"/>
              <w:left w:val="single" w:color="auto" w:sz="4" w:space="0"/>
              <w:bottom w:val="single" w:color="auto" w:sz="4" w:space="0"/>
              <w:right w:val="single" w:color="auto" w:sz="4" w:space="0"/>
            </w:tcBorders>
            <w:noWrap w:val="0"/>
            <w:vAlign w:val="center"/>
          </w:tcPr>
          <w:p w14:paraId="3E9A2CD5">
            <w:pPr>
              <w:keepNext w:val="0"/>
              <w:keepLines w:val="0"/>
              <w:pageBreakBefore w:val="0"/>
              <w:widowControl/>
              <w:kinsoku/>
              <w:wordWrap/>
              <w:overflowPunct/>
              <w:topLinePunct w:val="0"/>
              <w:autoSpaceDE/>
              <w:autoSpaceDN/>
              <w:bidi w:val="0"/>
              <w:spacing w:line="360" w:lineRule="auto"/>
              <w:jc w:val="left"/>
              <w:rPr>
                <w:rFonts w:hint="eastAsia" w:ascii="新宋体" w:hAnsi="新宋体" w:eastAsia="新宋体" w:cs="新宋体"/>
                <w:color w:val="auto"/>
                <w:kern w:val="0"/>
                <w:sz w:val="22"/>
                <w:szCs w:val="22"/>
                <w:highlight w:val="none"/>
              </w:rPr>
            </w:pPr>
          </w:p>
        </w:tc>
        <w:tc>
          <w:tcPr>
            <w:tcW w:w="768" w:type="pct"/>
            <w:tcBorders>
              <w:top w:val="nil"/>
              <w:left w:val="nil"/>
              <w:bottom w:val="single" w:color="auto" w:sz="4" w:space="0"/>
              <w:right w:val="single" w:color="auto" w:sz="4" w:space="0"/>
            </w:tcBorders>
            <w:noWrap/>
            <w:vAlign w:val="center"/>
          </w:tcPr>
          <w:p w14:paraId="3DD3B681">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运营管理主屏</w:t>
            </w:r>
          </w:p>
        </w:tc>
        <w:tc>
          <w:tcPr>
            <w:tcW w:w="3292" w:type="pct"/>
            <w:tcBorders>
              <w:top w:val="nil"/>
              <w:left w:val="nil"/>
              <w:bottom w:val="single" w:color="auto" w:sz="4" w:space="0"/>
              <w:right w:val="single" w:color="auto" w:sz="4" w:space="0"/>
            </w:tcBorders>
            <w:noWrap w:val="0"/>
            <w:vAlign w:val="center"/>
          </w:tcPr>
          <w:p w14:paraId="55575C87">
            <w:pPr>
              <w:keepNext w:val="0"/>
              <w:keepLines w:val="0"/>
              <w:pageBreakBefore w:val="0"/>
              <w:widowControl/>
              <w:kinsoku/>
              <w:wordWrap/>
              <w:overflowPunct/>
              <w:topLinePunct w:val="0"/>
              <w:autoSpaceDE/>
              <w:autoSpaceDN/>
              <w:bidi w:val="0"/>
              <w:spacing w:line="360" w:lineRule="auto"/>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kern w:val="0"/>
                <w:sz w:val="22"/>
                <w:szCs w:val="22"/>
                <w:highlight w:val="none"/>
              </w:rPr>
              <w:t>以图表、表格、曲线图等方式展示门诊情况、医疗总收入趋势、医疗服务占比、出院情况、医疗用药占比、有效医疗收入占比</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b/>
                <w:bCs/>
                <w:color w:val="auto"/>
                <w:sz w:val="22"/>
                <w:szCs w:val="22"/>
                <w:highlight w:val="none"/>
                <w:lang w:val="en-US" w:eastAsia="zh-CN" w:bidi="ar"/>
              </w:rPr>
              <w:t>需</w:t>
            </w:r>
            <w:r>
              <w:rPr>
                <w:rFonts w:hint="default" w:ascii="新宋体" w:hAnsi="新宋体" w:eastAsia="新宋体" w:cs="新宋体"/>
                <w:b/>
                <w:bCs/>
                <w:color w:val="auto"/>
                <w:sz w:val="22"/>
                <w:szCs w:val="22"/>
                <w:highlight w:val="none"/>
                <w:lang w:val="en-US" w:bidi="ar"/>
              </w:rPr>
              <w:t>提供系统功能截图等佐证材料加盖投标供应商公章</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rPr>
              <w:t>。</w:t>
            </w:r>
          </w:p>
        </w:tc>
      </w:tr>
      <w:tr w14:paraId="3556CDC6">
        <w:tblPrEx>
          <w:tblCellMar>
            <w:top w:w="0" w:type="dxa"/>
            <w:left w:w="108" w:type="dxa"/>
            <w:bottom w:w="0" w:type="dxa"/>
            <w:right w:w="108" w:type="dxa"/>
          </w:tblCellMar>
        </w:tblPrEx>
        <w:trPr>
          <w:trHeight w:val="1080" w:hRule="atLeast"/>
        </w:trPr>
        <w:tc>
          <w:tcPr>
            <w:tcW w:w="234" w:type="pct"/>
            <w:tcBorders>
              <w:top w:val="nil"/>
              <w:left w:val="single" w:color="auto" w:sz="4" w:space="0"/>
              <w:bottom w:val="single" w:color="auto" w:sz="4" w:space="0"/>
              <w:right w:val="single" w:color="auto" w:sz="4" w:space="0"/>
            </w:tcBorders>
            <w:noWrap/>
            <w:vAlign w:val="center"/>
          </w:tcPr>
          <w:p w14:paraId="16A65543">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w:t>
            </w:r>
          </w:p>
        </w:tc>
        <w:tc>
          <w:tcPr>
            <w:tcW w:w="704" w:type="pct"/>
            <w:vMerge w:val="continue"/>
            <w:tcBorders>
              <w:top w:val="nil"/>
              <w:left w:val="single" w:color="auto" w:sz="4" w:space="0"/>
              <w:bottom w:val="single" w:color="auto" w:sz="4" w:space="0"/>
              <w:right w:val="single" w:color="auto" w:sz="4" w:space="0"/>
            </w:tcBorders>
            <w:noWrap w:val="0"/>
            <w:vAlign w:val="center"/>
          </w:tcPr>
          <w:p w14:paraId="32D93D4E">
            <w:pPr>
              <w:keepNext w:val="0"/>
              <w:keepLines w:val="0"/>
              <w:pageBreakBefore w:val="0"/>
              <w:widowControl/>
              <w:kinsoku/>
              <w:wordWrap/>
              <w:overflowPunct/>
              <w:topLinePunct w:val="0"/>
              <w:autoSpaceDE/>
              <w:autoSpaceDN/>
              <w:bidi w:val="0"/>
              <w:spacing w:line="360" w:lineRule="auto"/>
              <w:jc w:val="left"/>
              <w:rPr>
                <w:rFonts w:hint="eastAsia" w:ascii="新宋体" w:hAnsi="新宋体" w:eastAsia="新宋体" w:cs="新宋体"/>
                <w:color w:val="auto"/>
                <w:kern w:val="0"/>
                <w:sz w:val="22"/>
                <w:szCs w:val="22"/>
                <w:highlight w:val="none"/>
              </w:rPr>
            </w:pPr>
          </w:p>
        </w:tc>
        <w:tc>
          <w:tcPr>
            <w:tcW w:w="768" w:type="pct"/>
            <w:tcBorders>
              <w:top w:val="nil"/>
              <w:left w:val="nil"/>
              <w:bottom w:val="single" w:color="auto" w:sz="4" w:space="0"/>
              <w:right w:val="single" w:color="auto" w:sz="4" w:space="0"/>
            </w:tcBorders>
            <w:noWrap/>
            <w:vAlign w:val="center"/>
          </w:tcPr>
          <w:p w14:paraId="31E4C5FC">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运营质量大屏</w:t>
            </w:r>
          </w:p>
        </w:tc>
        <w:tc>
          <w:tcPr>
            <w:tcW w:w="3292" w:type="pct"/>
            <w:tcBorders>
              <w:top w:val="nil"/>
              <w:left w:val="nil"/>
              <w:bottom w:val="single" w:color="auto" w:sz="4" w:space="0"/>
              <w:right w:val="single" w:color="auto" w:sz="4" w:space="0"/>
            </w:tcBorders>
            <w:noWrap w:val="0"/>
            <w:vAlign w:val="center"/>
          </w:tcPr>
          <w:p w14:paraId="30FD564D">
            <w:pPr>
              <w:keepNext w:val="0"/>
              <w:keepLines w:val="0"/>
              <w:pageBreakBefore w:val="0"/>
              <w:widowControl/>
              <w:kinsoku/>
              <w:wordWrap/>
              <w:overflowPunct/>
              <w:topLinePunct w:val="0"/>
              <w:autoSpaceDE/>
              <w:autoSpaceDN/>
              <w:bidi w:val="0"/>
              <w:spacing w:line="360" w:lineRule="auto"/>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以图表、表格、曲线图等方式展示出院患者手术占比、RW大于等于2的全年出院人次比例、病例组合指数（CMI）、全年平均住院日、抗菌药物使用强度等指标。</w:t>
            </w:r>
          </w:p>
        </w:tc>
      </w:tr>
      <w:tr w14:paraId="236B02D6">
        <w:tblPrEx>
          <w:tblCellMar>
            <w:top w:w="0" w:type="dxa"/>
            <w:left w:w="108" w:type="dxa"/>
            <w:bottom w:w="0" w:type="dxa"/>
            <w:right w:w="108" w:type="dxa"/>
          </w:tblCellMar>
        </w:tblPrEx>
        <w:trPr>
          <w:trHeight w:val="810" w:hRule="atLeast"/>
        </w:trPr>
        <w:tc>
          <w:tcPr>
            <w:tcW w:w="234" w:type="pct"/>
            <w:tcBorders>
              <w:top w:val="nil"/>
              <w:left w:val="single" w:color="auto" w:sz="4" w:space="0"/>
              <w:bottom w:val="single" w:color="auto" w:sz="4" w:space="0"/>
              <w:right w:val="single" w:color="auto" w:sz="4" w:space="0"/>
            </w:tcBorders>
            <w:noWrap/>
            <w:vAlign w:val="center"/>
          </w:tcPr>
          <w:p w14:paraId="28822227">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w:t>
            </w:r>
          </w:p>
        </w:tc>
        <w:tc>
          <w:tcPr>
            <w:tcW w:w="704" w:type="pct"/>
            <w:vMerge w:val="continue"/>
            <w:tcBorders>
              <w:top w:val="nil"/>
              <w:left w:val="single" w:color="auto" w:sz="4" w:space="0"/>
              <w:bottom w:val="single" w:color="auto" w:sz="4" w:space="0"/>
              <w:right w:val="single" w:color="auto" w:sz="4" w:space="0"/>
            </w:tcBorders>
            <w:noWrap w:val="0"/>
            <w:vAlign w:val="center"/>
          </w:tcPr>
          <w:p w14:paraId="3B5724C8">
            <w:pPr>
              <w:keepNext w:val="0"/>
              <w:keepLines w:val="0"/>
              <w:pageBreakBefore w:val="0"/>
              <w:widowControl/>
              <w:kinsoku/>
              <w:wordWrap/>
              <w:overflowPunct/>
              <w:topLinePunct w:val="0"/>
              <w:autoSpaceDE/>
              <w:autoSpaceDN/>
              <w:bidi w:val="0"/>
              <w:spacing w:line="360" w:lineRule="auto"/>
              <w:jc w:val="left"/>
              <w:rPr>
                <w:rFonts w:hint="eastAsia" w:ascii="新宋体" w:hAnsi="新宋体" w:eastAsia="新宋体" w:cs="新宋体"/>
                <w:color w:val="auto"/>
                <w:kern w:val="0"/>
                <w:sz w:val="22"/>
                <w:szCs w:val="22"/>
                <w:highlight w:val="none"/>
              </w:rPr>
            </w:pPr>
          </w:p>
        </w:tc>
        <w:tc>
          <w:tcPr>
            <w:tcW w:w="768" w:type="pct"/>
            <w:tcBorders>
              <w:top w:val="nil"/>
              <w:left w:val="nil"/>
              <w:bottom w:val="single" w:color="auto" w:sz="4" w:space="0"/>
              <w:right w:val="single" w:color="auto" w:sz="4" w:space="0"/>
            </w:tcBorders>
            <w:noWrap/>
            <w:vAlign w:val="center"/>
          </w:tcPr>
          <w:p w14:paraId="1CAB05A5">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运营绩效大屏</w:t>
            </w:r>
          </w:p>
        </w:tc>
        <w:tc>
          <w:tcPr>
            <w:tcW w:w="3292" w:type="pct"/>
            <w:tcBorders>
              <w:top w:val="nil"/>
              <w:left w:val="nil"/>
              <w:bottom w:val="single" w:color="auto" w:sz="4" w:space="0"/>
              <w:right w:val="single" w:color="auto" w:sz="4" w:space="0"/>
            </w:tcBorders>
            <w:noWrap w:val="0"/>
            <w:vAlign w:val="center"/>
          </w:tcPr>
          <w:p w14:paraId="0FB397FC">
            <w:pPr>
              <w:keepNext w:val="0"/>
              <w:keepLines w:val="0"/>
              <w:pageBreakBefore w:val="0"/>
              <w:widowControl/>
              <w:kinsoku/>
              <w:wordWrap/>
              <w:overflowPunct/>
              <w:topLinePunct w:val="0"/>
              <w:autoSpaceDE/>
              <w:autoSpaceDN/>
              <w:bidi w:val="0"/>
              <w:spacing w:line="360" w:lineRule="auto"/>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以图表、表格、曲线图等方式展示万元收入能耗支出、门诊次均药品费用、祝愿次均药品费用等信息。</w:t>
            </w:r>
          </w:p>
        </w:tc>
      </w:tr>
      <w:tr w14:paraId="71781792">
        <w:tblPrEx>
          <w:tblCellMar>
            <w:top w:w="0" w:type="dxa"/>
            <w:left w:w="108" w:type="dxa"/>
            <w:bottom w:w="0" w:type="dxa"/>
            <w:right w:w="108" w:type="dxa"/>
          </w:tblCellMar>
        </w:tblPrEx>
        <w:trPr>
          <w:trHeight w:val="810" w:hRule="atLeast"/>
        </w:trPr>
        <w:tc>
          <w:tcPr>
            <w:tcW w:w="234" w:type="pct"/>
            <w:tcBorders>
              <w:top w:val="nil"/>
              <w:left w:val="single" w:color="auto" w:sz="4" w:space="0"/>
              <w:bottom w:val="single" w:color="auto" w:sz="4" w:space="0"/>
              <w:right w:val="single" w:color="auto" w:sz="4" w:space="0"/>
            </w:tcBorders>
            <w:noWrap/>
            <w:vAlign w:val="center"/>
          </w:tcPr>
          <w:p w14:paraId="286B5B7E">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5</w:t>
            </w:r>
          </w:p>
        </w:tc>
        <w:tc>
          <w:tcPr>
            <w:tcW w:w="704" w:type="pct"/>
            <w:tcBorders>
              <w:top w:val="nil"/>
              <w:left w:val="nil"/>
              <w:bottom w:val="single" w:color="auto" w:sz="4" w:space="0"/>
              <w:right w:val="single" w:color="auto" w:sz="4" w:space="0"/>
            </w:tcBorders>
            <w:noWrap/>
            <w:vAlign w:val="center"/>
          </w:tcPr>
          <w:p w14:paraId="00CD4494">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数据填报后台</w:t>
            </w:r>
            <w:r>
              <w:rPr>
                <w:rFonts w:hint="eastAsia" w:ascii="新宋体" w:hAnsi="新宋体" w:eastAsia="新宋体" w:cs="新宋体"/>
                <w:color w:val="auto"/>
                <w:kern w:val="0"/>
                <w:sz w:val="22"/>
                <w:szCs w:val="22"/>
                <w:highlight w:val="none"/>
              </w:rPr>
              <w:t>　</w:t>
            </w:r>
          </w:p>
        </w:tc>
        <w:tc>
          <w:tcPr>
            <w:tcW w:w="768" w:type="pct"/>
            <w:tcBorders>
              <w:top w:val="nil"/>
              <w:left w:val="nil"/>
              <w:bottom w:val="single" w:color="auto" w:sz="4" w:space="0"/>
              <w:right w:val="single" w:color="auto" w:sz="4" w:space="0"/>
            </w:tcBorders>
            <w:noWrap/>
            <w:vAlign w:val="center"/>
          </w:tcPr>
          <w:p w14:paraId="69AF2307">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数据填报</w:t>
            </w:r>
          </w:p>
        </w:tc>
        <w:tc>
          <w:tcPr>
            <w:tcW w:w="3292" w:type="pct"/>
            <w:tcBorders>
              <w:top w:val="nil"/>
              <w:left w:val="nil"/>
              <w:bottom w:val="single" w:color="auto" w:sz="4" w:space="0"/>
              <w:right w:val="single" w:color="auto" w:sz="4" w:space="0"/>
            </w:tcBorders>
            <w:noWrap w:val="0"/>
            <w:vAlign w:val="center"/>
          </w:tcPr>
          <w:p w14:paraId="599E50FD">
            <w:pPr>
              <w:keepNext w:val="0"/>
              <w:keepLines w:val="0"/>
              <w:pageBreakBefore w:val="0"/>
              <w:widowControl/>
              <w:kinsoku/>
              <w:wordWrap/>
              <w:overflowPunct/>
              <w:topLinePunct w:val="0"/>
              <w:autoSpaceDE/>
              <w:autoSpaceDN/>
              <w:bidi w:val="0"/>
              <w:spacing w:line="360" w:lineRule="auto"/>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手工填报指标数据，包括抗菌药物使用强度、病例组合指数、RW大于等于2出院人次比例、万元收入能耗支出、平均住院日等指标</w:t>
            </w:r>
          </w:p>
        </w:tc>
      </w:tr>
      <w:tr w14:paraId="4BA37450">
        <w:tblPrEx>
          <w:tblCellMar>
            <w:top w:w="0" w:type="dxa"/>
            <w:left w:w="108" w:type="dxa"/>
            <w:bottom w:w="0" w:type="dxa"/>
            <w:right w:w="108" w:type="dxa"/>
          </w:tblCellMar>
        </w:tblPrEx>
        <w:trPr>
          <w:trHeight w:val="512" w:hRule="atLeast"/>
        </w:trPr>
        <w:tc>
          <w:tcPr>
            <w:tcW w:w="234" w:type="pct"/>
            <w:tcBorders>
              <w:top w:val="nil"/>
              <w:left w:val="single" w:color="auto" w:sz="4" w:space="0"/>
              <w:bottom w:val="single" w:color="auto" w:sz="4" w:space="0"/>
              <w:right w:val="single" w:color="auto" w:sz="4" w:space="0"/>
            </w:tcBorders>
            <w:noWrap/>
            <w:vAlign w:val="center"/>
          </w:tcPr>
          <w:p w14:paraId="10FB7BF8">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6</w:t>
            </w:r>
          </w:p>
        </w:tc>
        <w:tc>
          <w:tcPr>
            <w:tcW w:w="704" w:type="pct"/>
            <w:vMerge w:val="restart"/>
            <w:tcBorders>
              <w:top w:val="nil"/>
              <w:left w:val="nil"/>
              <w:right w:val="single" w:color="auto" w:sz="4" w:space="0"/>
            </w:tcBorders>
            <w:noWrap/>
            <w:vAlign w:val="center"/>
          </w:tcPr>
          <w:p w14:paraId="7E3A2799">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移动端展示系统</w:t>
            </w:r>
          </w:p>
          <w:p w14:paraId="16342E27">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p w14:paraId="4F36439B">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p w14:paraId="2FFB0BC9">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768" w:type="pct"/>
            <w:tcBorders>
              <w:top w:val="nil"/>
              <w:left w:val="nil"/>
              <w:bottom w:val="single" w:color="auto" w:sz="4" w:space="0"/>
              <w:right w:val="single" w:color="auto" w:sz="4" w:space="0"/>
            </w:tcBorders>
            <w:noWrap/>
            <w:vAlign w:val="center"/>
          </w:tcPr>
          <w:p w14:paraId="7A83830C">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用户登录</w:t>
            </w:r>
          </w:p>
        </w:tc>
        <w:tc>
          <w:tcPr>
            <w:tcW w:w="3292" w:type="pct"/>
            <w:tcBorders>
              <w:top w:val="nil"/>
              <w:left w:val="nil"/>
              <w:bottom w:val="single" w:color="auto" w:sz="4" w:space="0"/>
              <w:right w:val="single" w:color="auto" w:sz="4" w:space="0"/>
            </w:tcBorders>
            <w:noWrap w:val="0"/>
            <w:vAlign w:val="center"/>
          </w:tcPr>
          <w:p w14:paraId="73217F50">
            <w:pPr>
              <w:keepNext w:val="0"/>
              <w:keepLines w:val="0"/>
              <w:pageBreakBefore w:val="0"/>
              <w:widowControl/>
              <w:kinsoku/>
              <w:wordWrap/>
              <w:overflowPunct/>
              <w:topLinePunct w:val="0"/>
              <w:autoSpaceDE/>
              <w:autoSpaceDN/>
              <w:bidi w:val="0"/>
              <w:spacing w:line="360" w:lineRule="auto"/>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以手机号码及短信验证码方式登录。</w:t>
            </w:r>
          </w:p>
        </w:tc>
      </w:tr>
      <w:tr w14:paraId="3EC6CB18">
        <w:tblPrEx>
          <w:tblCellMar>
            <w:top w:w="0" w:type="dxa"/>
            <w:left w:w="108" w:type="dxa"/>
            <w:bottom w:w="0" w:type="dxa"/>
            <w:right w:w="108" w:type="dxa"/>
          </w:tblCellMar>
        </w:tblPrEx>
        <w:trPr>
          <w:trHeight w:val="810" w:hRule="atLeast"/>
        </w:trPr>
        <w:tc>
          <w:tcPr>
            <w:tcW w:w="234" w:type="pct"/>
            <w:tcBorders>
              <w:top w:val="nil"/>
              <w:left w:val="single" w:color="auto" w:sz="4" w:space="0"/>
              <w:bottom w:val="single" w:color="auto" w:sz="4" w:space="0"/>
              <w:right w:val="single" w:color="auto" w:sz="4" w:space="0"/>
            </w:tcBorders>
            <w:noWrap/>
            <w:vAlign w:val="center"/>
          </w:tcPr>
          <w:p w14:paraId="28DD4D6F">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7</w:t>
            </w:r>
          </w:p>
        </w:tc>
        <w:tc>
          <w:tcPr>
            <w:tcW w:w="704" w:type="pct"/>
            <w:vMerge w:val="continue"/>
            <w:tcBorders>
              <w:left w:val="nil"/>
              <w:right w:val="single" w:color="auto" w:sz="4" w:space="0"/>
            </w:tcBorders>
            <w:noWrap/>
            <w:vAlign w:val="center"/>
          </w:tcPr>
          <w:p w14:paraId="38E07BE2">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p>
        </w:tc>
        <w:tc>
          <w:tcPr>
            <w:tcW w:w="768" w:type="pct"/>
            <w:tcBorders>
              <w:top w:val="nil"/>
              <w:left w:val="nil"/>
              <w:bottom w:val="single" w:color="auto" w:sz="4" w:space="0"/>
              <w:right w:val="single" w:color="auto" w:sz="4" w:space="0"/>
            </w:tcBorders>
            <w:noWrap/>
            <w:vAlign w:val="center"/>
          </w:tcPr>
          <w:p w14:paraId="6DA4F886">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运营管理主屏</w:t>
            </w:r>
          </w:p>
        </w:tc>
        <w:tc>
          <w:tcPr>
            <w:tcW w:w="3292" w:type="pct"/>
            <w:tcBorders>
              <w:top w:val="nil"/>
              <w:left w:val="nil"/>
              <w:bottom w:val="single" w:color="auto" w:sz="4" w:space="0"/>
              <w:right w:val="single" w:color="auto" w:sz="4" w:space="0"/>
            </w:tcBorders>
            <w:noWrap w:val="0"/>
            <w:vAlign w:val="center"/>
          </w:tcPr>
          <w:p w14:paraId="671C4EE1">
            <w:pPr>
              <w:keepNext w:val="0"/>
              <w:keepLines w:val="0"/>
              <w:pageBreakBefore w:val="0"/>
              <w:widowControl/>
              <w:kinsoku/>
              <w:wordWrap/>
              <w:overflowPunct/>
              <w:topLinePunct w:val="0"/>
              <w:autoSpaceDE/>
              <w:autoSpaceDN/>
              <w:bidi w:val="0"/>
              <w:spacing w:line="360" w:lineRule="auto"/>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以图表、表格、曲线图等方式展示门诊情况、医疗总收入趋势、医疗服务占比、出院情况、医疗用药占比、有效医疗收入占比。</w:t>
            </w:r>
          </w:p>
        </w:tc>
      </w:tr>
      <w:tr w14:paraId="58D89BEF">
        <w:tblPrEx>
          <w:tblCellMar>
            <w:top w:w="0" w:type="dxa"/>
            <w:left w:w="108" w:type="dxa"/>
            <w:bottom w:w="0" w:type="dxa"/>
            <w:right w:w="108" w:type="dxa"/>
          </w:tblCellMar>
        </w:tblPrEx>
        <w:trPr>
          <w:trHeight w:val="1080" w:hRule="atLeast"/>
        </w:trPr>
        <w:tc>
          <w:tcPr>
            <w:tcW w:w="234" w:type="pct"/>
            <w:tcBorders>
              <w:top w:val="nil"/>
              <w:left w:val="single" w:color="auto" w:sz="4" w:space="0"/>
              <w:bottom w:val="single" w:color="auto" w:sz="4" w:space="0"/>
              <w:right w:val="single" w:color="auto" w:sz="4" w:space="0"/>
            </w:tcBorders>
            <w:noWrap/>
            <w:vAlign w:val="center"/>
          </w:tcPr>
          <w:p w14:paraId="71E4A6D8">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8</w:t>
            </w:r>
          </w:p>
        </w:tc>
        <w:tc>
          <w:tcPr>
            <w:tcW w:w="704" w:type="pct"/>
            <w:vMerge w:val="continue"/>
            <w:tcBorders>
              <w:left w:val="nil"/>
              <w:right w:val="single" w:color="auto" w:sz="4" w:space="0"/>
            </w:tcBorders>
            <w:noWrap/>
            <w:vAlign w:val="center"/>
          </w:tcPr>
          <w:p w14:paraId="28F65714">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p>
        </w:tc>
        <w:tc>
          <w:tcPr>
            <w:tcW w:w="768" w:type="pct"/>
            <w:tcBorders>
              <w:top w:val="nil"/>
              <w:left w:val="nil"/>
              <w:bottom w:val="single" w:color="auto" w:sz="4" w:space="0"/>
              <w:right w:val="single" w:color="auto" w:sz="4" w:space="0"/>
            </w:tcBorders>
            <w:noWrap/>
            <w:vAlign w:val="center"/>
          </w:tcPr>
          <w:p w14:paraId="5F0F72BA">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运营质量大屏</w:t>
            </w:r>
          </w:p>
        </w:tc>
        <w:tc>
          <w:tcPr>
            <w:tcW w:w="3292" w:type="pct"/>
            <w:tcBorders>
              <w:top w:val="nil"/>
              <w:left w:val="nil"/>
              <w:bottom w:val="single" w:color="auto" w:sz="4" w:space="0"/>
              <w:right w:val="single" w:color="auto" w:sz="4" w:space="0"/>
            </w:tcBorders>
            <w:noWrap w:val="0"/>
            <w:vAlign w:val="center"/>
          </w:tcPr>
          <w:p w14:paraId="3BAC5D1C">
            <w:pPr>
              <w:keepNext w:val="0"/>
              <w:keepLines w:val="0"/>
              <w:pageBreakBefore w:val="0"/>
              <w:widowControl/>
              <w:kinsoku/>
              <w:wordWrap/>
              <w:overflowPunct/>
              <w:topLinePunct w:val="0"/>
              <w:autoSpaceDE/>
              <w:autoSpaceDN/>
              <w:bidi w:val="0"/>
              <w:spacing w:line="360" w:lineRule="auto"/>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以图表、表格、曲线图等方式展示出院患者手术占比、RW大于等于2的全年出院人次比例、病例组合指数（CMI）、全年平均住院日、抗菌药物使用强度等指标。</w:t>
            </w:r>
          </w:p>
        </w:tc>
      </w:tr>
      <w:tr w14:paraId="5D36E617">
        <w:tblPrEx>
          <w:tblCellMar>
            <w:top w:w="0" w:type="dxa"/>
            <w:left w:w="108" w:type="dxa"/>
            <w:bottom w:w="0" w:type="dxa"/>
            <w:right w:w="108" w:type="dxa"/>
          </w:tblCellMar>
        </w:tblPrEx>
        <w:trPr>
          <w:trHeight w:val="810" w:hRule="atLeast"/>
        </w:trPr>
        <w:tc>
          <w:tcPr>
            <w:tcW w:w="234" w:type="pct"/>
            <w:tcBorders>
              <w:top w:val="nil"/>
              <w:left w:val="single" w:color="auto" w:sz="4" w:space="0"/>
              <w:bottom w:val="single" w:color="auto" w:sz="4" w:space="0"/>
              <w:right w:val="single" w:color="auto" w:sz="4" w:space="0"/>
            </w:tcBorders>
            <w:noWrap/>
            <w:vAlign w:val="center"/>
          </w:tcPr>
          <w:p w14:paraId="64D21DB1">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9</w:t>
            </w:r>
          </w:p>
        </w:tc>
        <w:tc>
          <w:tcPr>
            <w:tcW w:w="704" w:type="pct"/>
            <w:vMerge w:val="continue"/>
            <w:tcBorders>
              <w:left w:val="nil"/>
              <w:bottom w:val="single" w:color="auto" w:sz="4" w:space="0"/>
              <w:right w:val="single" w:color="auto" w:sz="4" w:space="0"/>
            </w:tcBorders>
            <w:noWrap/>
            <w:vAlign w:val="center"/>
          </w:tcPr>
          <w:p w14:paraId="33E7C8BC">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p>
        </w:tc>
        <w:tc>
          <w:tcPr>
            <w:tcW w:w="768" w:type="pct"/>
            <w:tcBorders>
              <w:top w:val="nil"/>
              <w:left w:val="nil"/>
              <w:bottom w:val="single" w:color="auto" w:sz="4" w:space="0"/>
              <w:right w:val="single" w:color="auto" w:sz="4" w:space="0"/>
            </w:tcBorders>
            <w:noWrap/>
            <w:vAlign w:val="center"/>
          </w:tcPr>
          <w:p w14:paraId="2D02BC3A">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运营绩效大屏</w:t>
            </w:r>
          </w:p>
        </w:tc>
        <w:tc>
          <w:tcPr>
            <w:tcW w:w="3292" w:type="pct"/>
            <w:tcBorders>
              <w:top w:val="nil"/>
              <w:left w:val="nil"/>
              <w:bottom w:val="single" w:color="auto" w:sz="4" w:space="0"/>
              <w:right w:val="single" w:color="auto" w:sz="4" w:space="0"/>
            </w:tcBorders>
            <w:noWrap w:val="0"/>
            <w:vAlign w:val="center"/>
          </w:tcPr>
          <w:p w14:paraId="58D1A075">
            <w:pPr>
              <w:keepNext w:val="0"/>
              <w:keepLines w:val="0"/>
              <w:pageBreakBefore w:val="0"/>
              <w:widowControl/>
              <w:kinsoku/>
              <w:wordWrap/>
              <w:overflowPunct/>
              <w:topLinePunct w:val="0"/>
              <w:autoSpaceDE/>
              <w:autoSpaceDN/>
              <w:bidi w:val="0"/>
              <w:spacing w:line="360" w:lineRule="auto"/>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以图表、表格、曲线图等方式展示万元收入能耗支出、门诊次均药品费用、祝愿次均药品费用等信息。</w:t>
            </w:r>
          </w:p>
        </w:tc>
      </w:tr>
      <w:tr w14:paraId="3EBB51FA">
        <w:tblPrEx>
          <w:tblCellMar>
            <w:top w:w="0" w:type="dxa"/>
            <w:left w:w="108" w:type="dxa"/>
            <w:bottom w:w="0" w:type="dxa"/>
            <w:right w:w="108" w:type="dxa"/>
          </w:tblCellMar>
        </w:tblPrEx>
        <w:trPr>
          <w:trHeight w:val="540" w:hRule="atLeast"/>
        </w:trPr>
        <w:tc>
          <w:tcPr>
            <w:tcW w:w="234" w:type="pct"/>
            <w:tcBorders>
              <w:top w:val="nil"/>
              <w:left w:val="single" w:color="auto" w:sz="4" w:space="0"/>
              <w:bottom w:val="single" w:color="auto" w:sz="4" w:space="0"/>
              <w:right w:val="single" w:color="auto" w:sz="4" w:space="0"/>
            </w:tcBorders>
            <w:noWrap/>
            <w:vAlign w:val="center"/>
          </w:tcPr>
          <w:p w14:paraId="56B23CB1">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10</w:t>
            </w:r>
          </w:p>
        </w:tc>
        <w:tc>
          <w:tcPr>
            <w:tcW w:w="704" w:type="pct"/>
            <w:vMerge w:val="restart"/>
            <w:tcBorders>
              <w:top w:val="nil"/>
              <w:left w:val="nil"/>
              <w:right w:val="single" w:color="auto" w:sz="4" w:space="0"/>
            </w:tcBorders>
            <w:noWrap/>
            <w:vAlign w:val="center"/>
          </w:tcPr>
          <w:p w14:paraId="4477CAFF">
            <w:pPr>
              <w:keepNext w:val="0"/>
              <w:keepLines w:val="0"/>
              <w:pageBreakBefore w:val="0"/>
              <w:widowControl/>
              <w:kinsoku/>
              <w:wordWrap/>
              <w:overflowPunct/>
              <w:topLinePunct w:val="0"/>
              <w:autoSpaceDE/>
              <w:autoSpaceDN/>
              <w:bidi w:val="0"/>
              <w:spacing w:line="360" w:lineRule="auto"/>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数据归集</w:t>
            </w:r>
          </w:p>
          <w:p w14:paraId="6B5FE070">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w:t>
            </w:r>
          </w:p>
        </w:tc>
        <w:tc>
          <w:tcPr>
            <w:tcW w:w="768" w:type="pct"/>
            <w:tcBorders>
              <w:top w:val="nil"/>
              <w:left w:val="nil"/>
              <w:bottom w:val="single" w:color="auto" w:sz="4" w:space="0"/>
              <w:right w:val="single" w:color="auto" w:sz="4" w:space="0"/>
            </w:tcBorders>
            <w:noWrap/>
            <w:vAlign w:val="center"/>
          </w:tcPr>
          <w:p w14:paraId="00A965FE">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归集任务开发</w:t>
            </w:r>
          </w:p>
        </w:tc>
        <w:tc>
          <w:tcPr>
            <w:tcW w:w="3292" w:type="pct"/>
            <w:tcBorders>
              <w:top w:val="nil"/>
              <w:left w:val="nil"/>
              <w:bottom w:val="single" w:color="auto" w:sz="4" w:space="0"/>
              <w:right w:val="single" w:color="auto" w:sz="4" w:space="0"/>
            </w:tcBorders>
            <w:noWrap w:val="0"/>
            <w:vAlign w:val="center"/>
          </w:tcPr>
          <w:p w14:paraId="68F640F7">
            <w:pPr>
              <w:keepNext w:val="0"/>
              <w:keepLines w:val="0"/>
              <w:pageBreakBefore w:val="0"/>
              <w:widowControl/>
              <w:kinsoku/>
              <w:wordWrap/>
              <w:overflowPunct/>
              <w:topLinePunct w:val="0"/>
              <w:autoSpaceDE/>
              <w:autoSpaceDN/>
              <w:bidi w:val="0"/>
              <w:spacing w:line="360" w:lineRule="auto"/>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通过定时任务，每日晚上从数据高铁平台获取相关指标数据。</w:t>
            </w:r>
          </w:p>
        </w:tc>
      </w:tr>
      <w:tr w14:paraId="298F9D8D">
        <w:tblPrEx>
          <w:tblCellMar>
            <w:top w:w="0" w:type="dxa"/>
            <w:left w:w="108" w:type="dxa"/>
            <w:bottom w:w="0" w:type="dxa"/>
            <w:right w:w="108" w:type="dxa"/>
          </w:tblCellMar>
        </w:tblPrEx>
        <w:trPr>
          <w:trHeight w:val="535" w:hRule="atLeast"/>
        </w:trPr>
        <w:tc>
          <w:tcPr>
            <w:tcW w:w="234" w:type="pct"/>
            <w:tcBorders>
              <w:top w:val="nil"/>
              <w:left w:val="single" w:color="auto" w:sz="4" w:space="0"/>
              <w:bottom w:val="single" w:color="auto" w:sz="4" w:space="0"/>
              <w:right w:val="single" w:color="auto" w:sz="4" w:space="0"/>
            </w:tcBorders>
            <w:noWrap/>
            <w:vAlign w:val="center"/>
          </w:tcPr>
          <w:p w14:paraId="351D1242">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11</w:t>
            </w:r>
          </w:p>
        </w:tc>
        <w:tc>
          <w:tcPr>
            <w:tcW w:w="704" w:type="pct"/>
            <w:vMerge w:val="continue"/>
            <w:tcBorders>
              <w:left w:val="nil"/>
              <w:bottom w:val="single" w:color="auto" w:sz="4" w:space="0"/>
              <w:right w:val="single" w:color="auto" w:sz="4" w:space="0"/>
            </w:tcBorders>
            <w:noWrap/>
            <w:vAlign w:val="center"/>
          </w:tcPr>
          <w:p w14:paraId="598EFA41">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p>
        </w:tc>
        <w:tc>
          <w:tcPr>
            <w:tcW w:w="768" w:type="pct"/>
            <w:tcBorders>
              <w:top w:val="nil"/>
              <w:left w:val="nil"/>
              <w:bottom w:val="single" w:color="auto" w:sz="4" w:space="0"/>
              <w:right w:val="single" w:color="auto" w:sz="4" w:space="0"/>
            </w:tcBorders>
            <w:noWrap/>
            <w:vAlign w:val="center"/>
          </w:tcPr>
          <w:p w14:paraId="03B927EB">
            <w:pPr>
              <w:keepNext w:val="0"/>
              <w:keepLines w:val="0"/>
              <w:pageBreakBefore w:val="0"/>
              <w:widowControl/>
              <w:kinsoku/>
              <w:wordWrap/>
              <w:overflowPunct/>
              <w:topLinePunct w:val="0"/>
              <w:autoSpaceDE/>
              <w:autoSpaceDN/>
              <w:bidi w:val="0"/>
              <w:spacing w:line="36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任务监控</w:t>
            </w:r>
          </w:p>
        </w:tc>
        <w:tc>
          <w:tcPr>
            <w:tcW w:w="3292" w:type="pct"/>
            <w:tcBorders>
              <w:top w:val="nil"/>
              <w:left w:val="nil"/>
              <w:bottom w:val="single" w:color="auto" w:sz="4" w:space="0"/>
              <w:right w:val="single" w:color="auto" w:sz="4" w:space="0"/>
            </w:tcBorders>
            <w:noWrap w:val="0"/>
            <w:vAlign w:val="center"/>
          </w:tcPr>
          <w:p w14:paraId="1B9B5F78">
            <w:pPr>
              <w:keepNext w:val="0"/>
              <w:keepLines w:val="0"/>
              <w:pageBreakBefore w:val="0"/>
              <w:widowControl/>
              <w:kinsoku/>
              <w:wordWrap/>
              <w:overflowPunct/>
              <w:topLinePunct w:val="0"/>
              <w:autoSpaceDE/>
              <w:autoSpaceDN/>
              <w:bidi w:val="0"/>
              <w:spacing w:line="360" w:lineRule="auto"/>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数据获取失败时，发送告警到相关的钉钉群</w:t>
            </w:r>
          </w:p>
        </w:tc>
      </w:tr>
    </w:tbl>
    <w:p w14:paraId="1B499DF6">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四、未成年人侵害监管数据治理</w:t>
      </w:r>
    </w:p>
    <w:p w14:paraId="0746671F">
      <w:pPr>
        <w:keepNext w:val="0"/>
        <w:keepLines w:val="0"/>
        <w:pageBreakBefore w:val="0"/>
        <w:kinsoku/>
        <w:wordWrap/>
        <w:overflowPunct/>
        <w:topLinePunct w:val="0"/>
        <w:autoSpaceDE/>
        <w:autoSpaceDN/>
        <w:bidi w:val="0"/>
        <w:spacing w:line="360" w:lineRule="auto"/>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rPr>
        <w:t>1.</w:t>
      </w:r>
      <w:r>
        <w:rPr>
          <w:rFonts w:hint="eastAsia" w:ascii="新宋体" w:hAnsi="新宋体" w:eastAsia="新宋体" w:cs="新宋体"/>
          <w:color w:val="auto"/>
          <w:kern w:val="0"/>
          <w:sz w:val="22"/>
          <w:szCs w:val="22"/>
          <w:highlight w:val="none"/>
          <w:lang w:eastAsia="zh-CN"/>
        </w:rPr>
        <w:t>未成年人侵害</w:t>
      </w:r>
      <w:r>
        <w:rPr>
          <w:rFonts w:hint="eastAsia" w:ascii="新宋体" w:hAnsi="新宋体" w:eastAsia="新宋体" w:cs="新宋体"/>
          <w:color w:val="auto"/>
          <w:kern w:val="0"/>
          <w:sz w:val="22"/>
          <w:szCs w:val="22"/>
          <w:highlight w:val="none"/>
          <w:lang w:val="en-US" w:eastAsia="zh-CN"/>
        </w:rPr>
        <w:t>监管平台</w:t>
      </w:r>
      <w:r>
        <w:rPr>
          <w:rFonts w:hint="eastAsia" w:ascii="新宋体" w:hAnsi="新宋体" w:eastAsia="新宋体" w:cs="新宋体"/>
          <w:color w:val="auto"/>
          <w:kern w:val="0"/>
          <w:sz w:val="22"/>
          <w:szCs w:val="22"/>
          <w:highlight w:val="none"/>
        </w:rPr>
        <w:t>技术要求及参数</w:t>
      </w:r>
      <w:r>
        <w:rPr>
          <w:rFonts w:hint="eastAsia" w:ascii="新宋体" w:hAnsi="新宋体" w:eastAsia="新宋体" w:cs="新宋体"/>
          <w:color w:val="auto"/>
          <w:kern w:val="0"/>
          <w:sz w:val="22"/>
          <w:szCs w:val="22"/>
          <w:highlight w:val="none"/>
          <w:lang w:val="en-US" w:eastAsia="zh-CN"/>
        </w:rPr>
        <w:t>如下：</w:t>
      </w:r>
    </w:p>
    <w:tbl>
      <w:tblPr>
        <w:tblStyle w:val="31"/>
        <w:tblW w:w="491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
        <w:gridCol w:w="1272"/>
        <w:gridCol w:w="1267"/>
        <w:gridCol w:w="1264"/>
        <w:gridCol w:w="5036"/>
      </w:tblGrid>
      <w:tr w14:paraId="3CF3F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48" w:type="pct"/>
            <w:noWrap/>
            <w:vAlign w:val="center"/>
          </w:tcPr>
          <w:p w14:paraId="77F2D561">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b/>
                <w:bCs/>
                <w:color w:val="auto"/>
                <w:kern w:val="0"/>
                <w:sz w:val="22"/>
                <w:szCs w:val="22"/>
                <w:highlight w:val="none"/>
                <w:lang w:bidi="ar"/>
              </w:rPr>
            </w:pPr>
            <w:r>
              <w:rPr>
                <w:rFonts w:hint="eastAsia" w:ascii="新宋体" w:hAnsi="新宋体" w:eastAsia="新宋体" w:cs="新宋体"/>
                <w:b/>
                <w:bCs/>
                <w:color w:val="auto"/>
                <w:kern w:val="0"/>
                <w:sz w:val="22"/>
                <w:szCs w:val="22"/>
                <w:highlight w:val="none"/>
                <w:lang w:bidi="ar"/>
              </w:rPr>
              <w:t>序号</w:t>
            </w:r>
          </w:p>
        </w:tc>
        <w:tc>
          <w:tcPr>
            <w:tcW w:w="683" w:type="pct"/>
            <w:noWrap/>
            <w:vAlign w:val="center"/>
          </w:tcPr>
          <w:p w14:paraId="771847BB">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b/>
                <w:bCs/>
                <w:color w:val="auto"/>
                <w:kern w:val="0"/>
                <w:sz w:val="22"/>
                <w:szCs w:val="22"/>
                <w:highlight w:val="none"/>
                <w:lang w:bidi="ar"/>
              </w:rPr>
            </w:pPr>
            <w:r>
              <w:rPr>
                <w:rFonts w:hint="eastAsia" w:ascii="新宋体" w:hAnsi="新宋体" w:eastAsia="新宋体" w:cs="新宋体"/>
                <w:b/>
                <w:bCs/>
                <w:color w:val="auto"/>
                <w:kern w:val="0"/>
                <w:sz w:val="22"/>
                <w:szCs w:val="22"/>
                <w:highlight w:val="none"/>
                <w:lang w:bidi="ar"/>
              </w:rPr>
              <w:t>模块</w:t>
            </w:r>
          </w:p>
        </w:tc>
        <w:tc>
          <w:tcPr>
            <w:tcW w:w="1360" w:type="pct"/>
            <w:gridSpan w:val="2"/>
            <w:noWrap/>
            <w:vAlign w:val="center"/>
          </w:tcPr>
          <w:p w14:paraId="1BF40091">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b/>
                <w:bCs/>
                <w:color w:val="auto"/>
                <w:kern w:val="0"/>
                <w:sz w:val="22"/>
                <w:szCs w:val="22"/>
                <w:highlight w:val="none"/>
                <w:lang w:bidi="ar"/>
              </w:rPr>
            </w:pPr>
            <w:r>
              <w:rPr>
                <w:rFonts w:hint="eastAsia" w:ascii="新宋体" w:hAnsi="新宋体" w:eastAsia="新宋体" w:cs="新宋体"/>
                <w:b/>
                <w:bCs/>
                <w:color w:val="auto"/>
                <w:kern w:val="0"/>
                <w:sz w:val="22"/>
                <w:szCs w:val="22"/>
                <w:highlight w:val="none"/>
                <w:lang w:bidi="ar"/>
              </w:rPr>
              <w:t>功能项</w:t>
            </w:r>
          </w:p>
        </w:tc>
        <w:tc>
          <w:tcPr>
            <w:tcW w:w="2707" w:type="pct"/>
            <w:noWrap w:val="0"/>
            <w:vAlign w:val="center"/>
          </w:tcPr>
          <w:p w14:paraId="6B0B582F">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b/>
                <w:bCs/>
                <w:color w:val="auto"/>
                <w:kern w:val="0"/>
                <w:sz w:val="22"/>
                <w:szCs w:val="22"/>
                <w:highlight w:val="none"/>
                <w:lang w:bidi="ar"/>
              </w:rPr>
            </w:pPr>
            <w:r>
              <w:rPr>
                <w:rFonts w:hint="eastAsia" w:ascii="新宋体" w:hAnsi="新宋体" w:eastAsia="新宋体" w:cs="新宋体"/>
                <w:b/>
                <w:bCs/>
                <w:color w:val="auto"/>
                <w:kern w:val="0"/>
                <w:sz w:val="22"/>
                <w:szCs w:val="22"/>
                <w:highlight w:val="none"/>
                <w:lang w:bidi="ar"/>
              </w:rPr>
              <w:t>技术参数</w:t>
            </w:r>
          </w:p>
        </w:tc>
      </w:tr>
      <w:tr w14:paraId="6338A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48" w:type="pct"/>
            <w:noWrap/>
            <w:vAlign w:val="center"/>
          </w:tcPr>
          <w:p w14:paraId="4EDECFE4">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1</w:t>
            </w:r>
          </w:p>
        </w:tc>
        <w:tc>
          <w:tcPr>
            <w:tcW w:w="683" w:type="pct"/>
            <w:vMerge w:val="restart"/>
            <w:noWrap/>
            <w:vAlign w:val="center"/>
          </w:tcPr>
          <w:p w14:paraId="6D6AE468">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PC端监管平台</w:t>
            </w:r>
          </w:p>
        </w:tc>
        <w:tc>
          <w:tcPr>
            <w:tcW w:w="1360" w:type="pct"/>
            <w:gridSpan w:val="2"/>
            <w:noWrap/>
            <w:vAlign w:val="center"/>
          </w:tcPr>
          <w:p w14:paraId="4D4EAC19">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用户登录</w:t>
            </w:r>
          </w:p>
        </w:tc>
        <w:tc>
          <w:tcPr>
            <w:tcW w:w="2707" w:type="pct"/>
            <w:noWrap w:val="0"/>
            <w:vAlign w:val="center"/>
          </w:tcPr>
          <w:p w14:paraId="36F59668">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输入账号、密码和验证码登录。</w:t>
            </w:r>
          </w:p>
        </w:tc>
      </w:tr>
      <w:tr w14:paraId="65586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248" w:type="pct"/>
            <w:noWrap/>
            <w:vAlign w:val="center"/>
          </w:tcPr>
          <w:p w14:paraId="38F36CD9">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2</w:t>
            </w:r>
          </w:p>
        </w:tc>
        <w:tc>
          <w:tcPr>
            <w:tcW w:w="683" w:type="pct"/>
            <w:vMerge w:val="continue"/>
            <w:noWrap/>
            <w:vAlign w:val="center"/>
          </w:tcPr>
          <w:p w14:paraId="58BF969D">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680" w:type="pct"/>
            <w:vMerge w:val="restart"/>
            <w:noWrap/>
            <w:vAlign w:val="center"/>
          </w:tcPr>
          <w:p w14:paraId="6BC47A7B">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报告监管</w:t>
            </w:r>
          </w:p>
        </w:tc>
        <w:tc>
          <w:tcPr>
            <w:tcW w:w="679" w:type="pct"/>
            <w:noWrap/>
            <w:vAlign w:val="center"/>
          </w:tcPr>
          <w:p w14:paraId="77EC7DAA">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综合分析</w:t>
            </w:r>
          </w:p>
        </w:tc>
        <w:tc>
          <w:tcPr>
            <w:tcW w:w="2707" w:type="pct"/>
            <w:noWrap w:val="0"/>
            <w:vAlign w:val="center"/>
          </w:tcPr>
          <w:p w14:paraId="3E532578">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★以图表、表格、曲线图等方式展示上报信息概况，包括区域分布概况、性别占比概况、年龄占比概况、上报趋势、最新上报报告等信息</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b/>
                <w:bCs/>
                <w:color w:val="auto"/>
                <w:sz w:val="22"/>
                <w:szCs w:val="22"/>
                <w:highlight w:val="none"/>
                <w:lang w:val="en-US" w:eastAsia="zh-CN" w:bidi="ar"/>
              </w:rPr>
              <w:t>需</w:t>
            </w:r>
            <w:r>
              <w:rPr>
                <w:rFonts w:hint="default" w:ascii="新宋体" w:hAnsi="新宋体" w:eastAsia="新宋体" w:cs="新宋体"/>
                <w:b/>
                <w:bCs/>
                <w:color w:val="auto"/>
                <w:sz w:val="22"/>
                <w:szCs w:val="22"/>
                <w:highlight w:val="none"/>
                <w:lang w:val="en-US" w:bidi="ar"/>
              </w:rPr>
              <w:t>提供系统功能截图等佐证材料加盖投标供应商公章</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w:t>
            </w:r>
          </w:p>
        </w:tc>
      </w:tr>
      <w:tr w14:paraId="49A89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48" w:type="pct"/>
            <w:noWrap/>
            <w:vAlign w:val="center"/>
          </w:tcPr>
          <w:p w14:paraId="437D260D">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3</w:t>
            </w:r>
          </w:p>
        </w:tc>
        <w:tc>
          <w:tcPr>
            <w:tcW w:w="683" w:type="pct"/>
            <w:vMerge w:val="continue"/>
            <w:noWrap/>
            <w:vAlign w:val="center"/>
          </w:tcPr>
          <w:p w14:paraId="34DCF537">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680" w:type="pct"/>
            <w:vMerge w:val="continue"/>
            <w:noWrap/>
            <w:vAlign w:val="center"/>
          </w:tcPr>
          <w:p w14:paraId="32860B32">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p>
        </w:tc>
        <w:tc>
          <w:tcPr>
            <w:tcW w:w="679" w:type="pct"/>
            <w:noWrap/>
            <w:vAlign w:val="center"/>
          </w:tcPr>
          <w:p w14:paraId="32EFED62">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数字化监管</w:t>
            </w:r>
          </w:p>
        </w:tc>
        <w:tc>
          <w:tcPr>
            <w:tcW w:w="2707" w:type="pct"/>
            <w:noWrap w:val="0"/>
            <w:vAlign w:val="center"/>
          </w:tcPr>
          <w:p w14:paraId="40A6B0C8">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以列表形式展示通过审核上报信息，支持查看、搜索等功能。</w:t>
            </w:r>
          </w:p>
        </w:tc>
      </w:tr>
      <w:tr w14:paraId="68C64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48" w:type="pct"/>
            <w:noWrap/>
            <w:vAlign w:val="center"/>
          </w:tcPr>
          <w:p w14:paraId="4FF84070">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4</w:t>
            </w:r>
          </w:p>
        </w:tc>
        <w:tc>
          <w:tcPr>
            <w:tcW w:w="683" w:type="pct"/>
            <w:vMerge w:val="continue"/>
            <w:noWrap/>
            <w:vAlign w:val="center"/>
          </w:tcPr>
          <w:p w14:paraId="799CBF31">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680" w:type="pct"/>
            <w:vMerge w:val="continue"/>
            <w:noWrap/>
            <w:vAlign w:val="center"/>
          </w:tcPr>
          <w:p w14:paraId="7368DDD6">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p>
        </w:tc>
        <w:tc>
          <w:tcPr>
            <w:tcW w:w="679" w:type="pct"/>
            <w:noWrap/>
            <w:vAlign w:val="center"/>
          </w:tcPr>
          <w:p w14:paraId="76AF2597">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年度报告</w:t>
            </w:r>
          </w:p>
        </w:tc>
        <w:tc>
          <w:tcPr>
            <w:tcW w:w="2707" w:type="pct"/>
            <w:noWrap w:val="0"/>
            <w:vAlign w:val="center"/>
          </w:tcPr>
          <w:p w14:paraId="6489795B">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以列表形式展示年度报告，支持查看、搜索及导出数据等功能。</w:t>
            </w:r>
          </w:p>
        </w:tc>
      </w:tr>
      <w:tr w14:paraId="09E37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48" w:type="pct"/>
            <w:noWrap/>
            <w:vAlign w:val="center"/>
          </w:tcPr>
          <w:p w14:paraId="454E101F">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5</w:t>
            </w:r>
          </w:p>
        </w:tc>
        <w:tc>
          <w:tcPr>
            <w:tcW w:w="683" w:type="pct"/>
            <w:vMerge w:val="continue"/>
            <w:noWrap/>
            <w:vAlign w:val="center"/>
          </w:tcPr>
          <w:p w14:paraId="3D916AA7">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1360" w:type="pct"/>
            <w:gridSpan w:val="2"/>
            <w:noWrap/>
            <w:vAlign w:val="center"/>
          </w:tcPr>
          <w:p w14:paraId="03733628">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报告记录</w:t>
            </w:r>
          </w:p>
        </w:tc>
        <w:tc>
          <w:tcPr>
            <w:tcW w:w="2707" w:type="pct"/>
            <w:noWrap w:val="0"/>
            <w:vAlign w:val="center"/>
          </w:tcPr>
          <w:p w14:paraId="090BA488">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以列表形式展示医疗机构上报的信息，支持搜索、查看等功能。</w:t>
            </w:r>
          </w:p>
        </w:tc>
      </w:tr>
      <w:tr w14:paraId="1020E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48" w:type="pct"/>
            <w:noWrap/>
            <w:vAlign w:val="center"/>
          </w:tcPr>
          <w:p w14:paraId="42E03F03">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6</w:t>
            </w:r>
          </w:p>
        </w:tc>
        <w:tc>
          <w:tcPr>
            <w:tcW w:w="683" w:type="pct"/>
            <w:vMerge w:val="continue"/>
            <w:noWrap/>
            <w:vAlign w:val="center"/>
          </w:tcPr>
          <w:p w14:paraId="33F54416">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680" w:type="pct"/>
            <w:vMerge w:val="restart"/>
            <w:noWrap/>
            <w:vAlign w:val="center"/>
          </w:tcPr>
          <w:p w14:paraId="33ED790A">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核实审核</w:t>
            </w:r>
          </w:p>
        </w:tc>
        <w:tc>
          <w:tcPr>
            <w:tcW w:w="679" w:type="pct"/>
            <w:noWrap/>
            <w:vAlign w:val="center"/>
          </w:tcPr>
          <w:p w14:paraId="6A1D5E62">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核实审核</w:t>
            </w:r>
          </w:p>
        </w:tc>
        <w:tc>
          <w:tcPr>
            <w:tcW w:w="2707" w:type="pct"/>
            <w:noWrap w:val="0"/>
            <w:vAlign w:val="center"/>
          </w:tcPr>
          <w:p w14:paraId="48C4D2F8">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以列表形式展示医疗机构上报的信息，支持卫建管理人员审核、搜索、查看等功能。</w:t>
            </w:r>
          </w:p>
        </w:tc>
      </w:tr>
      <w:tr w14:paraId="3F3C8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48" w:type="pct"/>
            <w:noWrap/>
            <w:vAlign w:val="center"/>
          </w:tcPr>
          <w:p w14:paraId="564DFCAE">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7</w:t>
            </w:r>
          </w:p>
        </w:tc>
        <w:tc>
          <w:tcPr>
            <w:tcW w:w="683" w:type="pct"/>
            <w:vMerge w:val="continue"/>
            <w:noWrap/>
            <w:vAlign w:val="center"/>
          </w:tcPr>
          <w:p w14:paraId="76AA85B4">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680" w:type="pct"/>
            <w:vMerge w:val="continue"/>
            <w:noWrap/>
            <w:vAlign w:val="center"/>
          </w:tcPr>
          <w:p w14:paraId="4C3B0979">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p>
        </w:tc>
        <w:tc>
          <w:tcPr>
            <w:tcW w:w="679" w:type="pct"/>
            <w:noWrap/>
            <w:vAlign w:val="center"/>
          </w:tcPr>
          <w:p w14:paraId="0C03A20A">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报告审核</w:t>
            </w:r>
          </w:p>
        </w:tc>
        <w:tc>
          <w:tcPr>
            <w:tcW w:w="2707" w:type="pct"/>
            <w:noWrap w:val="0"/>
            <w:vAlign w:val="center"/>
          </w:tcPr>
          <w:p w14:paraId="53ACF63E">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以列表形式展示民政、教育渠道上报的信息，支持民政、教育管理人员审核、搜索、查看等功能。</w:t>
            </w:r>
          </w:p>
        </w:tc>
      </w:tr>
      <w:tr w14:paraId="15A24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48" w:type="pct"/>
            <w:noWrap/>
            <w:vAlign w:val="center"/>
          </w:tcPr>
          <w:p w14:paraId="5F50E415">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8</w:t>
            </w:r>
          </w:p>
        </w:tc>
        <w:tc>
          <w:tcPr>
            <w:tcW w:w="683" w:type="pct"/>
            <w:vMerge w:val="continue"/>
            <w:noWrap/>
            <w:vAlign w:val="center"/>
          </w:tcPr>
          <w:p w14:paraId="4EA1EDEE">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1360" w:type="pct"/>
            <w:gridSpan w:val="2"/>
            <w:noWrap/>
            <w:vAlign w:val="center"/>
          </w:tcPr>
          <w:p w14:paraId="79304474">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报告处理</w:t>
            </w:r>
          </w:p>
        </w:tc>
        <w:tc>
          <w:tcPr>
            <w:tcW w:w="2707" w:type="pct"/>
            <w:noWrap w:val="0"/>
            <w:vAlign w:val="center"/>
          </w:tcPr>
          <w:p w14:paraId="740E4899">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★以列表形式展示卫建、民政、教育审核通过的上报信息，支持公安管理人员处理、搜索、查看等功能</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b/>
                <w:bCs/>
                <w:color w:val="auto"/>
                <w:sz w:val="22"/>
                <w:szCs w:val="22"/>
                <w:highlight w:val="none"/>
                <w:lang w:val="en-US" w:eastAsia="zh-CN" w:bidi="ar"/>
              </w:rPr>
              <w:t>需</w:t>
            </w:r>
            <w:r>
              <w:rPr>
                <w:rFonts w:hint="default" w:ascii="新宋体" w:hAnsi="新宋体" w:eastAsia="新宋体" w:cs="新宋体"/>
                <w:b/>
                <w:bCs/>
                <w:color w:val="auto"/>
                <w:sz w:val="22"/>
                <w:szCs w:val="22"/>
                <w:highlight w:val="none"/>
                <w:lang w:val="en-US" w:bidi="ar"/>
              </w:rPr>
              <w:t>提供系统功能截图等佐证材料加盖投标供应商公章</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w:t>
            </w:r>
          </w:p>
        </w:tc>
      </w:tr>
      <w:tr w14:paraId="69B5A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48" w:type="pct"/>
            <w:noWrap/>
            <w:vAlign w:val="center"/>
          </w:tcPr>
          <w:p w14:paraId="5A315A90">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9</w:t>
            </w:r>
          </w:p>
        </w:tc>
        <w:tc>
          <w:tcPr>
            <w:tcW w:w="683" w:type="pct"/>
            <w:vMerge w:val="continue"/>
            <w:noWrap/>
            <w:vAlign w:val="center"/>
          </w:tcPr>
          <w:p w14:paraId="46153B99">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680" w:type="pct"/>
            <w:vMerge w:val="restart"/>
            <w:noWrap/>
            <w:vAlign w:val="center"/>
          </w:tcPr>
          <w:p w14:paraId="376BE30D">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组织管理</w:t>
            </w:r>
          </w:p>
        </w:tc>
        <w:tc>
          <w:tcPr>
            <w:tcW w:w="679" w:type="pct"/>
            <w:noWrap/>
            <w:vAlign w:val="center"/>
          </w:tcPr>
          <w:p w14:paraId="1D6EBD54">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组织信息</w:t>
            </w:r>
          </w:p>
        </w:tc>
        <w:tc>
          <w:tcPr>
            <w:tcW w:w="2707" w:type="pct"/>
            <w:noWrap w:val="0"/>
            <w:vAlign w:val="center"/>
          </w:tcPr>
          <w:p w14:paraId="37892503">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对组织基本信息进行新增、编辑、删除操作</w:t>
            </w:r>
          </w:p>
        </w:tc>
      </w:tr>
      <w:tr w14:paraId="42187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48" w:type="pct"/>
            <w:noWrap/>
            <w:vAlign w:val="center"/>
          </w:tcPr>
          <w:p w14:paraId="34FA9D7E">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10</w:t>
            </w:r>
          </w:p>
        </w:tc>
        <w:tc>
          <w:tcPr>
            <w:tcW w:w="683" w:type="pct"/>
            <w:vMerge w:val="continue"/>
            <w:noWrap/>
            <w:vAlign w:val="center"/>
          </w:tcPr>
          <w:p w14:paraId="76FE36B6">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680" w:type="pct"/>
            <w:vMerge w:val="continue"/>
            <w:noWrap/>
            <w:vAlign w:val="center"/>
          </w:tcPr>
          <w:p w14:paraId="0F0E698D">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p>
        </w:tc>
        <w:tc>
          <w:tcPr>
            <w:tcW w:w="679" w:type="pct"/>
            <w:noWrap/>
            <w:vAlign w:val="center"/>
          </w:tcPr>
          <w:p w14:paraId="08BB8CA9">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角色管理</w:t>
            </w:r>
          </w:p>
        </w:tc>
        <w:tc>
          <w:tcPr>
            <w:tcW w:w="2707" w:type="pct"/>
            <w:noWrap w:val="0"/>
            <w:vAlign w:val="center"/>
          </w:tcPr>
          <w:p w14:paraId="5AB32ADF">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角色的新增、菜单操作权限授权、编辑和删除</w:t>
            </w:r>
          </w:p>
        </w:tc>
      </w:tr>
      <w:tr w14:paraId="3E5BD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48" w:type="pct"/>
            <w:noWrap/>
            <w:vAlign w:val="center"/>
          </w:tcPr>
          <w:p w14:paraId="16DC457A">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11</w:t>
            </w:r>
          </w:p>
        </w:tc>
        <w:tc>
          <w:tcPr>
            <w:tcW w:w="683" w:type="pct"/>
            <w:vMerge w:val="continue"/>
            <w:noWrap/>
            <w:vAlign w:val="center"/>
          </w:tcPr>
          <w:p w14:paraId="0E88381B">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680" w:type="pct"/>
            <w:vMerge w:val="continue"/>
            <w:noWrap/>
            <w:vAlign w:val="center"/>
          </w:tcPr>
          <w:p w14:paraId="7D073137">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p>
        </w:tc>
        <w:tc>
          <w:tcPr>
            <w:tcW w:w="679" w:type="pct"/>
            <w:noWrap/>
            <w:vAlign w:val="center"/>
          </w:tcPr>
          <w:p w14:paraId="3C63CF82">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用户管理</w:t>
            </w:r>
          </w:p>
        </w:tc>
        <w:tc>
          <w:tcPr>
            <w:tcW w:w="2707" w:type="pct"/>
            <w:noWrap w:val="0"/>
            <w:vAlign w:val="center"/>
          </w:tcPr>
          <w:p w14:paraId="2C5BCF90">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对用户账号进行新增、编辑、删除、查询等操作。</w:t>
            </w:r>
          </w:p>
        </w:tc>
      </w:tr>
      <w:tr w14:paraId="6ECEA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48" w:type="pct"/>
            <w:noWrap/>
            <w:vAlign w:val="center"/>
          </w:tcPr>
          <w:p w14:paraId="5DC8D538">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12</w:t>
            </w:r>
          </w:p>
        </w:tc>
        <w:tc>
          <w:tcPr>
            <w:tcW w:w="683" w:type="pct"/>
            <w:vMerge w:val="continue"/>
            <w:noWrap/>
            <w:vAlign w:val="center"/>
          </w:tcPr>
          <w:p w14:paraId="3359C73F">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680" w:type="pct"/>
            <w:vMerge w:val="restart"/>
            <w:noWrap/>
            <w:vAlign w:val="center"/>
          </w:tcPr>
          <w:p w14:paraId="6C69D3DC">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日志管理</w:t>
            </w:r>
          </w:p>
        </w:tc>
        <w:tc>
          <w:tcPr>
            <w:tcW w:w="679" w:type="pct"/>
            <w:noWrap/>
            <w:vAlign w:val="center"/>
          </w:tcPr>
          <w:p w14:paraId="233230E5">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操作日志</w:t>
            </w:r>
          </w:p>
        </w:tc>
        <w:tc>
          <w:tcPr>
            <w:tcW w:w="2707" w:type="pct"/>
            <w:noWrap w:val="0"/>
            <w:vAlign w:val="center"/>
          </w:tcPr>
          <w:p w14:paraId="6BA25DDF">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记录用户在系统的操作行为，包括新增、编辑、删除等操作记录。</w:t>
            </w:r>
          </w:p>
        </w:tc>
      </w:tr>
      <w:tr w14:paraId="1421E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48" w:type="pct"/>
            <w:noWrap/>
            <w:vAlign w:val="center"/>
          </w:tcPr>
          <w:p w14:paraId="3BFF6B65">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13</w:t>
            </w:r>
          </w:p>
        </w:tc>
        <w:tc>
          <w:tcPr>
            <w:tcW w:w="683" w:type="pct"/>
            <w:vMerge w:val="continue"/>
            <w:noWrap/>
            <w:vAlign w:val="center"/>
          </w:tcPr>
          <w:p w14:paraId="7DEA2EEF">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680" w:type="pct"/>
            <w:vMerge w:val="continue"/>
            <w:noWrap/>
            <w:vAlign w:val="center"/>
          </w:tcPr>
          <w:p w14:paraId="30A03B60">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p>
        </w:tc>
        <w:tc>
          <w:tcPr>
            <w:tcW w:w="679" w:type="pct"/>
            <w:noWrap/>
            <w:vAlign w:val="center"/>
          </w:tcPr>
          <w:p w14:paraId="2CE4F1A9">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登录日志</w:t>
            </w:r>
          </w:p>
        </w:tc>
        <w:tc>
          <w:tcPr>
            <w:tcW w:w="2707" w:type="pct"/>
            <w:noWrap w:val="0"/>
            <w:vAlign w:val="center"/>
          </w:tcPr>
          <w:p w14:paraId="1C5EE849">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记录用户登录系统行为。</w:t>
            </w:r>
          </w:p>
        </w:tc>
      </w:tr>
      <w:tr w14:paraId="5DE30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8" w:type="pct"/>
            <w:noWrap/>
            <w:vAlign w:val="center"/>
          </w:tcPr>
          <w:p w14:paraId="1DD4F3BB">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14</w:t>
            </w:r>
          </w:p>
        </w:tc>
        <w:tc>
          <w:tcPr>
            <w:tcW w:w="683" w:type="pct"/>
            <w:vMerge w:val="continue"/>
            <w:noWrap/>
            <w:vAlign w:val="center"/>
          </w:tcPr>
          <w:p w14:paraId="08729E2F">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680" w:type="pct"/>
            <w:vMerge w:val="restart"/>
            <w:noWrap/>
            <w:vAlign w:val="center"/>
          </w:tcPr>
          <w:p w14:paraId="2F88DE40">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系统管理</w:t>
            </w:r>
          </w:p>
        </w:tc>
        <w:tc>
          <w:tcPr>
            <w:tcW w:w="679" w:type="pct"/>
            <w:noWrap/>
            <w:vAlign w:val="center"/>
          </w:tcPr>
          <w:p w14:paraId="641C9405">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菜单管理</w:t>
            </w:r>
          </w:p>
        </w:tc>
        <w:tc>
          <w:tcPr>
            <w:tcW w:w="2707" w:type="pct"/>
            <w:noWrap w:val="0"/>
            <w:vAlign w:val="center"/>
          </w:tcPr>
          <w:p w14:paraId="47BC9BC7">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对管理平台进行新增、编辑、密码修改、删除等操作。</w:t>
            </w:r>
          </w:p>
        </w:tc>
      </w:tr>
      <w:tr w14:paraId="79A5A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48" w:type="pct"/>
            <w:noWrap/>
            <w:vAlign w:val="center"/>
          </w:tcPr>
          <w:p w14:paraId="0D8AB937">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15</w:t>
            </w:r>
          </w:p>
        </w:tc>
        <w:tc>
          <w:tcPr>
            <w:tcW w:w="683" w:type="pct"/>
            <w:vMerge w:val="continue"/>
            <w:noWrap/>
            <w:vAlign w:val="center"/>
          </w:tcPr>
          <w:p w14:paraId="7016CCBE">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680" w:type="pct"/>
            <w:vMerge w:val="continue"/>
            <w:noWrap/>
            <w:vAlign w:val="center"/>
          </w:tcPr>
          <w:p w14:paraId="224D4E17">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p>
        </w:tc>
        <w:tc>
          <w:tcPr>
            <w:tcW w:w="679" w:type="pct"/>
            <w:noWrap/>
            <w:vAlign w:val="center"/>
          </w:tcPr>
          <w:p w14:paraId="70EF1385">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字典管理</w:t>
            </w:r>
          </w:p>
        </w:tc>
        <w:tc>
          <w:tcPr>
            <w:tcW w:w="2707" w:type="pct"/>
            <w:noWrap w:val="0"/>
            <w:vAlign w:val="center"/>
          </w:tcPr>
          <w:p w14:paraId="224944D3">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对数据字典进行新增、编辑、删除等操作。</w:t>
            </w:r>
          </w:p>
        </w:tc>
      </w:tr>
      <w:tr w14:paraId="6A05E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48" w:type="pct"/>
            <w:noWrap/>
            <w:vAlign w:val="center"/>
          </w:tcPr>
          <w:p w14:paraId="7BA96B24">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16</w:t>
            </w:r>
          </w:p>
        </w:tc>
        <w:tc>
          <w:tcPr>
            <w:tcW w:w="683" w:type="pct"/>
            <w:vMerge w:val="continue"/>
            <w:noWrap/>
            <w:vAlign w:val="center"/>
          </w:tcPr>
          <w:p w14:paraId="6A147F5C">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680" w:type="pct"/>
            <w:vMerge w:val="continue"/>
            <w:noWrap/>
            <w:vAlign w:val="center"/>
          </w:tcPr>
          <w:p w14:paraId="6F513453">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p>
        </w:tc>
        <w:tc>
          <w:tcPr>
            <w:tcW w:w="679" w:type="pct"/>
            <w:noWrap/>
            <w:vAlign w:val="center"/>
          </w:tcPr>
          <w:p w14:paraId="5748BCC8">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更新公告</w:t>
            </w:r>
          </w:p>
        </w:tc>
        <w:tc>
          <w:tcPr>
            <w:tcW w:w="2707" w:type="pct"/>
            <w:noWrap w:val="0"/>
            <w:vAlign w:val="center"/>
          </w:tcPr>
          <w:p w14:paraId="3DA540EC">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对更新公告进行新增、编辑、删除等操作。</w:t>
            </w:r>
          </w:p>
        </w:tc>
      </w:tr>
      <w:tr w14:paraId="6477A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48" w:type="pct"/>
            <w:noWrap/>
            <w:vAlign w:val="center"/>
          </w:tcPr>
          <w:p w14:paraId="694B49F4">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17</w:t>
            </w:r>
          </w:p>
        </w:tc>
        <w:tc>
          <w:tcPr>
            <w:tcW w:w="683" w:type="pct"/>
            <w:vMerge w:val="restart"/>
            <w:noWrap/>
            <w:vAlign w:val="center"/>
          </w:tcPr>
          <w:p w14:paraId="64EEE930">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移动端上报系统</w:t>
            </w:r>
          </w:p>
        </w:tc>
        <w:tc>
          <w:tcPr>
            <w:tcW w:w="1360" w:type="pct"/>
            <w:gridSpan w:val="2"/>
            <w:noWrap/>
            <w:vAlign w:val="center"/>
          </w:tcPr>
          <w:p w14:paraId="539D439B">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用户登录</w:t>
            </w:r>
          </w:p>
        </w:tc>
        <w:tc>
          <w:tcPr>
            <w:tcW w:w="2707" w:type="pct"/>
            <w:noWrap w:val="0"/>
            <w:vAlign w:val="center"/>
          </w:tcPr>
          <w:p w14:paraId="213EBB98">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以手机号码及短信验证码方式登录。</w:t>
            </w:r>
          </w:p>
        </w:tc>
      </w:tr>
      <w:tr w14:paraId="7A0FD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48" w:type="pct"/>
            <w:noWrap/>
            <w:vAlign w:val="center"/>
          </w:tcPr>
          <w:p w14:paraId="310050F9">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18</w:t>
            </w:r>
          </w:p>
        </w:tc>
        <w:tc>
          <w:tcPr>
            <w:tcW w:w="683" w:type="pct"/>
            <w:vMerge w:val="continue"/>
            <w:noWrap/>
            <w:vAlign w:val="center"/>
          </w:tcPr>
          <w:p w14:paraId="7396F9FA">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1360" w:type="pct"/>
            <w:gridSpan w:val="2"/>
            <w:noWrap/>
            <w:vAlign w:val="center"/>
          </w:tcPr>
          <w:p w14:paraId="43C7D459">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首页</w:t>
            </w:r>
          </w:p>
        </w:tc>
        <w:tc>
          <w:tcPr>
            <w:tcW w:w="2707" w:type="pct"/>
            <w:noWrap w:val="0"/>
            <w:vAlign w:val="center"/>
          </w:tcPr>
          <w:p w14:paraId="48EA568A">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展示登录用户信息及系统主要功能入口，包括信息填报、填报记录和一键报警等入口。</w:t>
            </w:r>
          </w:p>
        </w:tc>
      </w:tr>
      <w:tr w14:paraId="09D53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248" w:type="pct"/>
            <w:noWrap/>
            <w:vAlign w:val="center"/>
          </w:tcPr>
          <w:p w14:paraId="00E693A5">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19</w:t>
            </w:r>
          </w:p>
        </w:tc>
        <w:tc>
          <w:tcPr>
            <w:tcW w:w="683" w:type="pct"/>
            <w:vMerge w:val="continue"/>
            <w:noWrap/>
            <w:vAlign w:val="center"/>
          </w:tcPr>
          <w:p w14:paraId="67AA9D6B">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1360" w:type="pct"/>
            <w:gridSpan w:val="2"/>
            <w:noWrap/>
            <w:vAlign w:val="center"/>
          </w:tcPr>
          <w:p w14:paraId="2CECA97F">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信息填报</w:t>
            </w:r>
          </w:p>
        </w:tc>
        <w:tc>
          <w:tcPr>
            <w:tcW w:w="2707" w:type="pct"/>
            <w:noWrap w:val="0"/>
            <w:vAlign w:val="center"/>
          </w:tcPr>
          <w:p w14:paraId="42E27A35">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★以表单方式展示填报信息，包括姓名、性别、年龄、身份证号码、手机号码、监护人姓名、监护人号码、上报内容等信息，支持将填报信息提交至未成年人侵害监管平台</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b/>
                <w:bCs/>
                <w:color w:val="auto"/>
                <w:sz w:val="22"/>
                <w:szCs w:val="22"/>
                <w:highlight w:val="none"/>
                <w:lang w:val="en-US" w:eastAsia="zh-CN" w:bidi="ar"/>
              </w:rPr>
              <w:t>需</w:t>
            </w:r>
            <w:r>
              <w:rPr>
                <w:rFonts w:hint="default" w:ascii="新宋体" w:hAnsi="新宋体" w:eastAsia="新宋体" w:cs="新宋体"/>
                <w:b/>
                <w:bCs/>
                <w:color w:val="auto"/>
                <w:sz w:val="22"/>
                <w:szCs w:val="22"/>
                <w:highlight w:val="none"/>
                <w:lang w:val="en-US" w:bidi="ar"/>
              </w:rPr>
              <w:t>提供系统功能截图等佐证材料加盖投标供应商公章</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color w:val="auto"/>
                <w:kern w:val="0"/>
                <w:sz w:val="22"/>
                <w:szCs w:val="22"/>
                <w:highlight w:val="none"/>
                <w:lang w:bidi="ar"/>
              </w:rPr>
              <w:t>。</w:t>
            </w:r>
          </w:p>
        </w:tc>
      </w:tr>
      <w:tr w14:paraId="18525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48" w:type="pct"/>
            <w:noWrap/>
            <w:vAlign w:val="center"/>
          </w:tcPr>
          <w:p w14:paraId="5B70FA26">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20</w:t>
            </w:r>
          </w:p>
        </w:tc>
        <w:tc>
          <w:tcPr>
            <w:tcW w:w="683" w:type="pct"/>
            <w:vMerge w:val="continue"/>
            <w:noWrap/>
            <w:vAlign w:val="center"/>
          </w:tcPr>
          <w:p w14:paraId="2232663F">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1360" w:type="pct"/>
            <w:gridSpan w:val="2"/>
            <w:noWrap/>
            <w:vAlign w:val="center"/>
          </w:tcPr>
          <w:p w14:paraId="7483B374">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填报记录</w:t>
            </w:r>
          </w:p>
        </w:tc>
        <w:tc>
          <w:tcPr>
            <w:tcW w:w="2707" w:type="pct"/>
            <w:noWrap w:val="0"/>
            <w:vAlign w:val="center"/>
          </w:tcPr>
          <w:p w14:paraId="63489055">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以列表方式展示信息填报记录，支持查看填报详情。</w:t>
            </w:r>
          </w:p>
        </w:tc>
      </w:tr>
      <w:tr w14:paraId="4113B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48" w:type="pct"/>
            <w:noWrap/>
            <w:vAlign w:val="center"/>
          </w:tcPr>
          <w:p w14:paraId="36BD296E">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21</w:t>
            </w:r>
          </w:p>
        </w:tc>
        <w:tc>
          <w:tcPr>
            <w:tcW w:w="683" w:type="pct"/>
            <w:vMerge w:val="restart"/>
            <w:noWrap/>
            <w:vAlign w:val="center"/>
          </w:tcPr>
          <w:p w14:paraId="0C00A4E9">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数据对接</w:t>
            </w:r>
          </w:p>
        </w:tc>
        <w:tc>
          <w:tcPr>
            <w:tcW w:w="1360" w:type="pct"/>
            <w:gridSpan w:val="2"/>
            <w:noWrap/>
            <w:vAlign w:val="center"/>
          </w:tcPr>
          <w:p w14:paraId="702DCE1D">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医疗机构接口开发</w:t>
            </w:r>
          </w:p>
        </w:tc>
        <w:tc>
          <w:tcPr>
            <w:tcW w:w="2707" w:type="pct"/>
            <w:noWrap w:val="0"/>
            <w:vAlign w:val="center"/>
          </w:tcPr>
          <w:p w14:paraId="09D5A3B8">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★未成年人侵害判断条件与机制；HIS系统强制/主动上报接口开发；强制/主动弹窗嵌入开发</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b/>
                <w:bCs/>
                <w:color w:val="auto"/>
                <w:sz w:val="22"/>
                <w:szCs w:val="22"/>
                <w:highlight w:val="none"/>
                <w:lang w:val="en-US" w:eastAsia="zh-CN" w:bidi="ar"/>
              </w:rPr>
              <w:t>需</w:t>
            </w:r>
            <w:r>
              <w:rPr>
                <w:rFonts w:hint="default" w:ascii="新宋体" w:hAnsi="新宋体" w:eastAsia="新宋体" w:cs="新宋体"/>
                <w:b/>
                <w:bCs/>
                <w:color w:val="auto"/>
                <w:sz w:val="22"/>
                <w:szCs w:val="22"/>
                <w:highlight w:val="none"/>
                <w:lang w:val="en-US" w:bidi="ar"/>
              </w:rPr>
              <w:t>提供系统功能截图等佐证材料加盖投标供应商公章</w:t>
            </w:r>
            <w:r>
              <w:rPr>
                <w:rFonts w:hint="eastAsia" w:ascii="新宋体" w:hAnsi="新宋体" w:eastAsia="新宋体" w:cs="新宋体"/>
                <w:color w:val="auto"/>
                <w:kern w:val="0"/>
                <w:sz w:val="22"/>
                <w:szCs w:val="22"/>
                <w:highlight w:val="none"/>
                <w:lang w:eastAsia="zh-CN" w:bidi="ar"/>
              </w:rPr>
              <w:t>）。</w:t>
            </w:r>
          </w:p>
        </w:tc>
      </w:tr>
      <w:tr w14:paraId="05FFF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48" w:type="pct"/>
            <w:noWrap/>
            <w:vAlign w:val="center"/>
          </w:tcPr>
          <w:p w14:paraId="4C1A4C19">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22</w:t>
            </w:r>
          </w:p>
        </w:tc>
        <w:tc>
          <w:tcPr>
            <w:tcW w:w="683" w:type="pct"/>
            <w:vMerge w:val="continue"/>
            <w:noWrap/>
            <w:vAlign w:val="center"/>
          </w:tcPr>
          <w:p w14:paraId="5D1E23B9">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1360" w:type="pct"/>
            <w:gridSpan w:val="2"/>
            <w:noWrap/>
            <w:vAlign w:val="center"/>
          </w:tcPr>
          <w:p w14:paraId="6FB7AAB1">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医疗机构平台实施</w:t>
            </w:r>
          </w:p>
        </w:tc>
        <w:tc>
          <w:tcPr>
            <w:tcW w:w="2707" w:type="pct"/>
            <w:noWrap w:val="0"/>
            <w:vAlign w:val="center"/>
          </w:tcPr>
          <w:p w14:paraId="5A7E61E8">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配合机构实施，完成基础数据接口联调等相关工作</w:t>
            </w:r>
          </w:p>
        </w:tc>
      </w:tr>
      <w:tr w14:paraId="005C1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48" w:type="pct"/>
            <w:noWrap/>
            <w:vAlign w:val="center"/>
          </w:tcPr>
          <w:p w14:paraId="56E76B42">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23</w:t>
            </w:r>
          </w:p>
        </w:tc>
        <w:tc>
          <w:tcPr>
            <w:tcW w:w="683" w:type="pct"/>
            <w:vMerge w:val="continue"/>
            <w:noWrap/>
            <w:vAlign w:val="center"/>
          </w:tcPr>
          <w:p w14:paraId="3B4668C1">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1360" w:type="pct"/>
            <w:gridSpan w:val="2"/>
            <w:noWrap/>
            <w:vAlign w:val="center"/>
          </w:tcPr>
          <w:p w14:paraId="31A53C5B">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机构实施(接口实施费用)</w:t>
            </w:r>
          </w:p>
        </w:tc>
        <w:tc>
          <w:tcPr>
            <w:tcW w:w="2707" w:type="pct"/>
            <w:noWrap w:val="0"/>
            <w:vAlign w:val="center"/>
          </w:tcPr>
          <w:p w14:paraId="62E129C7">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市级直属医疗机构(5家)；区县市县级医疗机构(35家)；区域基层医疗系统(12区)</w:t>
            </w:r>
          </w:p>
        </w:tc>
      </w:tr>
      <w:tr w14:paraId="30984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48" w:type="pct"/>
            <w:noWrap/>
            <w:vAlign w:val="center"/>
          </w:tcPr>
          <w:p w14:paraId="0DF1B343">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24</w:t>
            </w:r>
          </w:p>
        </w:tc>
        <w:tc>
          <w:tcPr>
            <w:tcW w:w="683" w:type="pct"/>
            <w:vMerge w:val="continue"/>
            <w:noWrap/>
            <w:vAlign w:val="center"/>
          </w:tcPr>
          <w:p w14:paraId="6939FB11">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1360" w:type="pct"/>
            <w:gridSpan w:val="2"/>
            <w:noWrap/>
            <w:vAlign w:val="center"/>
          </w:tcPr>
          <w:p w14:paraId="5ABE1FC4">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省/市公安、市检查院接口开发</w:t>
            </w:r>
          </w:p>
        </w:tc>
        <w:tc>
          <w:tcPr>
            <w:tcW w:w="2707" w:type="pct"/>
            <w:noWrap w:val="0"/>
            <w:vAlign w:val="center"/>
          </w:tcPr>
          <w:p w14:paraId="725FBF90">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★为省公安、市公安、市检查院相关系统提供需处理的上报信息数据接口</w:t>
            </w:r>
            <w:r>
              <w:rPr>
                <w:rFonts w:hint="eastAsia" w:ascii="新宋体" w:hAnsi="新宋体" w:eastAsia="新宋体" w:cs="新宋体"/>
                <w:color w:val="auto"/>
                <w:kern w:val="0"/>
                <w:sz w:val="22"/>
                <w:szCs w:val="22"/>
                <w:highlight w:val="none"/>
                <w:lang w:eastAsia="zh-CN" w:bidi="ar"/>
              </w:rPr>
              <w:t>（</w:t>
            </w:r>
            <w:r>
              <w:rPr>
                <w:rFonts w:hint="eastAsia" w:ascii="新宋体" w:hAnsi="新宋体" w:eastAsia="新宋体" w:cs="新宋体"/>
                <w:b/>
                <w:bCs/>
                <w:color w:val="auto"/>
                <w:sz w:val="22"/>
                <w:szCs w:val="22"/>
                <w:highlight w:val="none"/>
                <w:lang w:val="en-US" w:eastAsia="zh-CN" w:bidi="ar"/>
              </w:rPr>
              <w:t>需</w:t>
            </w:r>
            <w:r>
              <w:rPr>
                <w:rFonts w:hint="default" w:ascii="新宋体" w:hAnsi="新宋体" w:eastAsia="新宋体" w:cs="新宋体"/>
                <w:b/>
                <w:bCs/>
                <w:color w:val="auto"/>
                <w:sz w:val="22"/>
                <w:szCs w:val="22"/>
                <w:highlight w:val="none"/>
                <w:lang w:val="en-US" w:bidi="ar"/>
              </w:rPr>
              <w:t>提供系统功能截图等佐证材料加盖投标供应商公章</w:t>
            </w:r>
            <w:r>
              <w:rPr>
                <w:rFonts w:hint="eastAsia" w:ascii="新宋体" w:hAnsi="新宋体" w:eastAsia="新宋体" w:cs="新宋体"/>
                <w:color w:val="auto"/>
                <w:kern w:val="0"/>
                <w:sz w:val="22"/>
                <w:szCs w:val="22"/>
                <w:highlight w:val="none"/>
                <w:lang w:eastAsia="zh-CN" w:bidi="ar"/>
              </w:rPr>
              <w:t>）。</w:t>
            </w:r>
          </w:p>
        </w:tc>
      </w:tr>
      <w:tr w14:paraId="01804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48" w:type="pct"/>
            <w:noWrap/>
            <w:vAlign w:val="center"/>
          </w:tcPr>
          <w:p w14:paraId="2C7C1793">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25</w:t>
            </w:r>
          </w:p>
        </w:tc>
        <w:tc>
          <w:tcPr>
            <w:tcW w:w="683" w:type="pct"/>
            <w:vMerge w:val="restart"/>
            <w:noWrap/>
            <w:vAlign w:val="center"/>
          </w:tcPr>
          <w:p w14:paraId="37EB55A0">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健康大脑组件能力</w:t>
            </w:r>
          </w:p>
        </w:tc>
        <w:tc>
          <w:tcPr>
            <w:tcW w:w="1360" w:type="pct"/>
            <w:gridSpan w:val="2"/>
            <w:noWrap/>
            <w:vAlign w:val="center"/>
          </w:tcPr>
          <w:p w14:paraId="7F396FBE">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健康大脑组件开发</w:t>
            </w:r>
          </w:p>
        </w:tc>
        <w:tc>
          <w:tcPr>
            <w:tcW w:w="2707" w:type="pct"/>
            <w:noWrap w:val="0"/>
            <w:vAlign w:val="center"/>
          </w:tcPr>
          <w:p w14:paraId="79D78DFF">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字典库（ICD10）、规则库、组件服务、组件管理</w:t>
            </w:r>
          </w:p>
        </w:tc>
      </w:tr>
      <w:tr w14:paraId="2EB7B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48" w:type="pct"/>
            <w:noWrap/>
            <w:vAlign w:val="center"/>
          </w:tcPr>
          <w:p w14:paraId="396636EF">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26</w:t>
            </w:r>
          </w:p>
        </w:tc>
        <w:tc>
          <w:tcPr>
            <w:tcW w:w="683" w:type="pct"/>
            <w:vMerge w:val="continue"/>
            <w:noWrap/>
            <w:vAlign w:val="center"/>
          </w:tcPr>
          <w:p w14:paraId="50EEA46F">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p>
        </w:tc>
        <w:tc>
          <w:tcPr>
            <w:tcW w:w="1360" w:type="pct"/>
            <w:gridSpan w:val="2"/>
            <w:noWrap/>
            <w:vAlign w:val="center"/>
          </w:tcPr>
          <w:p w14:paraId="60BD1971">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健康大脑组件实施</w:t>
            </w:r>
          </w:p>
        </w:tc>
        <w:tc>
          <w:tcPr>
            <w:tcW w:w="2707" w:type="pct"/>
            <w:noWrap w:val="0"/>
            <w:vAlign w:val="center"/>
          </w:tcPr>
          <w:p w14:paraId="1E4DB95F">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健康大脑组件规则配置等</w:t>
            </w:r>
          </w:p>
        </w:tc>
      </w:tr>
      <w:tr w14:paraId="73D05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48" w:type="pct"/>
            <w:noWrap/>
            <w:vAlign w:val="center"/>
          </w:tcPr>
          <w:p w14:paraId="3A48FEE8">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27</w:t>
            </w:r>
          </w:p>
        </w:tc>
        <w:tc>
          <w:tcPr>
            <w:tcW w:w="683" w:type="pct"/>
            <w:noWrap/>
            <w:vAlign w:val="center"/>
          </w:tcPr>
          <w:p w14:paraId="11F4CD1D">
            <w:pPr>
              <w:keepNext w:val="0"/>
              <w:keepLines w:val="0"/>
              <w:pageBreakBefore w:val="0"/>
              <w:widowControl/>
              <w:kinsoku/>
              <w:wordWrap/>
              <w:overflowPunct/>
              <w:topLinePunct w:val="0"/>
              <w:autoSpaceDE/>
              <w:autoSpaceDN/>
              <w:bidi w:val="0"/>
              <w:spacing w:after="160" w:line="360" w:lineRule="auto"/>
              <w:jc w:val="center"/>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信创适配</w:t>
            </w:r>
          </w:p>
        </w:tc>
        <w:tc>
          <w:tcPr>
            <w:tcW w:w="1360" w:type="pct"/>
            <w:gridSpan w:val="2"/>
            <w:noWrap/>
            <w:vAlign w:val="center"/>
          </w:tcPr>
          <w:p w14:paraId="2C527BAF">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系统信创适配</w:t>
            </w:r>
          </w:p>
        </w:tc>
        <w:tc>
          <w:tcPr>
            <w:tcW w:w="2707" w:type="pct"/>
            <w:noWrap w:val="0"/>
            <w:vAlign w:val="center"/>
          </w:tcPr>
          <w:p w14:paraId="79121E55">
            <w:pPr>
              <w:keepNext w:val="0"/>
              <w:keepLines w:val="0"/>
              <w:pageBreakBefore w:val="0"/>
              <w:widowControl/>
              <w:kinsoku/>
              <w:wordWrap/>
              <w:overflowPunct/>
              <w:topLinePunct w:val="0"/>
              <w:autoSpaceDE/>
              <w:autoSpaceDN/>
              <w:bidi w:val="0"/>
              <w:spacing w:after="160" w:line="360" w:lineRule="auto"/>
              <w:jc w:val="left"/>
              <w:textAlignment w:val="center"/>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满足国家信息技术应用创新（信创）适配要求</w:t>
            </w:r>
            <w:r>
              <w:rPr>
                <w:rFonts w:hint="eastAsia" w:ascii="新宋体" w:hAnsi="新宋体" w:eastAsia="新宋体" w:cs="新宋体"/>
                <w:color w:val="auto"/>
                <w:kern w:val="0"/>
                <w:sz w:val="22"/>
                <w:szCs w:val="22"/>
                <w:highlight w:val="none"/>
                <w:lang w:eastAsia="zh-CN" w:bidi="ar"/>
              </w:rPr>
              <w:t>。</w:t>
            </w:r>
          </w:p>
        </w:tc>
      </w:tr>
    </w:tbl>
    <w:p w14:paraId="600A090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color w:val="auto"/>
          <w:highlight w:val="none"/>
        </w:rPr>
      </w:pPr>
      <w:r>
        <w:rPr>
          <w:rFonts w:hint="eastAsia" w:ascii="新宋体" w:hAnsi="新宋体" w:eastAsia="新宋体" w:cs="新宋体"/>
          <w:b/>
          <w:bCs/>
          <w:color w:val="auto"/>
          <w:kern w:val="0"/>
          <w:sz w:val="22"/>
          <w:szCs w:val="22"/>
          <w:highlight w:val="none"/>
          <w:lang w:val="en-US" w:eastAsia="zh-CN"/>
        </w:rPr>
        <w:t>五、医疗人口数据治理</w:t>
      </w:r>
    </w:p>
    <w:p w14:paraId="08939A71">
      <w:pPr>
        <w:pStyle w:val="159"/>
        <w:pageBreakBefore w:val="0"/>
        <w:numPr>
          <w:ilvl w:val="-1"/>
          <w:numId w:val="0"/>
        </w:numPr>
        <w:kinsoku/>
        <w:wordWrap/>
        <w:overflowPunct/>
        <w:topLinePunct w:val="0"/>
        <w:autoSpaceDE/>
        <w:autoSpaceDN/>
        <w:bidi w:val="0"/>
        <w:snapToGrid/>
        <w:spacing w:before="156" w:beforeLines="50" w:after="156" w:afterLines="50" w:line="360" w:lineRule="auto"/>
        <w:ind w:left="0" w:firstLine="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5.1人口数据整合</w:t>
      </w:r>
    </w:p>
    <w:p w14:paraId="4AF41B8A">
      <w:pPr>
        <w:pStyle w:val="160"/>
        <w:pageBreakBefore w:val="0"/>
        <w:kinsoku/>
        <w:wordWrap/>
        <w:overflowPunct/>
        <w:topLinePunct w:val="0"/>
        <w:autoSpaceDE/>
        <w:autoSpaceDN/>
        <w:bidi w:val="0"/>
        <w:snapToGrid/>
        <w:spacing w:line="360" w:lineRule="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整合各县市区业务系统中的人口医疗数据，将所有的人口数据梳理出来，根据身份证号进行清洗去重，去除身份证有问题的数据，建立形成人口库。</w:t>
      </w:r>
    </w:p>
    <w:p w14:paraId="4DF501E9">
      <w:pPr>
        <w:pStyle w:val="159"/>
        <w:pageBreakBefore w:val="0"/>
        <w:numPr>
          <w:ilvl w:val="-1"/>
          <w:numId w:val="0"/>
        </w:numPr>
        <w:kinsoku/>
        <w:wordWrap/>
        <w:overflowPunct/>
        <w:topLinePunct w:val="0"/>
        <w:autoSpaceDE/>
        <w:autoSpaceDN/>
        <w:bidi w:val="0"/>
        <w:snapToGrid/>
        <w:spacing w:before="156" w:beforeLines="50" w:after="156" w:afterLines="50" w:line="360" w:lineRule="auto"/>
        <w:ind w:left="0" w:firstLine="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5.2地址数据治理</w:t>
      </w:r>
    </w:p>
    <w:p w14:paraId="0134AF2D">
      <w:pPr>
        <w:pStyle w:val="160"/>
        <w:pageBreakBefore w:val="0"/>
        <w:kinsoku/>
        <w:wordWrap/>
        <w:overflowPunct/>
        <w:topLinePunct w:val="0"/>
        <w:autoSpaceDE/>
        <w:autoSpaceDN/>
        <w:bidi w:val="0"/>
        <w:snapToGrid/>
        <w:spacing w:line="360" w:lineRule="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kern w:val="2"/>
          <w:sz w:val="22"/>
          <w:szCs w:val="22"/>
          <w:highlight w:val="none"/>
          <w:lang w:val="en-US" w:eastAsia="zh-CN" w:bidi="ar-SA"/>
        </w:rPr>
        <w:t>梳理各业务库与地址相关的数据，对地址数据进行治理分析，将地址数据通过预处理、地址补全分词、地址纠错分词、地址专项治理后形成初步的地址库。</w:t>
      </w:r>
    </w:p>
    <w:p w14:paraId="0362F289">
      <w:pPr>
        <w:pStyle w:val="161"/>
        <w:pageBreakBefore w:val="0"/>
        <w:widowControl w:val="0"/>
        <w:numPr>
          <w:ilvl w:val="-1"/>
          <w:numId w:val="0"/>
        </w:numPr>
        <w:kinsoku/>
        <w:wordWrap/>
        <w:overflowPunct/>
        <w:topLinePunct w:val="0"/>
        <w:autoSpaceDE/>
        <w:autoSpaceDN/>
        <w:bidi w:val="0"/>
        <w:snapToGrid/>
        <w:spacing w:before="120" w:beforeLines="0" w:after="120" w:afterLines="0" w:line="360" w:lineRule="auto"/>
        <w:ind w:left="0" w:firstLine="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5.2.1数据预处理</w:t>
      </w:r>
    </w:p>
    <w:p w14:paraId="53BC2411">
      <w:pPr>
        <w:pStyle w:val="160"/>
        <w:pageBreakBefore w:val="0"/>
        <w:kinsoku/>
        <w:wordWrap/>
        <w:overflowPunct/>
        <w:topLinePunct w:val="0"/>
        <w:autoSpaceDE/>
        <w:autoSpaceDN/>
        <w:bidi w:val="0"/>
        <w:snapToGrid/>
        <w:spacing w:line="360" w:lineRule="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kern w:val="2"/>
          <w:sz w:val="22"/>
          <w:szCs w:val="22"/>
          <w:highlight w:val="none"/>
          <w:lang w:val="en-US" w:eastAsia="zh-CN" w:bidi="ar-SA"/>
        </w:rPr>
        <w:t>完成地址数据的基础清洗操作，包括大小写统一、全角半角转换、无关字符剔除等，并开展同名实体替换，确保行政区划信息规范一致。</w:t>
      </w:r>
    </w:p>
    <w:p w14:paraId="4184C40C">
      <w:pPr>
        <w:pStyle w:val="161"/>
        <w:pageBreakBefore w:val="0"/>
        <w:widowControl w:val="0"/>
        <w:numPr>
          <w:ilvl w:val="-1"/>
          <w:numId w:val="0"/>
        </w:numPr>
        <w:kinsoku/>
        <w:wordWrap/>
        <w:overflowPunct/>
        <w:topLinePunct w:val="0"/>
        <w:autoSpaceDE/>
        <w:autoSpaceDN/>
        <w:bidi w:val="0"/>
        <w:snapToGrid/>
        <w:spacing w:before="120" w:beforeLines="0" w:after="120" w:afterLines="0" w:line="360" w:lineRule="auto"/>
        <w:ind w:left="0" w:firstLine="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5.2.2地址补全分词</w:t>
      </w:r>
    </w:p>
    <w:p w14:paraId="301C7E2B">
      <w:pPr>
        <w:pStyle w:val="160"/>
        <w:pageBreakBefore w:val="0"/>
        <w:numPr>
          <w:ilvl w:val="0"/>
          <w:numId w:val="0"/>
        </w:numPr>
        <w:kinsoku/>
        <w:wordWrap/>
        <w:overflowPunct/>
        <w:topLinePunct w:val="0"/>
        <w:autoSpaceDE/>
        <w:autoSpaceDN/>
        <w:bidi w:val="0"/>
        <w:snapToGrid/>
        <w:spacing w:line="360" w:lineRule="auto"/>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通过算法模型精准识别地址数据中的关键要素，实现地址属性最小至 “街路巷弄” 层级的分词与补全功能。</w:t>
      </w:r>
    </w:p>
    <w:p w14:paraId="45C939CC">
      <w:pPr>
        <w:pStyle w:val="161"/>
        <w:pageBreakBefore w:val="0"/>
        <w:widowControl w:val="0"/>
        <w:numPr>
          <w:ilvl w:val="-1"/>
          <w:numId w:val="0"/>
        </w:numPr>
        <w:kinsoku/>
        <w:wordWrap/>
        <w:overflowPunct/>
        <w:topLinePunct w:val="0"/>
        <w:autoSpaceDE/>
        <w:autoSpaceDN/>
        <w:bidi w:val="0"/>
        <w:snapToGrid/>
        <w:spacing w:before="120" w:beforeLines="0" w:after="120" w:afterLines="0" w:line="360" w:lineRule="auto"/>
        <w:ind w:left="0" w:firstLine="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5.2.3地址纠错分词</w:t>
      </w:r>
    </w:p>
    <w:p w14:paraId="1F82CBD9">
      <w:pPr>
        <w:pStyle w:val="160"/>
        <w:pageBreakBefore w:val="0"/>
        <w:kinsoku/>
        <w:wordWrap/>
        <w:overflowPunct/>
        <w:topLinePunct w:val="0"/>
        <w:autoSpaceDE/>
        <w:autoSpaceDN/>
        <w:bidi w:val="0"/>
        <w:snapToGrid/>
        <w:spacing w:line="360" w:lineRule="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实现地址属性最小至“街路巷弄”的地址分词纠错功能。</w:t>
      </w:r>
    </w:p>
    <w:p w14:paraId="1E537384">
      <w:pPr>
        <w:pStyle w:val="161"/>
        <w:pageBreakBefore w:val="0"/>
        <w:widowControl w:val="0"/>
        <w:numPr>
          <w:ilvl w:val="-1"/>
          <w:numId w:val="0"/>
        </w:numPr>
        <w:kinsoku/>
        <w:wordWrap/>
        <w:overflowPunct/>
        <w:topLinePunct w:val="0"/>
        <w:autoSpaceDE/>
        <w:autoSpaceDN/>
        <w:bidi w:val="0"/>
        <w:snapToGrid/>
        <w:spacing w:before="120" w:beforeLines="0" w:after="120" w:afterLines="0" w:line="360" w:lineRule="auto"/>
        <w:ind w:left="0" w:firstLine="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5.2.4地址专项治理</w:t>
      </w:r>
    </w:p>
    <w:p w14:paraId="17B5D504">
      <w:pPr>
        <w:pStyle w:val="160"/>
        <w:pageBreakBefore w:val="0"/>
        <w:kinsoku/>
        <w:wordWrap/>
        <w:overflowPunct/>
        <w:topLinePunct w:val="0"/>
        <w:autoSpaceDE/>
        <w:autoSpaceDN/>
        <w:bidi w:val="0"/>
        <w:snapToGrid/>
        <w:spacing w:line="360" w:lineRule="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对标准化及分词后的地址数据开展专项治理，将地址数据与标准地址库进行比对分析。</w:t>
      </w:r>
    </w:p>
    <w:p w14:paraId="73C7C4FD">
      <w:pPr>
        <w:pStyle w:val="159"/>
        <w:pageBreakBefore w:val="0"/>
        <w:numPr>
          <w:ilvl w:val="-1"/>
          <w:numId w:val="0"/>
        </w:numPr>
        <w:kinsoku/>
        <w:wordWrap/>
        <w:overflowPunct/>
        <w:topLinePunct w:val="0"/>
        <w:autoSpaceDE/>
        <w:autoSpaceDN/>
        <w:bidi w:val="0"/>
        <w:snapToGrid/>
        <w:spacing w:before="156" w:beforeLines="50" w:after="156" w:afterLines="50" w:line="360" w:lineRule="auto"/>
        <w:ind w:left="0" w:firstLine="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5.3人口地址关联入库</w:t>
      </w:r>
    </w:p>
    <w:p w14:paraId="06F7A3EB">
      <w:pPr>
        <w:pStyle w:val="160"/>
        <w:pageBreakBefore w:val="0"/>
        <w:kinsoku/>
        <w:wordWrap/>
        <w:overflowPunct/>
        <w:topLinePunct w:val="0"/>
        <w:autoSpaceDE/>
        <w:autoSpaceDN/>
        <w:bidi w:val="0"/>
        <w:snapToGrid/>
        <w:spacing w:line="360" w:lineRule="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kern w:val="2"/>
          <w:sz w:val="22"/>
          <w:szCs w:val="22"/>
          <w:highlight w:val="none"/>
          <w:lang w:val="en-US" w:eastAsia="zh-CN" w:bidi="ar-SA"/>
        </w:rPr>
        <w:t>基于已完成的人口库和地址库，按照要求进行关联，并按规范入库，字段涵盖地址相关信息、数据来源、地址属性等必要信息，确保数据规范存储。</w:t>
      </w:r>
    </w:p>
    <w:p w14:paraId="7A493021">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六、地址数据治理</w:t>
      </w:r>
    </w:p>
    <w:p w14:paraId="3B7B26A5">
      <w:pPr>
        <w:pStyle w:val="159"/>
        <w:pageBreakBefore w:val="0"/>
        <w:numPr>
          <w:ilvl w:val="0"/>
          <w:numId w:val="0"/>
        </w:numPr>
        <w:kinsoku/>
        <w:wordWrap/>
        <w:overflowPunct/>
        <w:topLinePunct w:val="0"/>
        <w:autoSpaceDE/>
        <w:autoSpaceDN/>
        <w:bidi w:val="0"/>
        <w:snapToGrid/>
        <w:spacing w:before="156" w:beforeLines="50" w:after="156" w:afterLines="50" w:line="360" w:lineRule="auto"/>
        <w:ind w:leftChars="0"/>
        <w:rPr>
          <w:rFonts w:hint="eastAsia" w:ascii="新宋体" w:hAnsi="新宋体" w:eastAsia="新宋体" w:cs="新宋体"/>
          <w:color w:val="auto"/>
          <w:sz w:val="22"/>
          <w:szCs w:val="22"/>
          <w:highlight w:val="none"/>
          <w:lang w:val="en-US" w:eastAsia="zh-CN"/>
        </w:rPr>
      </w:pPr>
      <w:bookmarkStart w:id="215" w:name="_Toc8257"/>
      <w:r>
        <w:rPr>
          <w:rFonts w:hint="eastAsia" w:ascii="新宋体" w:hAnsi="新宋体" w:eastAsia="新宋体" w:cs="新宋体"/>
          <w:color w:val="auto"/>
          <w:sz w:val="22"/>
          <w:szCs w:val="22"/>
          <w:highlight w:val="none"/>
          <w:lang w:val="en-US" w:eastAsia="zh-CN"/>
        </w:rPr>
        <w:t>6.1文件上传</w:t>
      </w:r>
      <w:bookmarkEnd w:id="215"/>
    </w:p>
    <w:p w14:paraId="227EB98C">
      <w:pPr>
        <w:pageBreakBefore w:val="0"/>
        <w:kinsoku/>
        <w:wordWrap/>
        <w:overflowPunct/>
        <w:topLinePunct w:val="0"/>
        <w:autoSpaceDE/>
        <w:autoSpaceDN/>
        <w:bidi w:val="0"/>
        <w:snapToGrid/>
        <w:spacing w:line="360" w:lineRule="auto"/>
        <w:ind w:firstLine="420" w:firstLineChars="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kern w:val="2"/>
          <w:sz w:val="22"/>
          <w:szCs w:val="22"/>
          <w:highlight w:val="none"/>
          <w:lang w:val="en-US" w:eastAsia="zh-CN" w:bidi="ar-SA"/>
        </w:rPr>
        <w:t>用户可以在系统上下载数据治理所需要的模板，线下处理完excel数据后可在系统上批量导入待治理的地址数据。</w:t>
      </w:r>
    </w:p>
    <w:p w14:paraId="4487DC8D">
      <w:pPr>
        <w:pStyle w:val="159"/>
        <w:pageBreakBefore w:val="0"/>
        <w:numPr>
          <w:ilvl w:val="0"/>
          <w:numId w:val="0"/>
        </w:numPr>
        <w:kinsoku/>
        <w:wordWrap/>
        <w:overflowPunct/>
        <w:topLinePunct w:val="0"/>
        <w:autoSpaceDE/>
        <w:autoSpaceDN/>
        <w:bidi w:val="0"/>
        <w:snapToGrid/>
        <w:spacing w:before="156" w:beforeLines="50" w:after="156" w:afterLines="50" w:line="360" w:lineRule="auto"/>
        <w:ind w:leftChars="0"/>
        <w:rPr>
          <w:rFonts w:hint="eastAsia" w:ascii="新宋体" w:hAnsi="新宋体" w:eastAsia="新宋体" w:cs="新宋体"/>
          <w:color w:val="auto"/>
          <w:sz w:val="22"/>
          <w:szCs w:val="22"/>
          <w:highlight w:val="none"/>
          <w:lang w:val="en-US" w:eastAsia="zh-CN"/>
        </w:rPr>
      </w:pPr>
      <w:bookmarkStart w:id="216" w:name="_Toc5407"/>
      <w:r>
        <w:rPr>
          <w:rFonts w:hint="eastAsia" w:ascii="新宋体" w:hAnsi="新宋体" w:eastAsia="新宋体" w:cs="新宋体"/>
          <w:color w:val="auto"/>
          <w:sz w:val="22"/>
          <w:szCs w:val="22"/>
          <w:highlight w:val="none"/>
          <w:lang w:val="en-US" w:eastAsia="zh-CN"/>
        </w:rPr>
        <w:t>6.2地址治理</w:t>
      </w:r>
      <w:bookmarkEnd w:id="216"/>
    </w:p>
    <w:p w14:paraId="5E8A7F7C">
      <w:pPr>
        <w:pageBreakBefore w:val="0"/>
        <w:kinsoku/>
        <w:wordWrap/>
        <w:overflowPunct/>
        <w:topLinePunct w:val="0"/>
        <w:autoSpaceDE/>
        <w:autoSpaceDN/>
        <w:bidi w:val="0"/>
        <w:snapToGrid/>
        <w:spacing w:line="360" w:lineRule="auto"/>
        <w:ind w:firstLine="420" w:firstLineChars="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2"/>
          <w:sz w:val="22"/>
          <w:szCs w:val="22"/>
          <w:highlight w:val="none"/>
          <w:lang w:val="en-US" w:eastAsia="zh-CN" w:bidi="ar-SA"/>
        </w:rPr>
        <w:t>将不规则的地址信息与标准地址进行治理，获得最相近的标准地址及其经纬度。</w:t>
      </w:r>
    </w:p>
    <w:p w14:paraId="1B9A0A4D">
      <w:pPr>
        <w:pStyle w:val="159"/>
        <w:pageBreakBefore w:val="0"/>
        <w:numPr>
          <w:ilvl w:val="0"/>
          <w:numId w:val="0"/>
        </w:numPr>
        <w:kinsoku/>
        <w:wordWrap/>
        <w:overflowPunct/>
        <w:topLinePunct w:val="0"/>
        <w:autoSpaceDE/>
        <w:autoSpaceDN/>
        <w:bidi w:val="0"/>
        <w:snapToGrid/>
        <w:spacing w:before="156" w:beforeLines="50" w:after="156" w:afterLines="50" w:line="360" w:lineRule="auto"/>
        <w:ind w:leftChars="0"/>
        <w:rPr>
          <w:rFonts w:hint="eastAsia" w:ascii="新宋体" w:hAnsi="新宋体" w:eastAsia="新宋体" w:cs="新宋体"/>
          <w:color w:val="auto"/>
          <w:sz w:val="22"/>
          <w:szCs w:val="22"/>
          <w:highlight w:val="none"/>
          <w:lang w:val="en-US" w:eastAsia="zh-CN"/>
        </w:rPr>
      </w:pPr>
      <w:bookmarkStart w:id="217" w:name="_Toc3313"/>
      <w:r>
        <w:rPr>
          <w:rFonts w:hint="eastAsia" w:ascii="新宋体" w:hAnsi="新宋体" w:eastAsia="新宋体" w:cs="新宋体"/>
          <w:color w:val="auto"/>
          <w:sz w:val="22"/>
          <w:szCs w:val="22"/>
          <w:highlight w:val="none"/>
          <w:lang w:val="en-US" w:eastAsia="zh-CN"/>
        </w:rPr>
        <w:t>6.3地址反查</w:t>
      </w:r>
      <w:bookmarkEnd w:id="217"/>
    </w:p>
    <w:p w14:paraId="406AD08E">
      <w:pPr>
        <w:pStyle w:val="160"/>
        <w:pageBreakBefore w:val="0"/>
        <w:kinsoku/>
        <w:wordWrap/>
        <w:overflowPunct/>
        <w:topLinePunct w:val="0"/>
        <w:autoSpaceDE/>
        <w:autoSpaceDN/>
        <w:bidi w:val="0"/>
        <w:snapToGrid/>
        <w:spacing w:line="360" w:lineRule="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系统提供地址反查接口，可查询出离该坐标点位最近的五条标准地址，供业务系统选择。</w:t>
      </w:r>
    </w:p>
    <w:p w14:paraId="6B6B7065">
      <w:pPr>
        <w:pStyle w:val="159"/>
        <w:pageBreakBefore w:val="0"/>
        <w:numPr>
          <w:ilvl w:val="0"/>
          <w:numId w:val="0"/>
        </w:numPr>
        <w:kinsoku/>
        <w:wordWrap/>
        <w:overflowPunct/>
        <w:topLinePunct w:val="0"/>
        <w:autoSpaceDE/>
        <w:autoSpaceDN/>
        <w:bidi w:val="0"/>
        <w:snapToGrid/>
        <w:spacing w:before="156" w:beforeLines="50" w:after="156" w:afterLines="50" w:line="360" w:lineRule="auto"/>
        <w:ind w:leftChars="0"/>
        <w:rPr>
          <w:rFonts w:hint="eastAsia" w:ascii="新宋体" w:hAnsi="新宋体" w:eastAsia="新宋体" w:cs="新宋体"/>
          <w:color w:val="auto"/>
          <w:sz w:val="22"/>
          <w:szCs w:val="22"/>
          <w:highlight w:val="none"/>
          <w:lang w:val="en-US" w:eastAsia="zh-CN"/>
        </w:rPr>
      </w:pPr>
      <w:bookmarkStart w:id="218" w:name="_Toc6627"/>
      <w:r>
        <w:rPr>
          <w:rFonts w:hint="eastAsia" w:ascii="新宋体" w:hAnsi="新宋体" w:eastAsia="新宋体" w:cs="新宋体"/>
          <w:color w:val="auto"/>
          <w:sz w:val="22"/>
          <w:szCs w:val="22"/>
          <w:highlight w:val="none"/>
          <w:lang w:val="en-US" w:eastAsia="zh-CN"/>
        </w:rPr>
        <w:t>6.4成果管理</w:t>
      </w:r>
      <w:bookmarkEnd w:id="218"/>
    </w:p>
    <w:p w14:paraId="1BABFEFF">
      <w:pPr>
        <w:pageBreakBefore w:val="0"/>
        <w:kinsoku/>
        <w:wordWrap/>
        <w:overflowPunct/>
        <w:topLinePunct w:val="0"/>
        <w:autoSpaceDE/>
        <w:autoSpaceDN/>
        <w:bidi w:val="0"/>
        <w:snapToGrid/>
        <w:spacing w:line="360" w:lineRule="auto"/>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在系统中可查看治理的文件清单，包括已完成治理的数据和未完成治理的数据，可成果下载或者查看详情。</w:t>
      </w:r>
    </w:p>
    <w:p w14:paraId="1113D898">
      <w:pPr>
        <w:pStyle w:val="159"/>
        <w:pageBreakBefore w:val="0"/>
        <w:numPr>
          <w:ilvl w:val="0"/>
          <w:numId w:val="0"/>
        </w:numPr>
        <w:kinsoku/>
        <w:wordWrap/>
        <w:overflowPunct/>
        <w:topLinePunct w:val="0"/>
        <w:autoSpaceDE/>
        <w:autoSpaceDN/>
        <w:bidi w:val="0"/>
        <w:snapToGrid/>
        <w:spacing w:before="156" w:beforeLines="50" w:after="156" w:afterLines="50" w:line="360" w:lineRule="auto"/>
        <w:ind w:leftChars="0"/>
        <w:rPr>
          <w:rFonts w:hint="eastAsia" w:ascii="新宋体" w:hAnsi="新宋体" w:eastAsia="新宋体" w:cs="新宋体"/>
          <w:color w:val="auto"/>
          <w:sz w:val="22"/>
          <w:szCs w:val="22"/>
          <w:highlight w:val="none"/>
          <w:lang w:val="en-US" w:eastAsia="zh-CN"/>
        </w:rPr>
      </w:pPr>
      <w:bookmarkStart w:id="219" w:name="_Toc26137"/>
      <w:r>
        <w:rPr>
          <w:rFonts w:hint="eastAsia" w:ascii="新宋体" w:hAnsi="新宋体" w:eastAsia="新宋体" w:cs="新宋体"/>
          <w:color w:val="auto"/>
          <w:sz w:val="22"/>
          <w:szCs w:val="22"/>
          <w:highlight w:val="none"/>
          <w:lang w:val="en-US" w:eastAsia="zh-CN"/>
        </w:rPr>
        <w:t>6.5地址管理</w:t>
      </w:r>
      <w:bookmarkEnd w:id="219"/>
    </w:p>
    <w:p w14:paraId="28D8D4E3">
      <w:pPr>
        <w:pStyle w:val="2"/>
        <w:keepNext w:val="0"/>
        <w:keepLines w:val="0"/>
        <w:pageBreakBefore w:val="0"/>
        <w:widowControl w:val="0"/>
        <w:kinsoku/>
        <w:wordWrap/>
        <w:overflowPunct/>
        <w:topLinePunct w:val="0"/>
        <w:autoSpaceDE/>
        <w:autoSpaceDN/>
        <w:bidi w:val="0"/>
        <w:adjustRightInd w:val="0"/>
        <w:snapToGrid/>
        <w:spacing w:line="360" w:lineRule="auto"/>
        <w:textAlignment w:val="baseline"/>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根据身份证号码为唯一码，查询后可修改该人员对应地址的地址类型，并可在线修改每条具体的地址信息。</w:t>
      </w:r>
    </w:p>
    <w:p w14:paraId="2E0F18B2">
      <w:pPr>
        <w:pStyle w:val="159"/>
        <w:pageBreakBefore w:val="0"/>
        <w:numPr>
          <w:ilvl w:val="0"/>
          <w:numId w:val="0"/>
        </w:numPr>
        <w:kinsoku/>
        <w:wordWrap/>
        <w:overflowPunct/>
        <w:topLinePunct w:val="0"/>
        <w:autoSpaceDE/>
        <w:autoSpaceDN/>
        <w:bidi w:val="0"/>
        <w:snapToGrid/>
        <w:spacing w:before="156" w:beforeLines="50" w:after="156" w:afterLines="50" w:line="360" w:lineRule="auto"/>
        <w:ind w:leftChars="0"/>
        <w:rPr>
          <w:rFonts w:hint="eastAsia" w:ascii="新宋体" w:hAnsi="新宋体" w:eastAsia="新宋体" w:cs="新宋体"/>
          <w:color w:val="auto"/>
          <w:sz w:val="22"/>
          <w:szCs w:val="22"/>
          <w:highlight w:val="none"/>
          <w:lang w:val="en-US" w:eastAsia="zh-CN"/>
        </w:rPr>
      </w:pPr>
      <w:bookmarkStart w:id="220" w:name="_Toc32366"/>
      <w:r>
        <w:rPr>
          <w:rFonts w:hint="eastAsia" w:ascii="新宋体" w:hAnsi="新宋体" w:eastAsia="新宋体" w:cs="新宋体"/>
          <w:color w:val="auto"/>
          <w:sz w:val="22"/>
          <w:szCs w:val="22"/>
          <w:highlight w:val="none"/>
          <w:lang w:val="en-US" w:eastAsia="zh-CN"/>
        </w:rPr>
        <w:t>6.6日志管理</w:t>
      </w:r>
      <w:bookmarkEnd w:id="220"/>
    </w:p>
    <w:p w14:paraId="25398B30">
      <w:pPr>
        <w:pageBreakBefore w:val="0"/>
        <w:kinsoku/>
        <w:wordWrap/>
        <w:overflowPunct/>
        <w:topLinePunct w:val="0"/>
        <w:autoSpaceDE/>
        <w:autoSpaceDN/>
        <w:bidi w:val="0"/>
        <w:snapToGrid/>
        <w:spacing w:line="360" w:lineRule="auto"/>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记录用户在接口中的操作记录，比如人口编辑、人口新增、地址删除等操作。</w:t>
      </w:r>
    </w:p>
    <w:p w14:paraId="0414BC58">
      <w:pPr>
        <w:pStyle w:val="162"/>
        <w:pageBreakBefore w:val="0"/>
        <w:numPr>
          <w:ilvl w:val="0"/>
          <w:numId w:val="0"/>
        </w:numPr>
        <w:kinsoku/>
        <w:wordWrap/>
        <w:overflowPunct/>
        <w:topLinePunct w:val="0"/>
        <w:autoSpaceDE/>
        <w:autoSpaceDN/>
        <w:bidi w:val="0"/>
        <w:snapToGrid/>
        <w:spacing w:before="156" w:after="156" w:line="360" w:lineRule="auto"/>
        <w:ind w:leftChars="0"/>
        <w:jc w:val="both"/>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6.7接口共享</w:t>
      </w:r>
    </w:p>
    <w:p w14:paraId="15BA83DF">
      <w:pPr>
        <w:pStyle w:val="160"/>
        <w:pageBreakBefore w:val="0"/>
        <w:kinsoku/>
        <w:wordWrap/>
        <w:overflowPunct/>
        <w:topLinePunct w:val="0"/>
        <w:autoSpaceDE/>
        <w:autoSpaceDN/>
        <w:bidi w:val="0"/>
        <w:snapToGrid/>
        <w:spacing w:line="360" w:lineRule="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将治理入库后的数据形成接口提供给各区县业务系统调用。主要有以下接口：</w:t>
      </w:r>
    </w:p>
    <w:p w14:paraId="0AEB3B4F">
      <w:pPr>
        <w:pStyle w:val="160"/>
        <w:pageBreakBefore w:val="0"/>
        <w:numPr>
          <w:ilvl w:val="0"/>
          <w:numId w:val="38"/>
        </w:numPr>
        <w:kinsoku/>
        <w:wordWrap/>
        <w:overflowPunct/>
        <w:topLinePunct w:val="0"/>
        <w:autoSpaceDE/>
        <w:autoSpaceDN/>
        <w:bidi w:val="0"/>
        <w:snapToGrid/>
        <w:spacing w:line="360" w:lineRule="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根据身份证查询详情接口：以身份证号码作为唯一检索标识，精准调取并返回对应人员的详细信息。</w:t>
      </w:r>
    </w:p>
    <w:p w14:paraId="7684DC42">
      <w:pPr>
        <w:pStyle w:val="160"/>
        <w:pageBreakBefore w:val="0"/>
        <w:numPr>
          <w:ilvl w:val="0"/>
          <w:numId w:val="38"/>
        </w:numPr>
        <w:kinsoku/>
        <w:wordWrap/>
        <w:overflowPunct/>
        <w:topLinePunct w:val="0"/>
        <w:autoSpaceDE/>
        <w:autoSpaceDN/>
        <w:bidi w:val="0"/>
        <w:snapToGrid/>
        <w:spacing w:line="360" w:lineRule="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人口新增：实现将新的人口信息高效、准确地录入人口数据库。</w:t>
      </w:r>
    </w:p>
    <w:p w14:paraId="63917529">
      <w:pPr>
        <w:pStyle w:val="160"/>
        <w:pageBreakBefore w:val="0"/>
        <w:numPr>
          <w:ilvl w:val="0"/>
          <w:numId w:val="38"/>
        </w:numPr>
        <w:kinsoku/>
        <w:wordWrap/>
        <w:overflowPunct/>
        <w:topLinePunct w:val="0"/>
        <w:autoSpaceDE/>
        <w:autoSpaceDN/>
        <w:bidi w:val="0"/>
        <w:snapToGrid/>
        <w:spacing w:line="360" w:lineRule="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地址编辑：通过身份证号码作为唯一检索标识，可实现对数据库中已存在的人口地址信息进行修改和维护。</w:t>
      </w:r>
    </w:p>
    <w:p w14:paraId="66499FAC">
      <w:pPr>
        <w:pStyle w:val="160"/>
        <w:pageBreakBefore w:val="0"/>
        <w:numPr>
          <w:ilvl w:val="0"/>
          <w:numId w:val="38"/>
        </w:numPr>
        <w:kinsoku/>
        <w:wordWrap/>
        <w:overflowPunct/>
        <w:topLinePunct w:val="0"/>
        <w:autoSpaceDE/>
        <w:autoSpaceDN/>
        <w:bidi w:val="0"/>
        <w:snapToGrid/>
        <w:spacing w:line="360" w:lineRule="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人口编辑：通过身份证号码作为唯一检索标识，可实现对人口数据库中已有个人信息的修改与维护，如姓名、性别等。</w:t>
      </w:r>
    </w:p>
    <w:p w14:paraId="6261684A">
      <w:pPr>
        <w:pStyle w:val="160"/>
        <w:pageBreakBefore w:val="0"/>
        <w:numPr>
          <w:ilvl w:val="0"/>
          <w:numId w:val="38"/>
        </w:numPr>
        <w:kinsoku/>
        <w:wordWrap/>
        <w:overflowPunct/>
        <w:topLinePunct w:val="0"/>
        <w:autoSpaceDE/>
        <w:autoSpaceDN/>
        <w:bidi w:val="0"/>
        <w:snapToGrid/>
        <w:spacing w:line="360" w:lineRule="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地址新增：通过身份证号码作为唯一检索标识，可实现对数据库中已存在的人口地址信息进行新增。</w:t>
      </w:r>
    </w:p>
    <w:p w14:paraId="48148957">
      <w:pPr>
        <w:pStyle w:val="160"/>
        <w:pageBreakBefore w:val="0"/>
        <w:numPr>
          <w:ilvl w:val="0"/>
          <w:numId w:val="38"/>
        </w:numPr>
        <w:kinsoku/>
        <w:wordWrap/>
        <w:overflowPunct/>
        <w:topLinePunct w:val="0"/>
        <w:autoSpaceDE/>
        <w:autoSpaceDN/>
        <w:bidi w:val="0"/>
        <w:snapToGrid/>
        <w:spacing w:line="360" w:lineRule="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地址删除：通过身份证号码作为唯一检索标识，可实现对数据库中已存在的人口地址信息进行删除。</w:t>
      </w:r>
    </w:p>
    <w:p w14:paraId="3EBAFE18">
      <w:pPr>
        <w:pStyle w:val="160"/>
        <w:pageBreakBefore w:val="0"/>
        <w:numPr>
          <w:ilvl w:val="0"/>
          <w:numId w:val="38"/>
        </w:numPr>
        <w:kinsoku/>
        <w:wordWrap/>
        <w:overflowPunct/>
        <w:topLinePunct w:val="0"/>
        <w:autoSpaceDE/>
        <w:autoSpaceDN/>
        <w:bidi w:val="0"/>
        <w:snapToGrid/>
        <w:spacing w:line="360" w:lineRule="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行政区划列表：提供行政区划的完整层级结构及详细信息，为地址相关操作提供基础数据支撑。</w:t>
      </w:r>
    </w:p>
    <w:p w14:paraId="091C659B">
      <w:pPr>
        <w:pStyle w:val="160"/>
        <w:pageBreakBefore w:val="0"/>
        <w:numPr>
          <w:ilvl w:val="0"/>
          <w:numId w:val="38"/>
        </w:numPr>
        <w:kinsoku/>
        <w:wordWrap/>
        <w:overflowPunct/>
        <w:topLinePunct w:val="0"/>
        <w:autoSpaceDE/>
        <w:autoSpaceDN/>
        <w:bidi w:val="0"/>
        <w:snapToGrid/>
        <w:spacing w:line="360" w:lineRule="auto"/>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地址匹配：将输入的地址信息与标准地址库进行智能比对，实现地址的标准化、精准化匹配。</w:t>
      </w:r>
    </w:p>
    <w:p w14:paraId="0B7FD142">
      <w:pPr>
        <w:pStyle w:val="2"/>
        <w:ind w:firstLine="0"/>
        <w:rPr>
          <w:rFonts w:hint="eastAsia"/>
          <w:color w:val="auto"/>
          <w:highlight w:val="none"/>
          <w:lang w:val="en-US" w:eastAsia="zh-CN"/>
        </w:rPr>
      </w:pPr>
    </w:p>
    <w:p w14:paraId="3EA544D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七、系统集成对接</w:t>
      </w:r>
    </w:p>
    <w:tbl>
      <w:tblPr>
        <w:tblStyle w:val="32"/>
        <w:tblW w:w="93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2113"/>
        <w:gridCol w:w="6650"/>
      </w:tblGrid>
      <w:tr w14:paraId="1353E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noWrap w:val="0"/>
            <w:vAlign w:val="center"/>
          </w:tcPr>
          <w:p w14:paraId="1C0E2830">
            <w:pPr>
              <w:keepNext w:val="0"/>
              <w:keepLines w:val="0"/>
              <w:pageBreakBefore w:val="0"/>
              <w:widowControl/>
              <w:kinsoku/>
              <w:wordWrap/>
              <w:overflowPunct/>
              <w:topLinePunct w:val="0"/>
              <w:autoSpaceDE/>
              <w:autoSpaceDN/>
              <w:bidi w:val="0"/>
              <w:spacing w:after="160" w:line="360" w:lineRule="auto"/>
              <w:jc w:val="center"/>
              <w:textAlignment w:val="bottom"/>
              <w:rPr>
                <w:rFonts w:hint="eastAsia" w:ascii="新宋体" w:hAnsi="新宋体" w:eastAsia="新宋体" w:cs="新宋体"/>
                <w:b/>
                <w:bCs/>
                <w:color w:val="auto"/>
                <w:kern w:val="0"/>
                <w:sz w:val="22"/>
                <w:szCs w:val="22"/>
                <w:highlight w:val="none"/>
                <w:lang w:val="en-US" w:eastAsia="zh-CN" w:bidi="ar"/>
              </w:rPr>
            </w:pPr>
            <w:r>
              <w:rPr>
                <w:rFonts w:hint="eastAsia" w:ascii="新宋体" w:hAnsi="新宋体" w:eastAsia="新宋体" w:cs="新宋体"/>
                <w:b/>
                <w:bCs/>
                <w:color w:val="auto"/>
                <w:kern w:val="0"/>
                <w:sz w:val="22"/>
                <w:szCs w:val="22"/>
                <w:highlight w:val="none"/>
                <w:lang w:val="en-US" w:eastAsia="zh-CN" w:bidi="ar"/>
              </w:rPr>
              <w:t>序号</w:t>
            </w:r>
          </w:p>
        </w:tc>
        <w:tc>
          <w:tcPr>
            <w:tcW w:w="2113" w:type="dxa"/>
            <w:noWrap w:val="0"/>
            <w:vAlign w:val="center"/>
          </w:tcPr>
          <w:p w14:paraId="1401975F">
            <w:pPr>
              <w:keepNext w:val="0"/>
              <w:keepLines w:val="0"/>
              <w:pageBreakBefore w:val="0"/>
              <w:widowControl/>
              <w:kinsoku/>
              <w:wordWrap/>
              <w:overflowPunct/>
              <w:topLinePunct w:val="0"/>
              <w:autoSpaceDE/>
              <w:autoSpaceDN/>
              <w:bidi w:val="0"/>
              <w:spacing w:after="160" w:line="360" w:lineRule="auto"/>
              <w:jc w:val="center"/>
              <w:textAlignment w:val="bottom"/>
              <w:rPr>
                <w:rFonts w:hint="eastAsia" w:ascii="新宋体" w:hAnsi="新宋体" w:eastAsia="新宋体" w:cs="新宋体"/>
                <w:b/>
                <w:bCs/>
                <w:color w:val="auto"/>
                <w:kern w:val="0"/>
                <w:sz w:val="22"/>
                <w:szCs w:val="22"/>
                <w:highlight w:val="none"/>
                <w:lang w:val="en-US" w:eastAsia="zh-CN" w:bidi="ar"/>
              </w:rPr>
            </w:pPr>
            <w:r>
              <w:rPr>
                <w:rFonts w:hint="eastAsia" w:ascii="新宋体" w:hAnsi="新宋体" w:eastAsia="新宋体" w:cs="新宋体"/>
                <w:b/>
                <w:bCs/>
                <w:color w:val="auto"/>
                <w:kern w:val="0"/>
                <w:sz w:val="22"/>
                <w:szCs w:val="22"/>
                <w:highlight w:val="none"/>
                <w:lang w:val="en-US" w:eastAsia="zh-CN" w:bidi="ar"/>
              </w:rPr>
              <w:t>系统</w:t>
            </w:r>
          </w:p>
        </w:tc>
        <w:tc>
          <w:tcPr>
            <w:tcW w:w="6650" w:type="dxa"/>
            <w:noWrap w:val="0"/>
            <w:vAlign w:val="center"/>
          </w:tcPr>
          <w:p w14:paraId="407C01A6">
            <w:pPr>
              <w:keepNext w:val="0"/>
              <w:keepLines w:val="0"/>
              <w:pageBreakBefore w:val="0"/>
              <w:widowControl/>
              <w:kinsoku/>
              <w:wordWrap/>
              <w:overflowPunct/>
              <w:topLinePunct w:val="0"/>
              <w:autoSpaceDE/>
              <w:autoSpaceDN/>
              <w:bidi w:val="0"/>
              <w:spacing w:after="160" w:line="360" w:lineRule="auto"/>
              <w:jc w:val="center"/>
              <w:textAlignment w:val="bottom"/>
              <w:rPr>
                <w:rFonts w:hint="eastAsia" w:ascii="新宋体" w:hAnsi="新宋体" w:eastAsia="新宋体" w:cs="新宋体"/>
                <w:b/>
                <w:bCs/>
                <w:color w:val="auto"/>
                <w:kern w:val="0"/>
                <w:sz w:val="22"/>
                <w:szCs w:val="22"/>
                <w:highlight w:val="none"/>
                <w:lang w:val="en-US" w:eastAsia="zh-CN" w:bidi="ar"/>
              </w:rPr>
            </w:pPr>
            <w:r>
              <w:rPr>
                <w:rFonts w:hint="eastAsia" w:ascii="新宋体" w:hAnsi="新宋体" w:eastAsia="新宋体" w:cs="新宋体"/>
                <w:b/>
                <w:bCs/>
                <w:color w:val="auto"/>
                <w:kern w:val="0"/>
                <w:sz w:val="22"/>
                <w:szCs w:val="22"/>
                <w:highlight w:val="none"/>
                <w:lang w:val="en-US" w:eastAsia="zh-CN" w:bidi="ar"/>
              </w:rPr>
              <w:t>要求</w:t>
            </w:r>
          </w:p>
        </w:tc>
      </w:tr>
      <w:tr w14:paraId="11E09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613" w:type="dxa"/>
            <w:noWrap w:val="0"/>
            <w:vAlign w:val="center"/>
          </w:tcPr>
          <w:p w14:paraId="7F3B316F">
            <w:pPr>
              <w:keepNext w:val="0"/>
              <w:keepLines w:val="0"/>
              <w:pageBreakBefore w:val="0"/>
              <w:kinsoku/>
              <w:wordWrap/>
              <w:overflowPunct/>
              <w:topLinePunct w:val="0"/>
              <w:autoSpaceDE/>
              <w:autoSpaceDN/>
              <w:bidi w:val="0"/>
              <w:spacing w:after="160" w:line="360" w:lineRule="auto"/>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w:t>
            </w:r>
          </w:p>
        </w:tc>
        <w:tc>
          <w:tcPr>
            <w:tcW w:w="2113" w:type="dxa"/>
            <w:noWrap w:val="0"/>
            <w:vAlign w:val="center"/>
          </w:tcPr>
          <w:p w14:paraId="6F5272C1">
            <w:pPr>
              <w:keepNext w:val="0"/>
              <w:keepLines w:val="0"/>
              <w:pageBreakBefore w:val="0"/>
              <w:kinsoku/>
              <w:wordWrap/>
              <w:overflowPunct/>
              <w:topLinePunct w:val="0"/>
              <w:autoSpaceDE/>
              <w:autoSpaceDN/>
              <w:bidi w:val="0"/>
              <w:spacing w:after="160" w:line="360" w:lineRule="auto"/>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系统集成对接</w:t>
            </w:r>
          </w:p>
        </w:tc>
        <w:tc>
          <w:tcPr>
            <w:tcW w:w="6650" w:type="dxa"/>
            <w:noWrap w:val="0"/>
            <w:vAlign w:val="center"/>
          </w:tcPr>
          <w:p w14:paraId="5C5474A2">
            <w:pPr>
              <w:keepNext w:val="0"/>
              <w:keepLines w:val="0"/>
              <w:pageBreakBefore w:val="0"/>
              <w:kinsoku/>
              <w:wordWrap/>
              <w:overflowPunct/>
              <w:topLinePunct w:val="0"/>
              <w:autoSpaceDE/>
              <w:autoSpaceDN/>
              <w:bidi w:val="0"/>
              <w:spacing w:after="160" w:line="360" w:lineRule="auto"/>
              <w:jc w:val="lef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在平台侧部署接入连接器，将相关数据资源以API接口或批量数据等方式接入到城市数据空间，完成系统集成。</w:t>
            </w:r>
          </w:p>
        </w:tc>
      </w:tr>
    </w:tbl>
    <w:p w14:paraId="013A7842">
      <w:pPr>
        <w:pStyle w:val="14"/>
        <w:snapToGrid w:val="0"/>
        <w:spacing w:line="460" w:lineRule="exact"/>
        <w:ind w:firstLine="600" w:firstLineChars="200"/>
        <w:jc w:val="center"/>
        <w:rPr>
          <w:rFonts w:hint="eastAsia" w:ascii="新宋体" w:hAnsi="新宋体" w:eastAsia="新宋体" w:cs="新宋体"/>
          <w:color w:val="auto"/>
          <w:sz w:val="30"/>
          <w:szCs w:val="30"/>
          <w:highlight w:val="none"/>
          <w:lang w:val="en-US" w:eastAsia="zh-CN"/>
        </w:rPr>
      </w:pPr>
    </w:p>
    <w:p w14:paraId="1EB0706A">
      <w:pPr>
        <w:pStyle w:val="14"/>
        <w:snapToGrid w:val="0"/>
        <w:spacing w:line="460" w:lineRule="exact"/>
        <w:ind w:firstLine="600" w:firstLineChars="200"/>
        <w:jc w:val="center"/>
        <w:rPr>
          <w:rFonts w:hint="eastAsia" w:ascii="新宋体" w:hAnsi="新宋体" w:eastAsia="新宋体" w:cs="新宋体"/>
          <w:color w:val="auto"/>
          <w:sz w:val="30"/>
          <w:szCs w:val="30"/>
          <w:highlight w:val="none"/>
          <w:lang w:val="en-US" w:eastAsia="zh-CN"/>
        </w:rPr>
      </w:pPr>
    </w:p>
    <w:p w14:paraId="623275D9">
      <w:pPr>
        <w:pStyle w:val="14"/>
        <w:snapToGrid w:val="0"/>
        <w:spacing w:line="460" w:lineRule="exact"/>
        <w:ind w:firstLine="600" w:firstLineChars="200"/>
        <w:jc w:val="center"/>
        <w:rPr>
          <w:rFonts w:hint="eastAsia" w:ascii="新宋体" w:hAnsi="新宋体" w:eastAsia="新宋体" w:cs="新宋体"/>
          <w:color w:val="auto"/>
          <w:sz w:val="30"/>
          <w:szCs w:val="30"/>
          <w:highlight w:val="none"/>
          <w:lang w:val="en-US" w:eastAsia="zh-CN"/>
        </w:rPr>
      </w:pPr>
    </w:p>
    <w:p w14:paraId="7F377CFA">
      <w:pPr>
        <w:spacing w:line="276" w:lineRule="auto"/>
        <w:jc w:val="center"/>
        <w:outlineLvl w:val="0"/>
        <w:rPr>
          <w:rFonts w:hint="eastAsia" w:ascii="新宋体" w:hAnsi="新宋体" w:eastAsia="新宋体" w:cs="新宋体"/>
          <w:b/>
          <w:bCs/>
          <w:color w:val="auto"/>
          <w:sz w:val="36"/>
          <w:szCs w:val="36"/>
          <w:highlight w:val="none"/>
        </w:rPr>
      </w:pPr>
      <w:r>
        <w:rPr>
          <w:rFonts w:hint="eastAsia" w:ascii="新宋体" w:hAnsi="新宋体" w:eastAsia="新宋体" w:cs="新宋体"/>
          <w:b/>
          <w:bCs/>
          <w:color w:val="auto"/>
          <w:sz w:val="22"/>
          <w:szCs w:val="22"/>
          <w:highlight w:val="none"/>
        </w:rPr>
        <w:br w:type="page"/>
      </w:r>
      <w:bookmarkStart w:id="221" w:name="_Toc75948407"/>
      <w:bookmarkStart w:id="222" w:name="_Toc24779"/>
      <w:bookmarkStart w:id="223" w:name="_Toc18327"/>
      <w:bookmarkStart w:id="224" w:name="_Toc30189"/>
      <w:bookmarkStart w:id="225" w:name="_Toc13668"/>
      <w:bookmarkStart w:id="226" w:name="_Toc15002"/>
      <w:bookmarkStart w:id="227" w:name="_Toc7708"/>
      <w:bookmarkStart w:id="228" w:name="_Toc29351"/>
      <w:r>
        <w:rPr>
          <w:rFonts w:hint="eastAsia" w:ascii="新宋体" w:hAnsi="新宋体" w:eastAsia="新宋体" w:cs="新宋体"/>
          <w:b/>
          <w:bCs/>
          <w:color w:val="auto"/>
          <w:sz w:val="36"/>
          <w:szCs w:val="36"/>
          <w:highlight w:val="none"/>
        </w:rPr>
        <w:t>第五部分   评标原则及方法</w:t>
      </w:r>
      <w:bookmarkEnd w:id="221"/>
      <w:bookmarkEnd w:id="222"/>
      <w:bookmarkEnd w:id="223"/>
      <w:bookmarkEnd w:id="224"/>
      <w:bookmarkEnd w:id="225"/>
      <w:bookmarkEnd w:id="226"/>
      <w:bookmarkEnd w:id="227"/>
      <w:bookmarkEnd w:id="228"/>
    </w:p>
    <w:p w14:paraId="145B3234">
      <w:pPr>
        <w:pStyle w:val="10"/>
        <w:spacing w:after="0" w:line="460" w:lineRule="exact"/>
        <w:rPr>
          <w:rFonts w:hint="eastAsia" w:ascii="新宋体" w:hAnsi="新宋体" w:eastAsia="新宋体" w:cs="新宋体"/>
          <w:b/>
          <w:color w:val="auto"/>
          <w:sz w:val="22"/>
          <w:szCs w:val="22"/>
          <w:highlight w:val="none"/>
        </w:rPr>
      </w:pPr>
      <w:bookmarkStart w:id="229" w:name="_Toc221356961"/>
      <w:bookmarkStart w:id="230" w:name="_Toc221356898"/>
      <w:r>
        <w:rPr>
          <w:rFonts w:hint="eastAsia" w:ascii="新宋体" w:hAnsi="新宋体" w:eastAsia="新宋体" w:cs="新宋体"/>
          <w:b/>
          <w:color w:val="auto"/>
          <w:sz w:val="22"/>
          <w:szCs w:val="22"/>
          <w:highlight w:val="none"/>
        </w:rPr>
        <w:t>一. 总  则</w:t>
      </w:r>
      <w:bookmarkEnd w:id="229"/>
      <w:bookmarkEnd w:id="230"/>
    </w:p>
    <w:p w14:paraId="0D16A5B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评标工作遵循公平、公正、科学、择优原则和诚实、信誉、效率的服务原则。本着科学、严谨的态度，认真进行评标。择优选用，推进技术进步，确保</w:t>
      </w:r>
      <w:r>
        <w:rPr>
          <w:rFonts w:hint="eastAsia" w:ascii="新宋体" w:hAnsi="新宋体" w:eastAsia="新宋体" w:cs="新宋体"/>
          <w:color w:val="auto"/>
          <w:sz w:val="22"/>
          <w:szCs w:val="22"/>
          <w:highlight w:val="none"/>
          <w:lang w:val="en-US" w:eastAsia="zh-CN"/>
        </w:rPr>
        <w:t>产品及服务</w:t>
      </w:r>
      <w:r>
        <w:rPr>
          <w:rFonts w:hint="eastAsia" w:ascii="新宋体" w:hAnsi="新宋体" w:eastAsia="新宋体" w:cs="新宋体"/>
          <w:color w:val="auto"/>
          <w:sz w:val="22"/>
          <w:szCs w:val="22"/>
          <w:highlight w:val="none"/>
        </w:rPr>
        <w:t>质量、节约投资，最大限度的保护当事人权益，严格按照采购文件的商务、技术要求，对投标文件进行综合评定，提出优选方案，编写评标报告。对落标单位，评委会不作任何落标解释。</w:t>
      </w:r>
    </w:p>
    <w:p w14:paraId="44148799">
      <w:pPr>
        <w:pStyle w:val="10"/>
        <w:spacing w:after="0" w:line="460" w:lineRule="exact"/>
        <w:rPr>
          <w:rFonts w:hint="eastAsia" w:ascii="新宋体" w:hAnsi="新宋体" w:eastAsia="新宋体" w:cs="新宋体"/>
          <w:b/>
          <w:color w:val="auto"/>
          <w:sz w:val="22"/>
          <w:szCs w:val="22"/>
          <w:highlight w:val="none"/>
        </w:rPr>
      </w:pPr>
      <w:bookmarkStart w:id="231" w:name="_Toc221356962"/>
      <w:bookmarkStart w:id="232" w:name="_Toc221356899"/>
      <w:r>
        <w:rPr>
          <w:rFonts w:hint="eastAsia" w:ascii="新宋体" w:hAnsi="新宋体" w:eastAsia="新宋体" w:cs="新宋体"/>
          <w:b/>
          <w:color w:val="auto"/>
          <w:sz w:val="22"/>
          <w:szCs w:val="22"/>
          <w:highlight w:val="none"/>
        </w:rPr>
        <w:t>二、评标组织</w:t>
      </w:r>
      <w:bookmarkEnd w:id="231"/>
      <w:bookmarkEnd w:id="232"/>
    </w:p>
    <w:p w14:paraId="34EB4F7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评标工作由采购人依法组建的评标委员会负责，评标全过程由有关部门指导监督。</w:t>
      </w:r>
    </w:p>
    <w:p w14:paraId="2F0C98D9">
      <w:pPr>
        <w:pStyle w:val="10"/>
        <w:spacing w:after="0" w:line="460" w:lineRule="exact"/>
        <w:rPr>
          <w:rFonts w:hint="eastAsia" w:ascii="新宋体" w:hAnsi="新宋体" w:eastAsia="新宋体" w:cs="新宋体"/>
          <w:b/>
          <w:color w:val="auto"/>
          <w:sz w:val="22"/>
          <w:szCs w:val="22"/>
          <w:highlight w:val="none"/>
        </w:rPr>
      </w:pPr>
      <w:bookmarkStart w:id="233" w:name="_Toc221356900"/>
      <w:bookmarkStart w:id="234" w:name="_Toc221356963"/>
      <w:r>
        <w:rPr>
          <w:rFonts w:hint="eastAsia" w:ascii="新宋体" w:hAnsi="新宋体" w:eastAsia="新宋体" w:cs="新宋体"/>
          <w:b/>
          <w:color w:val="auto"/>
          <w:sz w:val="22"/>
          <w:szCs w:val="22"/>
          <w:highlight w:val="none"/>
        </w:rPr>
        <w:t>三、评标程序</w:t>
      </w:r>
      <w:bookmarkEnd w:id="233"/>
      <w:bookmarkEnd w:id="234"/>
    </w:p>
    <w:p w14:paraId="2995BF3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标后，采购代理机构对各投标供应商的资格进行审查；然后评标委员会对合格投标供应商的投标文件进行符合性审查，按照采购文件中规定的评标方法和标准，对符合性审查合格的投标文件进行商务和技术评估，综合比较与评价。</w:t>
      </w:r>
    </w:p>
    <w:p w14:paraId="043F94D6">
      <w:pPr>
        <w:pStyle w:val="10"/>
        <w:spacing w:after="0" w:line="460" w:lineRule="exact"/>
        <w:rPr>
          <w:rFonts w:hint="eastAsia" w:ascii="新宋体" w:hAnsi="新宋体" w:eastAsia="新宋体" w:cs="新宋体"/>
          <w:b/>
          <w:color w:val="auto"/>
          <w:sz w:val="22"/>
          <w:szCs w:val="22"/>
          <w:highlight w:val="none"/>
        </w:rPr>
      </w:pPr>
      <w:bookmarkStart w:id="235" w:name="_Toc221356901"/>
      <w:bookmarkStart w:id="236" w:name="_Toc221356964"/>
      <w:r>
        <w:rPr>
          <w:rFonts w:hint="eastAsia" w:ascii="新宋体" w:hAnsi="新宋体" w:eastAsia="新宋体" w:cs="新宋体"/>
          <w:b/>
          <w:color w:val="auto"/>
          <w:sz w:val="22"/>
          <w:szCs w:val="22"/>
          <w:highlight w:val="none"/>
        </w:rPr>
        <w:t>四、评标办法</w:t>
      </w:r>
      <w:bookmarkEnd w:id="235"/>
      <w:bookmarkEnd w:id="236"/>
    </w:p>
    <w:p w14:paraId="5BAD15A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次采购采用百分制综合评分法，即投标供应商最大限度地满足采购文件实质性要求的基础上，按照采购文件的各项因素进行综合评审后，以评标总得分最高的投标供应商和次高的投标供应商作为第一和第二排序的中标候选人的评标方法。</w:t>
      </w:r>
    </w:p>
    <w:p w14:paraId="3BC21305">
      <w:pPr>
        <w:pStyle w:val="10"/>
        <w:spacing w:after="0" w:line="460" w:lineRule="exact"/>
        <w:rPr>
          <w:rFonts w:hint="eastAsia" w:ascii="新宋体" w:hAnsi="新宋体" w:eastAsia="新宋体" w:cs="新宋体"/>
          <w:b/>
          <w:color w:val="auto"/>
          <w:sz w:val="22"/>
          <w:szCs w:val="22"/>
          <w:highlight w:val="none"/>
          <w:lang w:val="en-US" w:eastAsia="zh-CN"/>
        </w:rPr>
      </w:pPr>
      <w:r>
        <w:rPr>
          <w:rFonts w:hint="eastAsia" w:ascii="新宋体" w:hAnsi="新宋体" w:eastAsia="新宋体" w:cs="新宋体"/>
          <w:b/>
          <w:color w:val="auto"/>
          <w:sz w:val="22"/>
          <w:szCs w:val="22"/>
          <w:highlight w:val="none"/>
        </w:rPr>
        <w:t>五、评分细则</w:t>
      </w:r>
    </w:p>
    <w:p w14:paraId="7A6CD084">
      <w:pPr>
        <w:numPr>
          <w:ilvl w:val="0"/>
          <w:numId w:val="39"/>
        </w:numPr>
        <w:spacing w:line="460" w:lineRule="exact"/>
        <w:ind w:firstLine="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技术资信部分的评定（</w:t>
      </w:r>
      <w:r>
        <w:rPr>
          <w:rFonts w:hint="eastAsia" w:ascii="新宋体" w:hAnsi="新宋体" w:eastAsia="新宋体" w:cs="新宋体"/>
          <w:b/>
          <w:bCs/>
          <w:color w:val="auto"/>
          <w:sz w:val="22"/>
          <w:szCs w:val="22"/>
          <w:highlight w:val="none"/>
          <w:lang w:val="en-US" w:eastAsia="zh-CN"/>
        </w:rPr>
        <w:t>85</w:t>
      </w:r>
      <w:r>
        <w:rPr>
          <w:rFonts w:hint="eastAsia" w:ascii="新宋体" w:hAnsi="新宋体" w:eastAsia="新宋体" w:cs="新宋体"/>
          <w:b/>
          <w:bCs/>
          <w:color w:val="auto"/>
          <w:sz w:val="22"/>
          <w:szCs w:val="22"/>
          <w:highlight w:val="none"/>
        </w:rPr>
        <w:t>分）</w:t>
      </w:r>
    </w:p>
    <w:p w14:paraId="5C96AFF3">
      <w:pPr>
        <w:spacing w:line="460" w:lineRule="exact"/>
        <w:ind w:firstLine="43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各评委成员按下列评分项目进行评定，每人一张评分计算表，由评标委员会成员各自评定打分并记实名。各评标委员会成员对各投标供应商的各项评分内容进行评审、独立打分，所有评委成员评分的算术平均值为该投标供应商技术资信部分的最终得分（四舍五入，保留小数点后二位）。</w:t>
      </w:r>
    </w:p>
    <w:tbl>
      <w:tblPr>
        <w:tblStyle w:val="31"/>
        <w:tblW w:w="9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276"/>
        <w:gridCol w:w="6872"/>
        <w:gridCol w:w="885"/>
      </w:tblGrid>
      <w:tr w14:paraId="6DD26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846" w:type="dxa"/>
            <w:noWrap w:val="0"/>
            <w:vAlign w:val="center"/>
          </w:tcPr>
          <w:p w14:paraId="312D1CC7">
            <w:pPr>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br w:type="page"/>
            </w:r>
            <w:r>
              <w:rPr>
                <w:rFonts w:hint="eastAsia" w:ascii="新宋体" w:hAnsi="新宋体" w:eastAsia="新宋体" w:cs="新宋体"/>
                <w:b/>
                <w:color w:val="auto"/>
                <w:sz w:val="22"/>
                <w:szCs w:val="22"/>
                <w:highlight w:val="none"/>
              </w:rPr>
              <w:t>序号</w:t>
            </w:r>
          </w:p>
        </w:tc>
        <w:tc>
          <w:tcPr>
            <w:tcW w:w="1276" w:type="dxa"/>
            <w:noWrap w:val="0"/>
            <w:vAlign w:val="center"/>
          </w:tcPr>
          <w:p w14:paraId="427D0D50">
            <w:pPr>
              <w:widowControl/>
              <w:spacing w:line="460" w:lineRule="exact"/>
              <w:jc w:val="center"/>
              <w:textAlignment w:val="center"/>
              <w:rPr>
                <w:rFonts w:hint="default" w:ascii="新宋体" w:hAnsi="新宋体" w:eastAsia="新宋体" w:cs="新宋体"/>
                <w:b/>
                <w:color w:val="auto"/>
                <w:sz w:val="22"/>
                <w:szCs w:val="22"/>
                <w:highlight w:val="none"/>
                <w:lang w:val="en-US"/>
              </w:rPr>
            </w:pPr>
            <w:r>
              <w:rPr>
                <w:rFonts w:hint="eastAsia" w:ascii="新宋体" w:hAnsi="新宋体" w:eastAsia="新宋体" w:cs="新宋体"/>
                <w:b/>
                <w:color w:val="auto"/>
                <w:sz w:val="22"/>
                <w:szCs w:val="22"/>
                <w:highlight w:val="none"/>
              </w:rPr>
              <w:t>评</w:t>
            </w:r>
            <w:r>
              <w:rPr>
                <w:rFonts w:hint="eastAsia" w:ascii="新宋体" w:hAnsi="新宋体" w:eastAsia="新宋体" w:cs="新宋体"/>
                <w:b/>
                <w:color w:val="auto"/>
                <w:sz w:val="22"/>
                <w:szCs w:val="22"/>
                <w:highlight w:val="none"/>
                <w:lang w:val="en-US" w:eastAsia="zh-CN"/>
              </w:rPr>
              <w:t>分内容</w:t>
            </w:r>
          </w:p>
        </w:tc>
        <w:tc>
          <w:tcPr>
            <w:tcW w:w="6872" w:type="dxa"/>
            <w:noWrap w:val="0"/>
            <w:vAlign w:val="center"/>
          </w:tcPr>
          <w:p w14:paraId="147DD0C5">
            <w:pPr>
              <w:widowControl/>
              <w:spacing w:line="460" w:lineRule="exact"/>
              <w:jc w:val="center"/>
              <w:textAlignment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评分标准</w:t>
            </w:r>
            <w:r>
              <w:rPr>
                <w:rFonts w:hint="eastAsia" w:ascii="新宋体" w:hAnsi="新宋体" w:eastAsia="新宋体" w:cs="新宋体"/>
                <w:b/>
                <w:bCs/>
                <w:color w:val="auto"/>
                <w:kern w:val="0"/>
                <w:sz w:val="22"/>
                <w:szCs w:val="22"/>
                <w:highlight w:val="none"/>
                <w:lang w:bidi="ar"/>
              </w:rPr>
              <w:t>（投标文件中提供的证明材料（证书、合同等）应清晰可辨，如无法辨识，将不予给分。）</w:t>
            </w:r>
          </w:p>
        </w:tc>
        <w:tc>
          <w:tcPr>
            <w:tcW w:w="885" w:type="dxa"/>
            <w:noWrap w:val="0"/>
            <w:vAlign w:val="center"/>
          </w:tcPr>
          <w:p w14:paraId="1F040D7E">
            <w:pPr>
              <w:widowControl/>
              <w:spacing w:line="460" w:lineRule="exact"/>
              <w:jc w:val="center"/>
              <w:textAlignment w:val="center"/>
              <w:rPr>
                <w:rFonts w:hint="eastAsia" w:ascii="新宋体" w:hAnsi="新宋体" w:eastAsia="新宋体" w:cs="新宋体"/>
                <w:b/>
                <w:color w:val="auto"/>
                <w:sz w:val="22"/>
                <w:szCs w:val="22"/>
                <w:highlight w:val="none"/>
                <w:lang w:eastAsia="zh-CN"/>
              </w:rPr>
            </w:pPr>
            <w:r>
              <w:rPr>
                <w:rFonts w:hint="eastAsia" w:ascii="新宋体" w:hAnsi="新宋体" w:eastAsia="新宋体" w:cs="新宋体"/>
                <w:b/>
                <w:color w:val="auto"/>
                <w:sz w:val="22"/>
                <w:szCs w:val="22"/>
                <w:highlight w:val="none"/>
              </w:rPr>
              <w:t>分值</w:t>
            </w:r>
            <w:r>
              <w:rPr>
                <w:rFonts w:hint="eastAsia" w:ascii="新宋体" w:hAnsi="新宋体" w:eastAsia="新宋体" w:cs="新宋体"/>
                <w:b/>
                <w:color w:val="auto"/>
                <w:sz w:val="22"/>
                <w:szCs w:val="22"/>
                <w:highlight w:val="none"/>
                <w:lang w:eastAsia="zh-CN"/>
              </w:rPr>
              <w:t>（</w:t>
            </w:r>
            <w:r>
              <w:rPr>
                <w:rFonts w:hint="eastAsia" w:ascii="新宋体" w:hAnsi="新宋体" w:eastAsia="新宋体" w:cs="新宋体"/>
                <w:b/>
                <w:color w:val="auto"/>
                <w:sz w:val="22"/>
                <w:szCs w:val="22"/>
                <w:highlight w:val="none"/>
                <w:lang w:val="en-US" w:eastAsia="zh-CN"/>
              </w:rPr>
              <w:t>分</w:t>
            </w:r>
            <w:r>
              <w:rPr>
                <w:rFonts w:hint="eastAsia" w:ascii="新宋体" w:hAnsi="新宋体" w:eastAsia="新宋体" w:cs="新宋体"/>
                <w:b/>
                <w:color w:val="auto"/>
                <w:sz w:val="22"/>
                <w:szCs w:val="22"/>
                <w:highlight w:val="none"/>
                <w:lang w:eastAsia="zh-CN"/>
              </w:rPr>
              <w:t>）</w:t>
            </w:r>
          </w:p>
        </w:tc>
      </w:tr>
      <w:tr w14:paraId="4DD45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846" w:type="dxa"/>
            <w:noWrap w:val="0"/>
            <w:vAlign w:val="center"/>
          </w:tcPr>
          <w:p w14:paraId="6D329A24">
            <w:pPr>
              <w:widowControl/>
              <w:spacing w:line="460" w:lineRule="exact"/>
              <w:jc w:val="center"/>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p>
        </w:tc>
        <w:tc>
          <w:tcPr>
            <w:tcW w:w="1276" w:type="dxa"/>
            <w:noWrap w:val="0"/>
            <w:vAlign w:val="center"/>
          </w:tcPr>
          <w:p w14:paraId="312F81F6">
            <w:pPr>
              <w:widowControl/>
              <w:spacing w:line="460" w:lineRule="exact"/>
              <w:jc w:val="center"/>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认证证书</w:t>
            </w:r>
          </w:p>
        </w:tc>
        <w:tc>
          <w:tcPr>
            <w:tcW w:w="6872" w:type="dxa"/>
            <w:noWrap w:val="0"/>
            <w:vAlign w:val="center"/>
          </w:tcPr>
          <w:p w14:paraId="4D6950F2">
            <w:pPr>
              <w:widowControl/>
              <w:spacing w:line="460" w:lineRule="exact"/>
              <w:jc w:val="left"/>
              <w:textAlignment w:val="cente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eastAsia="zh-CN"/>
              </w:rPr>
              <w:t>投标供应商</w:t>
            </w:r>
            <w:r>
              <w:rPr>
                <w:rFonts w:hint="eastAsia" w:ascii="新宋体" w:hAnsi="新宋体" w:eastAsia="新宋体" w:cs="新宋体"/>
                <w:bCs/>
                <w:color w:val="auto"/>
                <w:sz w:val="22"/>
                <w:szCs w:val="22"/>
                <w:highlight w:val="none"/>
              </w:rPr>
              <w:t>具有ISO9001质量管理体系认证证书得</w:t>
            </w:r>
            <w:r>
              <w:rPr>
                <w:rFonts w:hint="eastAsia" w:ascii="新宋体" w:hAnsi="新宋体" w:eastAsia="新宋体" w:cs="新宋体"/>
                <w:bCs/>
                <w:color w:val="auto"/>
                <w:sz w:val="22"/>
                <w:szCs w:val="22"/>
                <w:highlight w:val="none"/>
                <w:lang w:val="en-US" w:eastAsia="zh-CN"/>
              </w:rPr>
              <w:t>1</w:t>
            </w:r>
            <w:r>
              <w:rPr>
                <w:rFonts w:hint="eastAsia" w:ascii="新宋体" w:hAnsi="新宋体" w:eastAsia="新宋体" w:cs="新宋体"/>
                <w:bCs/>
                <w:color w:val="auto"/>
                <w:sz w:val="22"/>
                <w:szCs w:val="22"/>
                <w:highlight w:val="none"/>
              </w:rPr>
              <w:t>分。</w:t>
            </w:r>
          </w:p>
          <w:p w14:paraId="795FB36A">
            <w:pPr>
              <w:widowControl/>
              <w:spacing w:line="460" w:lineRule="exact"/>
              <w:jc w:val="left"/>
              <w:textAlignment w:val="cente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eastAsia="zh-CN"/>
              </w:rPr>
              <w:t>投标供应商</w:t>
            </w:r>
            <w:r>
              <w:rPr>
                <w:rFonts w:hint="eastAsia" w:ascii="新宋体" w:hAnsi="新宋体" w:eastAsia="新宋体" w:cs="新宋体"/>
                <w:bCs/>
                <w:color w:val="auto"/>
                <w:sz w:val="22"/>
                <w:szCs w:val="22"/>
                <w:highlight w:val="none"/>
              </w:rPr>
              <w:t>具有ISO20000信息技术服务管理体系认证证书得</w:t>
            </w:r>
            <w:r>
              <w:rPr>
                <w:rFonts w:hint="eastAsia" w:ascii="新宋体" w:hAnsi="新宋体" w:eastAsia="新宋体" w:cs="新宋体"/>
                <w:bCs/>
                <w:color w:val="auto"/>
                <w:sz w:val="22"/>
                <w:szCs w:val="22"/>
                <w:highlight w:val="none"/>
                <w:lang w:val="en-US" w:eastAsia="zh-CN"/>
              </w:rPr>
              <w:t>1</w:t>
            </w:r>
            <w:r>
              <w:rPr>
                <w:rFonts w:hint="eastAsia" w:ascii="新宋体" w:hAnsi="新宋体" w:eastAsia="新宋体" w:cs="新宋体"/>
                <w:bCs/>
                <w:color w:val="auto"/>
                <w:sz w:val="22"/>
                <w:szCs w:val="22"/>
                <w:highlight w:val="none"/>
              </w:rPr>
              <w:t>分。</w:t>
            </w:r>
          </w:p>
          <w:p w14:paraId="6358CBA6">
            <w:pPr>
              <w:widowControl/>
              <w:spacing w:line="460" w:lineRule="exact"/>
              <w:jc w:val="left"/>
              <w:textAlignment w:val="cente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eastAsia="zh-CN"/>
              </w:rPr>
              <w:t>投标供应商</w:t>
            </w:r>
            <w:r>
              <w:rPr>
                <w:rFonts w:hint="eastAsia" w:ascii="新宋体" w:hAnsi="新宋体" w:eastAsia="新宋体" w:cs="新宋体"/>
                <w:bCs/>
                <w:color w:val="auto"/>
                <w:sz w:val="22"/>
                <w:szCs w:val="22"/>
                <w:highlight w:val="none"/>
              </w:rPr>
              <w:t>具有ISO27001信息安全管理体系认证证书得</w:t>
            </w:r>
            <w:r>
              <w:rPr>
                <w:rFonts w:hint="eastAsia" w:ascii="新宋体" w:hAnsi="新宋体" w:eastAsia="新宋体" w:cs="新宋体"/>
                <w:bCs/>
                <w:color w:val="auto"/>
                <w:sz w:val="22"/>
                <w:szCs w:val="22"/>
                <w:highlight w:val="none"/>
                <w:lang w:val="en-US" w:eastAsia="zh-CN"/>
              </w:rPr>
              <w:t>1</w:t>
            </w:r>
            <w:r>
              <w:rPr>
                <w:rFonts w:hint="eastAsia" w:ascii="新宋体" w:hAnsi="新宋体" w:eastAsia="新宋体" w:cs="新宋体"/>
                <w:bCs/>
                <w:color w:val="auto"/>
                <w:sz w:val="22"/>
                <w:szCs w:val="22"/>
                <w:highlight w:val="none"/>
              </w:rPr>
              <w:t>分。</w:t>
            </w:r>
          </w:p>
          <w:p w14:paraId="3689A7BC">
            <w:pPr>
              <w:widowControl/>
              <w:spacing w:line="460" w:lineRule="exact"/>
              <w:jc w:val="left"/>
              <w:textAlignment w:val="cente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eastAsia="zh-CN"/>
              </w:rPr>
              <w:t>投标供应商</w:t>
            </w:r>
            <w:r>
              <w:rPr>
                <w:rFonts w:hint="eastAsia" w:ascii="新宋体" w:hAnsi="新宋体" w:eastAsia="新宋体" w:cs="新宋体"/>
                <w:bCs/>
                <w:color w:val="auto"/>
                <w:sz w:val="22"/>
                <w:szCs w:val="22"/>
                <w:highlight w:val="none"/>
              </w:rPr>
              <w:t>具有ISO22301业务连续性管理体系认证证书得</w:t>
            </w:r>
            <w:r>
              <w:rPr>
                <w:rFonts w:hint="eastAsia" w:ascii="新宋体" w:hAnsi="新宋体" w:eastAsia="新宋体" w:cs="新宋体"/>
                <w:bCs/>
                <w:color w:val="auto"/>
                <w:sz w:val="22"/>
                <w:szCs w:val="22"/>
                <w:highlight w:val="none"/>
                <w:lang w:val="en-US" w:eastAsia="zh-CN"/>
              </w:rPr>
              <w:t>1</w:t>
            </w:r>
            <w:r>
              <w:rPr>
                <w:rFonts w:hint="eastAsia" w:ascii="新宋体" w:hAnsi="新宋体" w:eastAsia="新宋体" w:cs="新宋体"/>
                <w:bCs/>
                <w:color w:val="auto"/>
                <w:sz w:val="22"/>
                <w:szCs w:val="22"/>
                <w:highlight w:val="none"/>
              </w:rPr>
              <w:t>分。</w:t>
            </w:r>
          </w:p>
          <w:p w14:paraId="78CC6B77">
            <w:pPr>
              <w:widowControl/>
              <w:spacing w:line="460" w:lineRule="exact"/>
              <w:jc w:val="left"/>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
                <w:bCs w:val="0"/>
                <w:color w:val="auto"/>
                <w:sz w:val="22"/>
                <w:szCs w:val="22"/>
                <w:highlight w:val="none"/>
              </w:rPr>
              <w:t>注：以上证书均须提供有效的认证证书复制件加盖</w:t>
            </w:r>
            <w:r>
              <w:rPr>
                <w:rFonts w:hint="eastAsia" w:ascii="新宋体" w:hAnsi="新宋体" w:eastAsia="新宋体" w:cs="新宋体"/>
                <w:b/>
                <w:bCs w:val="0"/>
                <w:color w:val="auto"/>
                <w:sz w:val="22"/>
                <w:szCs w:val="22"/>
                <w:highlight w:val="none"/>
                <w:lang w:eastAsia="zh-CN"/>
              </w:rPr>
              <w:t>投标供应商</w:t>
            </w:r>
            <w:r>
              <w:rPr>
                <w:rFonts w:hint="eastAsia" w:ascii="新宋体" w:hAnsi="新宋体" w:eastAsia="新宋体" w:cs="新宋体"/>
                <w:b/>
                <w:bCs w:val="0"/>
                <w:color w:val="auto"/>
                <w:sz w:val="22"/>
                <w:szCs w:val="22"/>
                <w:highlight w:val="none"/>
              </w:rPr>
              <w:t>公章及认监委官网（http://cx.cnca.cn）证书查询截图复制件加盖</w:t>
            </w:r>
            <w:r>
              <w:rPr>
                <w:rFonts w:hint="eastAsia" w:ascii="新宋体" w:hAnsi="新宋体" w:eastAsia="新宋体" w:cs="新宋体"/>
                <w:b/>
                <w:bCs w:val="0"/>
                <w:color w:val="auto"/>
                <w:sz w:val="22"/>
                <w:szCs w:val="22"/>
                <w:highlight w:val="none"/>
                <w:lang w:eastAsia="zh-CN"/>
              </w:rPr>
              <w:t>投标供应商</w:t>
            </w:r>
            <w:r>
              <w:rPr>
                <w:rFonts w:hint="eastAsia" w:ascii="新宋体" w:hAnsi="新宋体" w:eastAsia="新宋体" w:cs="新宋体"/>
                <w:b/>
                <w:bCs w:val="0"/>
                <w:color w:val="auto"/>
                <w:sz w:val="22"/>
                <w:szCs w:val="22"/>
                <w:highlight w:val="none"/>
              </w:rPr>
              <w:t>公章，不提供或未提供齐全的，则该项证书不得分。</w:t>
            </w:r>
          </w:p>
        </w:tc>
        <w:tc>
          <w:tcPr>
            <w:tcW w:w="885" w:type="dxa"/>
            <w:noWrap w:val="0"/>
            <w:vAlign w:val="center"/>
          </w:tcPr>
          <w:p w14:paraId="0DC86D9C">
            <w:pPr>
              <w:widowControl/>
              <w:spacing w:line="460" w:lineRule="exact"/>
              <w:jc w:val="center"/>
              <w:textAlignment w:val="center"/>
              <w:rPr>
                <w:rFonts w:hint="eastAsia" w:ascii="新宋体" w:hAnsi="新宋体" w:eastAsia="新宋体" w:cs="新宋体"/>
                <w:b/>
                <w:color w:val="auto"/>
                <w:sz w:val="22"/>
                <w:szCs w:val="22"/>
                <w:highlight w:val="none"/>
                <w:lang w:eastAsia="zh-CN"/>
              </w:rPr>
            </w:pPr>
            <w:r>
              <w:rPr>
                <w:rFonts w:hint="eastAsia" w:ascii="新宋体" w:hAnsi="新宋体" w:eastAsia="新宋体" w:cs="新宋体"/>
                <w:bCs/>
                <w:color w:val="auto"/>
                <w:sz w:val="22"/>
                <w:szCs w:val="22"/>
                <w:highlight w:val="none"/>
                <w:lang w:val="en-US" w:eastAsia="zh-CN"/>
              </w:rPr>
              <w:t>4</w:t>
            </w:r>
          </w:p>
        </w:tc>
      </w:tr>
      <w:tr w14:paraId="01CCF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846" w:type="dxa"/>
            <w:noWrap w:val="0"/>
            <w:vAlign w:val="center"/>
          </w:tcPr>
          <w:p w14:paraId="20D71194">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1276" w:type="dxa"/>
            <w:noWrap w:val="0"/>
            <w:vAlign w:val="center"/>
          </w:tcPr>
          <w:p w14:paraId="26D9C0CE">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项目业绩</w:t>
            </w:r>
          </w:p>
        </w:tc>
        <w:tc>
          <w:tcPr>
            <w:tcW w:w="6872" w:type="dxa"/>
            <w:noWrap w:val="0"/>
            <w:vAlign w:val="center"/>
          </w:tcPr>
          <w:p w14:paraId="518CE57A">
            <w:pPr>
              <w:widowControl/>
              <w:spacing w:line="460" w:lineRule="exact"/>
              <w:jc w:val="left"/>
              <w:textAlignment w:val="center"/>
              <w:rPr>
                <w:rFonts w:hint="eastAsia"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eastAsia="zh-CN" w:bidi="ar"/>
              </w:rPr>
              <w:t>投标供应商</w:t>
            </w:r>
            <w:r>
              <w:rPr>
                <w:rFonts w:hint="eastAsia" w:ascii="新宋体" w:hAnsi="新宋体" w:eastAsia="新宋体" w:cs="新宋体"/>
                <w:color w:val="auto"/>
                <w:sz w:val="22"/>
                <w:szCs w:val="22"/>
                <w:highlight w:val="none"/>
                <w:lang w:bidi="ar"/>
              </w:rPr>
              <w:t>2022年1月1日</w:t>
            </w:r>
            <w:r>
              <w:rPr>
                <w:rFonts w:hint="eastAsia" w:ascii="新宋体" w:hAnsi="新宋体" w:eastAsia="新宋体" w:cs="新宋体"/>
                <w:color w:val="auto"/>
                <w:sz w:val="22"/>
                <w:szCs w:val="22"/>
                <w:highlight w:val="none"/>
                <w:lang w:eastAsia="zh-CN" w:bidi="ar"/>
              </w:rPr>
              <w:t>（</w:t>
            </w:r>
            <w:r>
              <w:rPr>
                <w:rFonts w:hint="eastAsia" w:ascii="新宋体" w:hAnsi="新宋体" w:eastAsia="新宋体" w:cs="新宋体"/>
                <w:color w:val="auto"/>
                <w:sz w:val="22"/>
                <w:szCs w:val="22"/>
                <w:highlight w:val="none"/>
                <w:lang w:bidi="ar"/>
              </w:rPr>
              <w:t>以合同签订日期为准</w:t>
            </w:r>
            <w:r>
              <w:rPr>
                <w:rFonts w:hint="eastAsia" w:ascii="新宋体" w:hAnsi="新宋体" w:eastAsia="新宋体" w:cs="新宋体"/>
                <w:color w:val="auto"/>
                <w:sz w:val="22"/>
                <w:szCs w:val="22"/>
                <w:highlight w:val="none"/>
                <w:lang w:eastAsia="zh-CN" w:bidi="ar"/>
              </w:rPr>
              <w:t>）</w:t>
            </w:r>
            <w:r>
              <w:rPr>
                <w:rFonts w:hint="eastAsia" w:ascii="新宋体" w:hAnsi="新宋体" w:eastAsia="新宋体" w:cs="新宋体"/>
                <w:color w:val="auto"/>
                <w:sz w:val="22"/>
                <w:szCs w:val="22"/>
                <w:highlight w:val="none"/>
                <w:lang w:bidi="ar"/>
              </w:rPr>
              <w:t>以来承担过类似项目案例，每一个案例可得1分，最多得1分。</w:t>
            </w:r>
          </w:p>
          <w:p w14:paraId="72598496">
            <w:pPr>
              <w:widowControl/>
              <w:spacing w:line="460" w:lineRule="exact"/>
              <w:jc w:val="left"/>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
                <w:bCs/>
                <w:color w:val="auto"/>
                <w:sz w:val="22"/>
                <w:szCs w:val="22"/>
                <w:highlight w:val="none"/>
                <w:lang w:bidi="ar"/>
              </w:rPr>
              <w:t>注：提供合同复印件并盖投标供应商公章</w:t>
            </w:r>
            <w:r>
              <w:rPr>
                <w:rFonts w:hint="eastAsia" w:ascii="新宋体" w:hAnsi="新宋体" w:eastAsia="新宋体" w:cs="新宋体"/>
                <w:b/>
                <w:bCs/>
                <w:color w:val="auto"/>
                <w:sz w:val="22"/>
                <w:szCs w:val="22"/>
                <w:highlight w:val="none"/>
                <w:lang w:eastAsia="zh-CN" w:bidi="ar"/>
              </w:rPr>
              <w:t>，</w:t>
            </w:r>
            <w:r>
              <w:rPr>
                <w:rFonts w:hint="eastAsia" w:ascii="新宋体" w:hAnsi="新宋体" w:eastAsia="新宋体" w:cs="新宋体"/>
                <w:b/>
                <w:bCs/>
                <w:color w:val="auto"/>
                <w:sz w:val="22"/>
                <w:szCs w:val="22"/>
                <w:highlight w:val="none"/>
                <w:lang w:val="en-US" w:eastAsia="zh-CN" w:bidi="ar"/>
              </w:rPr>
              <w:t>否则不得分</w:t>
            </w:r>
            <w:r>
              <w:rPr>
                <w:rFonts w:hint="eastAsia" w:ascii="新宋体" w:hAnsi="新宋体" w:eastAsia="新宋体" w:cs="新宋体"/>
                <w:b/>
                <w:bCs/>
                <w:color w:val="auto"/>
                <w:sz w:val="22"/>
                <w:szCs w:val="22"/>
                <w:highlight w:val="none"/>
                <w:lang w:bidi="ar"/>
              </w:rPr>
              <w:t>。</w:t>
            </w:r>
          </w:p>
        </w:tc>
        <w:tc>
          <w:tcPr>
            <w:tcW w:w="885" w:type="dxa"/>
            <w:noWrap w:val="0"/>
            <w:vAlign w:val="center"/>
          </w:tcPr>
          <w:p w14:paraId="3531C154">
            <w:pPr>
              <w:widowControl/>
              <w:spacing w:line="460" w:lineRule="exact"/>
              <w:jc w:val="center"/>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lang w:bidi="ar"/>
              </w:rPr>
              <w:t>1</w:t>
            </w:r>
          </w:p>
        </w:tc>
      </w:tr>
      <w:tr w14:paraId="377D4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0" w:hRule="atLeast"/>
          <w:jc w:val="center"/>
        </w:trPr>
        <w:tc>
          <w:tcPr>
            <w:tcW w:w="846" w:type="dxa"/>
            <w:noWrap w:val="0"/>
            <w:vAlign w:val="center"/>
          </w:tcPr>
          <w:p w14:paraId="10FEFFEE">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1276" w:type="dxa"/>
            <w:noWrap w:val="0"/>
            <w:vAlign w:val="center"/>
          </w:tcPr>
          <w:p w14:paraId="70F889E1">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项目团队</w:t>
            </w:r>
          </w:p>
        </w:tc>
        <w:tc>
          <w:tcPr>
            <w:tcW w:w="6872" w:type="dxa"/>
            <w:noWrap w:val="0"/>
            <w:vAlign w:val="center"/>
          </w:tcPr>
          <w:p w14:paraId="00379534">
            <w:pPr>
              <w:widowControl/>
              <w:spacing w:line="460" w:lineRule="exact"/>
              <w:jc w:val="left"/>
              <w:textAlignment w:val="center"/>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1</w:t>
            </w:r>
            <w:r>
              <w:rPr>
                <w:rFonts w:hint="eastAsia" w:ascii="新宋体" w:hAnsi="新宋体" w:eastAsia="新宋体" w:cs="新宋体"/>
                <w:color w:val="auto"/>
                <w:sz w:val="22"/>
                <w:szCs w:val="22"/>
                <w:highlight w:val="none"/>
                <w:lang w:val="en-US" w:eastAsia="zh-CN" w:bidi="ar"/>
              </w:rPr>
              <w:t>.</w:t>
            </w:r>
            <w:r>
              <w:rPr>
                <w:rFonts w:hint="eastAsia" w:ascii="新宋体" w:hAnsi="新宋体" w:eastAsia="新宋体" w:cs="新宋体"/>
                <w:color w:val="auto"/>
                <w:sz w:val="22"/>
                <w:szCs w:val="22"/>
                <w:highlight w:val="none"/>
                <w:lang w:eastAsia="zh-CN" w:bidi="ar"/>
              </w:rPr>
              <w:t>投标供应商</w:t>
            </w:r>
            <w:r>
              <w:rPr>
                <w:rFonts w:hint="eastAsia" w:ascii="新宋体" w:hAnsi="新宋体" w:eastAsia="新宋体" w:cs="新宋体"/>
                <w:color w:val="auto"/>
                <w:sz w:val="22"/>
                <w:szCs w:val="22"/>
                <w:highlight w:val="none"/>
                <w:lang w:bidi="ar"/>
              </w:rPr>
              <w:t>拟派项目负责人（1名）具有信息系统项目管理师、数据库系统工程师、通信工程师，每具备一个得1分，最高得3分。</w:t>
            </w:r>
          </w:p>
          <w:p w14:paraId="49A29D26">
            <w:pPr>
              <w:widowControl/>
              <w:spacing w:line="460" w:lineRule="exact"/>
              <w:jc w:val="left"/>
              <w:textAlignment w:val="center"/>
              <w:rPr>
                <w:rFonts w:hint="eastAsia"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2</w:t>
            </w:r>
            <w:r>
              <w:rPr>
                <w:rFonts w:hint="eastAsia" w:ascii="新宋体" w:hAnsi="新宋体" w:eastAsia="新宋体" w:cs="新宋体"/>
                <w:color w:val="auto"/>
                <w:sz w:val="22"/>
                <w:szCs w:val="22"/>
                <w:highlight w:val="none"/>
                <w:lang w:val="en-US" w:eastAsia="zh-CN" w:bidi="ar"/>
              </w:rPr>
              <w:t>.</w:t>
            </w:r>
            <w:r>
              <w:rPr>
                <w:rFonts w:hint="eastAsia" w:ascii="新宋体" w:hAnsi="新宋体" w:eastAsia="新宋体" w:cs="新宋体"/>
                <w:color w:val="auto"/>
                <w:sz w:val="22"/>
                <w:szCs w:val="22"/>
                <w:highlight w:val="none"/>
                <w:lang w:eastAsia="zh-CN" w:bidi="ar"/>
              </w:rPr>
              <w:t>投标供应商</w:t>
            </w:r>
            <w:r>
              <w:rPr>
                <w:rFonts w:hint="eastAsia" w:ascii="新宋体" w:hAnsi="新宋体" w:eastAsia="新宋体" w:cs="新宋体"/>
                <w:color w:val="auto"/>
                <w:sz w:val="22"/>
                <w:szCs w:val="22"/>
                <w:highlight w:val="none"/>
                <w:lang w:bidi="ar"/>
              </w:rPr>
              <w:t>拟派技术负责人（1名）具有系统架构设计师、</w:t>
            </w:r>
            <w:r>
              <w:rPr>
                <w:rFonts w:hint="eastAsia" w:ascii="新宋体" w:hAnsi="新宋体" w:eastAsia="新宋体" w:cs="新宋体"/>
                <w:color w:val="auto"/>
                <w:sz w:val="22"/>
                <w:szCs w:val="22"/>
                <w:highlight w:val="none"/>
                <w:lang w:eastAsia="zh-CN" w:bidi="ar"/>
              </w:rPr>
              <w:t>高级工程师（信息技术类）</w:t>
            </w:r>
            <w:r>
              <w:rPr>
                <w:rFonts w:hint="eastAsia" w:ascii="新宋体" w:hAnsi="新宋体" w:eastAsia="新宋体" w:cs="新宋体"/>
                <w:color w:val="auto"/>
                <w:sz w:val="22"/>
                <w:szCs w:val="22"/>
                <w:highlight w:val="none"/>
                <w:lang w:bidi="ar"/>
              </w:rPr>
              <w:t>、软件设计师，每具备一个得1分，最高得3分。</w:t>
            </w:r>
          </w:p>
          <w:p w14:paraId="4474A0E0">
            <w:pPr>
              <w:spacing w:line="460" w:lineRule="exact"/>
              <w:jc w:val="left"/>
              <w:textAlignment w:val="center"/>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3</w:t>
            </w:r>
            <w:r>
              <w:rPr>
                <w:rFonts w:hint="eastAsia" w:ascii="新宋体" w:hAnsi="新宋体" w:eastAsia="新宋体" w:cs="新宋体"/>
                <w:color w:val="auto"/>
                <w:sz w:val="22"/>
                <w:szCs w:val="22"/>
                <w:highlight w:val="none"/>
                <w:lang w:val="en-US" w:eastAsia="zh-CN" w:bidi="ar"/>
              </w:rPr>
              <w:t>.</w:t>
            </w:r>
            <w:r>
              <w:rPr>
                <w:rFonts w:hint="eastAsia" w:ascii="新宋体" w:hAnsi="新宋体" w:eastAsia="新宋体" w:cs="新宋体"/>
                <w:color w:val="auto"/>
                <w:sz w:val="22"/>
                <w:szCs w:val="22"/>
                <w:highlight w:val="none"/>
                <w:lang w:bidi="ar"/>
              </w:rPr>
              <w:t>项目团队内其他队员具有系统分析师证书、</w:t>
            </w:r>
            <w:r>
              <w:rPr>
                <w:rFonts w:hint="eastAsia" w:ascii="新宋体" w:hAnsi="新宋体" w:eastAsia="新宋体" w:cs="新宋体"/>
                <w:color w:val="auto"/>
                <w:sz w:val="22"/>
                <w:szCs w:val="22"/>
                <w:highlight w:val="none"/>
                <w:lang w:eastAsia="zh-CN" w:bidi="ar"/>
              </w:rPr>
              <w:t>信息系统管理工程师</w:t>
            </w:r>
            <w:r>
              <w:rPr>
                <w:rFonts w:hint="eastAsia" w:ascii="新宋体" w:hAnsi="新宋体" w:eastAsia="新宋体" w:cs="新宋体"/>
                <w:color w:val="auto"/>
                <w:sz w:val="22"/>
                <w:szCs w:val="22"/>
                <w:highlight w:val="none"/>
                <w:lang w:val="en-US" w:eastAsia="zh-CN" w:bidi="ar"/>
              </w:rPr>
              <w:t>或信息系统项目管理师</w:t>
            </w:r>
            <w:r>
              <w:rPr>
                <w:rFonts w:hint="eastAsia" w:ascii="新宋体" w:hAnsi="新宋体" w:eastAsia="新宋体" w:cs="新宋体"/>
                <w:color w:val="auto"/>
                <w:sz w:val="22"/>
                <w:szCs w:val="22"/>
                <w:highlight w:val="none"/>
                <w:lang w:bidi="ar"/>
              </w:rPr>
              <w:t>，每具备一个得1分，最高得2分。</w:t>
            </w:r>
          </w:p>
          <w:p w14:paraId="7E6E8DD8">
            <w:pPr>
              <w:spacing w:line="460" w:lineRule="exact"/>
              <w:jc w:val="left"/>
              <w:textAlignment w:val="center"/>
              <w:rPr>
                <w:rFonts w:hint="eastAsia"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注：上述岗位拟派人员不能是同一人，须提供</w:t>
            </w:r>
            <w:r>
              <w:rPr>
                <w:rFonts w:hint="eastAsia" w:ascii="新宋体" w:hAnsi="新宋体" w:eastAsia="新宋体" w:cs="新宋体"/>
                <w:b/>
                <w:bCs/>
                <w:color w:val="auto"/>
                <w:sz w:val="22"/>
                <w:szCs w:val="22"/>
                <w:highlight w:val="none"/>
                <w:lang w:val="en-US" w:eastAsia="zh-CN" w:bidi="ar"/>
              </w:rPr>
              <w:t>有效</w:t>
            </w:r>
            <w:r>
              <w:rPr>
                <w:rFonts w:hint="eastAsia" w:ascii="新宋体" w:hAnsi="新宋体" w:eastAsia="新宋体" w:cs="新宋体"/>
                <w:b/>
                <w:bCs/>
                <w:color w:val="auto"/>
                <w:sz w:val="22"/>
                <w:szCs w:val="22"/>
                <w:highlight w:val="none"/>
                <w:lang w:bidi="ar"/>
              </w:rPr>
              <w:t>证书复印件和人员</w:t>
            </w:r>
            <w:r>
              <w:rPr>
                <w:rFonts w:hint="eastAsia" w:ascii="新宋体" w:hAnsi="新宋体" w:eastAsia="新宋体" w:cs="新宋体"/>
                <w:b/>
                <w:bCs/>
                <w:color w:val="auto"/>
                <w:sz w:val="22"/>
                <w:szCs w:val="22"/>
                <w:highlight w:val="none"/>
                <w:lang w:val="en-US" w:eastAsia="zh-CN" w:bidi="ar"/>
              </w:rPr>
              <w:t>在投标单位的</w:t>
            </w:r>
            <w:r>
              <w:rPr>
                <w:rFonts w:hint="eastAsia" w:ascii="新宋体" w:hAnsi="新宋体" w:eastAsia="新宋体" w:cs="新宋体"/>
                <w:b/>
                <w:bCs w:val="0"/>
                <w:color w:val="auto"/>
                <w:sz w:val="22"/>
                <w:szCs w:val="22"/>
                <w:highlight w:val="none"/>
              </w:rPr>
              <w:t>本项目开标前近3个月中任1个月</w:t>
            </w:r>
            <w:r>
              <w:rPr>
                <w:rFonts w:hint="eastAsia" w:ascii="新宋体" w:hAnsi="新宋体" w:eastAsia="新宋体" w:cs="新宋体"/>
                <w:b/>
                <w:bCs/>
                <w:color w:val="auto"/>
                <w:sz w:val="22"/>
                <w:szCs w:val="22"/>
                <w:highlight w:val="none"/>
                <w:lang w:bidi="ar"/>
              </w:rPr>
              <w:t>的社保证明复印件并加盖</w:t>
            </w:r>
            <w:r>
              <w:rPr>
                <w:rFonts w:hint="eastAsia" w:ascii="新宋体" w:hAnsi="新宋体" w:eastAsia="新宋体" w:cs="新宋体"/>
                <w:b/>
                <w:bCs/>
                <w:color w:val="auto"/>
                <w:sz w:val="22"/>
                <w:szCs w:val="22"/>
                <w:highlight w:val="none"/>
                <w:lang w:eastAsia="zh-CN" w:bidi="ar"/>
              </w:rPr>
              <w:t>投标供应商</w:t>
            </w:r>
            <w:r>
              <w:rPr>
                <w:rFonts w:hint="eastAsia" w:ascii="新宋体" w:hAnsi="新宋体" w:eastAsia="新宋体" w:cs="新宋体"/>
                <w:b/>
                <w:bCs/>
                <w:color w:val="auto"/>
                <w:sz w:val="22"/>
                <w:szCs w:val="22"/>
                <w:highlight w:val="none"/>
                <w:lang w:bidi="ar"/>
              </w:rPr>
              <w:t>公章。</w:t>
            </w:r>
          </w:p>
        </w:tc>
        <w:tc>
          <w:tcPr>
            <w:tcW w:w="885" w:type="dxa"/>
            <w:noWrap w:val="0"/>
            <w:vAlign w:val="center"/>
          </w:tcPr>
          <w:p w14:paraId="43A7C31D">
            <w:pPr>
              <w:spacing w:line="460" w:lineRule="exact"/>
              <w:jc w:val="center"/>
              <w:textAlignment w:val="center"/>
              <w:rPr>
                <w:rFonts w:hint="eastAsia"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8</w:t>
            </w:r>
          </w:p>
        </w:tc>
      </w:tr>
      <w:tr w14:paraId="1B3D8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9" w:hRule="atLeast"/>
          <w:jc w:val="center"/>
        </w:trPr>
        <w:tc>
          <w:tcPr>
            <w:tcW w:w="846" w:type="dxa"/>
            <w:noWrap w:val="0"/>
            <w:vAlign w:val="center"/>
          </w:tcPr>
          <w:p w14:paraId="620AF16A">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1276" w:type="dxa"/>
            <w:noWrap w:val="0"/>
            <w:vAlign w:val="center"/>
          </w:tcPr>
          <w:p w14:paraId="233470B0">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投标</w:t>
            </w:r>
            <w:r>
              <w:rPr>
                <w:rFonts w:hint="eastAsia" w:ascii="新宋体" w:hAnsi="新宋体" w:eastAsia="新宋体" w:cs="新宋体"/>
                <w:bCs/>
                <w:color w:val="auto"/>
                <w:sz w:val="22"/>
                <w:szCs w:val="22"/>
                <w:highlight w:val="none"/>
              </w:rPr>
              <w:t>产品符合度情况</w:t>
            </w:r>
          </w:p>
        </w:tc>
        <w:tc>
          <w:tcPr>
            <w:tcW w:w="6872" w:type="dxa"/>
            <w:noWrap w:val="0"/>
            <w:vAlign w:val="center"/>
          </w:tcPr>
          <w:p w14:paraId="32DB55BD">
            <w:pPr>
              <w:widowControl/>
              <w:spacing w:line="460" w:lineRule="exact"/>
              <w:jc w:val="left"/>
              <w:textAlignment w:val="center"/>
              <w:rPr>
                <w:rFonts w:hint="eastAsia"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val="en-US" w:eastAsia="zh-CN"/>
              </w:rPr>
              <w:t>完全</w:t>
            </w:r>
            <w:r>
              <w:rPr>
                <w:rFonts w:hint="eastAsia" w:ascii="新宋体" w:hAnsi="新宋体" w:eastAsia="新宋体" w:cs="新宋体"/>
                <w:color w:val="auto"/>
                <w:sz w:val="22"/>
                <w:szCs w:val="22"/>
                <w:highlight w:val="none"/>
              </w:rPr>
              <w:t>符合</w:t>
            </w:r>
            <w:r>
              <w:rPr>
                <w:rFonts w:hint="eastAsia" w:ascii="新宋体" w:hAnsi="新宋体" w:eastAsia="新宋体" w:cs="新宋体"/>
                <w:color w:val="auto"/>
                <w:sz w:val="22"/>
                <w:szCs w:val="22"/>
                <w:highlight w:val="none"/>
                <w:lang w:val="en-US" w:eastAsia="zh-CN"/>
              </w:rPr>
              <w:t>采购</w:t>
            </w:r>
            <w:r>
              <w:rPr>
                <w:rFonts w:hint="eastAsia" w:ascii="新宋体" w:hAnsi="新宋体" w:eastAsia="新宋体" w:cs="新宋体"/>
                <w:color w:val="auto"/>
                <w:sz w:val="22"/>
                <w:szCs w:val="22"/>
                <w:highlight w:val="none"/>
              </w:rPr>
              <w:t>文件规定的</w:t>
            </w:r>
            <w:r>
              <w:rPr>
                <w:rFonts w:hint="eastAsia" w:ascii="新宋体" w:hAnsi="新宋体" w:eastAsia="新宋体" w:cs="新宋体"/>
                <w:color w:val="auto"/>
                <w:sz w:val="22"/>
                <w:szCs w:val="22"/>
                <w:highlight w:val="none"/>
                <w:lang w:val="en-US" w:eastAsia="zh-CN"/>
              </w:rPr>
              <w:t>技术指标要求的</w:t>
            </w:r>
            <w:r>
              <w:rPr>
                <w:rFonts w:hint="eastAsia" w:ascii="新宋体" w:hAnsi="新宋体" w:eastAsia="新宋体" w:cs="新宋体"/>
                <w:color w:val="auto"/>
                <w:sz w:val="22"/>
                <w:szCs w:val="22"/>
                <w:highlight w:val="none"/>
                <w:lang w:val="en-US" w:eastAsia="zh-CN" w:bidi="ar"/>
              </w:rPr>
              <w:t>得20分</w:t>
            </w: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sz w:val="22"/>
                <w:szCs w:val="22"/>
                <w:highlight w:val="none"/>
              </w:rPr>
              <w:t>标有</w:t>
            </w: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sz w:val="22"/>
                <w:szCs w:val="22"/>
                <w:highlight w:val="none"/>
              </w:rPr>
              <w:t>的技术要求</w:t>
            </w:r>
            <w:r>
              <w:rPr>
                <w:rFonts w:hint="eastAsia" w:ascii="新宋体" w:hAnsi="新宋体" w:eastAsia="新宋体" w:cs="新宋体"/>
                <w:color w:val="auto"/>
                <w:sz w:val="22"/>
                <w:szCs w:val="22"/>
                <w:highlight w:val="none"/>
                <w:lang w:val="en-US" w:eastAsia="zh-CN"/>
              </w:rPr>
              <w:t>如</w:t>
            </w:r>
            <w:r>
              <w:rPr>
                <w:rFonts w:hint="eastAsia" w:ascii="新宋体" w:hAnsi="新宋体" w:eastAsia="新宋体" w:cs="新宋体"/>
                <w:color w:val="auto"/>
                <w:sz w:val="22"/>
                <w:szCs w:val="22"/>
                <w:highlight w:val="none"/>
                <w:lang w:val="en-US" w:eastAsia="zh-CN" w:bidi="ar"/>
              </w:rPr>
              <w:t>有</w:t>
            </w:r>
            <w:r>
              <w:rPr>
                <w:rFonts w:hint="eastAsia" w:ascii="新宋体" w:hAnsi="新宋体" w:eastAsia="新宋体" w:cs="新宋体"/>
                <w:color w:val="auto"/>
                <w:sz w:val="22"/>
                <w:szCs w:val="22"/>
                <w:highlight w:val="none"/>
                <w:lang w:bidi="ar"/>
              </w:rPr>
              <w:t>一项负偏离扣</w:t>
            </w:r>
            <w:r>
              <w:rPr>
                <w:rFonts w:hint="eastAsia" w:ascii="新宋体" w:hAnsi="新宋体" w:eastAsia="新宋体" w:cs="新宋体"/>
                <w:color w:val="auto"/>
                <w:sz w:val="22"/>
                <w:szCs w:val="22"/>
                <w:highlight w:val="none"/>
                <w:lang w:val="en-US" w:eastAsia="zh-CN" w:bidi="ar"/>
              </w:rPr>
              <w:t>1</w:t>
            </w:r>
            <w:r>
              <w:rPr>
                <w:rFonts w:hint="eastAsia" w:ascii="新宋体" w:hAnsi="新宋体" w:eastAsia="新宋体" w:cs="新宋体"/>
                <w:color w:val="auto"/>
                <w:sz w:val="22"/>
                <w:szCs w:val="22"/>
                <w:highlight w:val="none"/>
                <w:lang w:bidi="ar"/>
              </w:rPr>
              <w:t>分</w:t>
            </w:r>
            <w:r>
              <w:rPr>
                <w:rFonts w:hint="eastAsia" w:ascii="新宋体" w:hAnsi="新宋体" w:eastAsia="新宋体" w:cs="新宋体"/>
                <w:color w:val="auto"/>
                <w:sz w:val="22"/>
                <w:szCs w:val="22"/>
                <w:highlight w:val="none"/>
                <w:lang w:eastAsia="zh-CN" w:bidi="ar"/>
              </w:rPr>
              <w:t>，</w:t>
            </w:r>
            <w:r>
              <w:rPr>
                <w:rFonts w:hint="eastAsia" w:ascii="新宋体" w:hAnsi="新宋体" w:eastAsia="新宋体" w:cs="新宋体"/>
                <w:color w:val="auto"/>
                <w:sz w:val="22"/>
                <w:szCs w:val="22"/>
                <w:highlight w:val="none"/>
                <w:lang w:val="en-US" w:eastAsia="zh-CN" w:bidi="ar"/>
              </w:rPr>
              <w:t>其他</w:t>
            </w:r>
            <w:r>
              <w:rPr>
                <w:rFonts w:hint="eastAsia" w:ascii="新宋体" w:hAnsi="新宋体" w:eastAsia="新宋体" w:cs="新宋体"/>
                <w:color w:val="auto"/>
                <w:sz w:val="22"/>
                <w:szCs w:val="22"/>
                <w:highlight w:val="none"/>
              </w:rPr>
              <w:t>技术要求（</w:t>
            </w:r>
            <w:r>
              <w:rPr>
                <w:rFonts w:hint="eastAsia" w:ascii="新宋体" w:hAnsi="新宋体" w:eastAsia="新宋体" w:cs="新宋体"/>
                <w:color w:val="auto"/>
                <w:kern w:val="2"/>
                <w:sz w:val="22"/>
                <w:szCs w:val="22"/>
                <w:highlight w:val="none"/>
              </w:rPr>
              <w:t>除</w:t>
            </w:r>
            <w:r>
              <w:rPr>
                <w:rFonts w:hint="eastAsia" w:ascii="新宋体" w:hAnsi="新宋体" w:eastAsia="新宋体" w:cs="新宋体"/>
                <w:color w:val="auto"/>
                <w:sz w:val="22"/>
                <w:szCs w:val="22"/>
                <w:highlight w:val="none"/>
              </w:rPr>
              <w:t>标有</w:t>
            </w: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▲且加下划线</w:t>
            </w:r>
            <w:r>
              <w:rPr>
                <w:rFonts w:hint="eastAsia" w:ascii="新宋体" w:hAnsi="新宋体" w:eastAsia="新宋体" w:cs="新宋体"/>
                <w:color w:val="auto"/>
                <w:sz w:val="22"/>
                <w:szCs w:val="22"/>
                <w:highlight w:val="none"/>
              </w:rPr>
              <w:t>的技术</w:t>
            </w:r>
            <w:r>
              <w:rPr>
                <w:rFonts w:hint="eastAsia" w:ascii="新宋体" w:hAnsi="新宋体" w:eastAsia="新宋体" w:cs="新宋体"/>
                <w:color w:val="auto"/>
                <w:sz w:val="22"/>
                <w:szCs w:val="22"/>
                <w:highlight w:val="none"/>
                <w:lang w:val="en-US" w:eastAsia="zh-CN"/>
              </w:rPr>
              <w:t>要求</w:t>
            </w:r>
            <w:r>
              <w:rPr>
                <w:rFonts w:hint="eastAsia" w:ascii="新宋体" w:hAnsi="新宋体" w:eastAsia="新宋体" w:cs="新宋体"/>
                <w:color w:val="auto"/>
                <w:sz w:val="22"/>
                <w:szCs w:val="22"/>
                <w:highlight w:val="none"/>
              </w:rPr>
              <w:t>外）</w:t>
            </w:r>
            <w:r>
              <w:rPr>
                <w:rFonts w:hint="eastAsia" w:ascii="新宋体" w:hAnsi="新宋体" w:eastAsia="新宋体" w:cs="新宋体"/>
                <w:color w:val="auto"/>
                <w:sz w:val="22"/>
                <w:szCs w:val="22"/>
                <w:highlight w:val="none"/>
                <w:lang w:val="en-US" w:eastAsia="zh-CN"/>
              </w:rPr>
              <w:t>如</w:t>
            </w:r>
            <w:r>
              <w:rPr>
                <w:rFonts w:hint="eastAsia" w:ascii="新宋体" w:hAnsi="新宋体" w:eastAsia="新宋体" w:cs="新宋体"/>
                <w:color w:val="auto"/>
                <w:sz w:val="22"/>
                <w:szCs w:val="22"/>
                <w:highlight w:val="none"/>
                <w:lang w:val="en-US" w:eastAsia="zh-CN" w:bidi="ar"/>
              </w:rPr>
              <w:t>有</w:t>
            </w:r>
            <w:r>
              <w:rPr>
                <w:rFonts w:hint="eastAsia" w:ascii="新宋体" w:hAnsi="新宋体" w:eastAsia="新宋体" w:cs="新宋体"/>
                <w:color w:val="auto"/>
                <w:sz w:val="22"/>
                <w:szCs w:val="22"/>
                <w:highlight w:val="none"/>
                <w:lang w:bidi="ar"/>
              </w:rPr>
              <w:t>一项负偏离</w:t>
            </w:r>
            <w:r>
              <w:rPr>
                <w:rFonts w:hint="eastAsia" w:ascii="新宋体" w:hAnsi="新宋体" w:eastAsia="新宋体" w:cs="新宋体"/>
                <w:color w:val="auto"/>
                <w:sz w:val="22"/>
                <w:szCs w:val="22"/>
                <w:highlight w:val="none"/>
                <w:lang w:val="en-US" w:eastAsia="zh-CN" w:bidi="ar"/>
              </w:rPr>
              <w:t>扣0.5分，</w:t>
            </w:r>
            <w:r>
              <w:rPr>
                <w:rFonts w:hint="eastAsia" w:ascii="新宋体" w:hAnsi="新宋体" w:eastAsia="新宋体" w:cs="新宋体"/>
                <w:color w:val="auto"/>
                <w:sz w:val="22"/>
                <w:szCs w:val="22"/>
                <w:highlight w:val="none"/>
                <w:lang w:bidi="ar"/>
              </w:rPr>
              <w:t>扣完为止。</w:t>
            </w:r>
          </w:p>
          <w:p w14:paraId="0855E844">
            <w:pPr>
              <w:widowControl/>
              <w:spacing w:line="460" w:lineRule="exact"/>
              <w:jc w:val="left"/>
              <w:textAlignment w:val="center"/>
              <w:rPr>
                <w:rFonts w:hint="eastAsia"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注：</w:t>
            </w:r>
            <w:r>
              <w:rPr>
                <w:rFonts w:hint="eastAsia" w:ascii="新宋体" w:hAnsi="新宋体" w:eastAsia="新宋体" w:cs="新宋体"/>
                <w:b/>
                <w:bCs/>
                <w:color w:val="auto"/>
                <w:sz w:val="22"/>
                <w:szCs w:val="22"/>
                <w:highlight w:val="none"/>
                <w:lang w:val="en-US" w:eastAsia="zh-CN"/>
              </w:rPr>
              <w:t>如采购文件要求提供证明材料的，还需提供证明材料，否则视为负偏离</w:t>
            </w:r>
            <w:r>
              <w:rPr>
                <w:rFonts w:hint="default" w:ascii="新宋体" w:hAnsi="新宋体" w:eastAsia="新宋体" w:cs="新宋体"/>
                <w:b/>
                <w:bCs/>
                <w:color w:val="auto"/>
                <w:sz w:val="22"/>
                <w:szCs w:val="22"/>
                <w:highlight w:val="none"/>
                <w:lang w:val="en-US" w:bidi="ar"/>
              </w:rPr>
              <w:t>。</w:t>
            </w:r>
          </w:p>
        </w:tc>
        <w:tc>
          <w:tcPr>
            <w:tcW w:w="885" w:type="dxa"/>
            <w:noWrap w:val="0"/>
            <w:vAlign w:val="center"/>
          </w:tcPr>
          <w:p w14:paraId="263E395B">
            <w:pPr>
              <w:spacing w:line="460" w:lineRule="exact"/>
              <w:jc w:val="center"/>
              <w:textAlignment w:val="center"/>
              <w:rPr>
                <w:rFonts w:hint="default" w:ascii="新宋体" w:hAnsi="新宋体" w:eastAsia="新宋体" w:cs="新宋体"/>
                <w:color w:val="auto"/>
                <w:sz w:val="22"/>
                <w:szCs w:val="22"/>
                <w:highlight w:val="none"/>
                <w:lang w:val="en-US" w:eastAsia="zh-CN" w:bidi="ar"/>
              </w:rPr>
            </w:pPr>
            <w:r>
              <w:rPr>
                <w:rFonts w:hint="eastAsia" w:ascii="新宋体" w:hAnsi="新宋体" w:eastAsia="新宋体" w:cs="新宋体"/>
                <w:color w:val="auto"/>
                <w:sz w:val="22"/>
                <w:szCs w:val="22"/>
                <w:highlight w:val="none"/>
                <w:lang w:val="en-US" w:eastAsia="zh-CN" w:bidi="ar"/>
              </w:rPr>
              <w:t>20</w:t>
            </w:r>
          </w:p>
        </w:tc>
      </w:tr>
      <w:tr w14:paraId="4F0B9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846" w:type="dxa"/>
            <w:noWrap w:val="0"/>
            <w:vAlign w:val="center"/>
          </w:tcPr>
          <w:p w14:paraId="6BF1E78B">
            <w:pPr>
              <w:widowControl/>
              <w:spacing w:line="460" w:lineRule="exact"/>
              <w:jc w:val="center"/>
              <w:textAlignment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1276" w:type="dxa"/>
            <w:noWrap w:val="0"/>
            <w:vAlign w:val="center"/>
          </w:tcPr>
          <w:p w14:paraId="50E6DDA2">
            <w:pPr>
              <w:widowControl/>
              <w:spacing w:line="460" w:lineRule="exact"/>
              <w:jc w:val="center"/>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实施保障和安全运营能力</w:t>
            </w:r>
          </w:p>
        </w:tc>
        <w:tc>
          <w:tcPr>
            <w:tcW w:w="6872" w:type="dxa"/>
            <w:noWrap w:val="0"/>
            <w:vAlign w:val="center"/>
          </w:tcPr>
          <w:p w14:paraId="18FFE466">
            <w:pPr>
              <w:pStyle w:val="2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需具备网络安全服务能力，每提供 1 个市级证明材料得 1 分，最高 1 分；每提供 1 个区县级证明材料得 0.5 分，最高1分。本项最高得2 分。（证明材料指提供政府签署的网络安全服务保障类的协议复制件加盖</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公章，未提供不得分）</w:t>
            </w:r>
          </w:p>
          <w:p w14:paraId="03E64621">
            <w:pPr>
              <w:pStyle w:val="2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应提供实施及运营保障本地团队：</w:t>
            </w:r>
          </w:p>
          <w:p w14:paraId="16F71324">
            <w:pPr>
              <w:pStyle w:val="2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团队负责人（除项目负责人外）要求：团队负责人（1 名），具有</w:t>
            </w:r>
            <w:r>
              <w:rPr>
                <w:rFonts w:hint="eastAsia" w:ascii="新宋体" w:hAnsi="新宋体" w:eastAsia="新宋体" w:cs="新宋体"/>
                <w:color w:val="auto"/>
                <w:sz w:val="22"/>
                <w:szCs w:val="22"/>
                <w:highlight w:val="none"/>
                <w:lang w:eastAsia="zh-CN"/>
              </w:rPr>
              <w:t>高级工程师（信息技术类）</w:t>
            </w:r>
            <w:r>
              <w:rPr>
                <w:rFonts w:hint="eastAsia" w:ascii="新宋体" w:hAnsi="新宋体" w:eastAsia="新宋体" w:cs="新宋体"/>
                <w:color w:val="auto"/>
                <w:sz w:val="22"/>
                <w:szCs w:val="22"/>
                <w:highlight w:val="none"/>
              </w:rPr>
              <w:t>、软件设计师、高级数据库管理工程师、信息安全管理(高级)四个证书的</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每个证书得1分，最高</w:t>
            </w:r>
            <w:r>
              <w:rPr>
                <w:rFonts w:hint="eastAsia" w:ascii="新宋体" w:hAnsi="新宋体" w:eastAsia="新宋体" w:cs="新宋体"/>
                <w:color w:val="auto"/>
                <w:sz w:val="22"/>
                <w:szCs w:val="22"/>
                <w:highlight w:val="none"/>
              </w:rPr>
              <w:t>得4分。</w:t>
            </w:r>
          </w:p>
          <w:p w14:paraId="04453414">
            <w:pPr>
              <w:pStyle w:val="29"/>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注：须提供有效证书及</w:t>
            </w:r>
            <w:r>
              <w:rPr>
                <w:rFonts w:hint="eastAsia" w:ascii="新宋体" w:hAnsi="新宋体" w:eastAsia="新宋体" w:cs="新宋体"/>
                <w:b/>
                <w:bCs/>
                <w:color w:val="auto"/>
                <w:sz w:val="22"/>
                <w:szCs w:val="22"/>
                <w:highlight w:val="none"/>
                <w:lang w:val="en-US" w:eastAsia="zh-CN"/>
              </w:rPr>
              <w:t>在投标单位的</w:t>
            </w:r>
            <w:r>
              <w:rPr>
                <w:rFonts w:hint="eastAsia" w:ascii="新宋体" w:hAnsi="新宋体" w:eastAsia="新宋体" w:cs="新宋体"/>
                <w:b/>
                <w:bCs/>
                <w:color w:val="auto"/>
                <w:sz w:val="22"/>
                <w:szCs w:val="22"/>
                <w:highlight w:val="none"/>
              </w:rPr>
              <w:t>本项目开标前近3个月中任1个月的社保证明</w:t>
            </w:r>
            <w:r>
              <w:rPr>
                <w:rFonts w:hint="eastAsia" w:ascii="新宋体" w:hAnsi="新宋体" w:eastAsia="新宋体" w:cs="新宋体"/>
                <w:b/>
                <w:bCs/>
                <w:color w:val="auto"/>
                <w:sz w:val="22"/>
                <w:szCs w:val="22"/>
                <w:highlight w:val="none"/>
                <w:lang w:val="en-US" w:eastAsia="zh-CN"/>
              </w:rPr>
              <w:t>复印件</w:t>
            </w:r>
            <w:r>
              <w:rPr>
                <w:rFonts w:hint="eastAsia" w:ascii="新宋体" w:hAnsi="新宋体" w:eastAsia="新宋体" w:cs="新宋体"/>
                <w:b/>
                <w:bCs/>
                <w:color w:val="auto"/>
                <w:sz w:val="22"/>
                <w:szCs w:val="22"/>
                <w:highlight w:val="none"/>
              </w:rPr>
              <w:t>并加盖</w:t>
            </w:r>
            <w:r>
              <w:rPr>
                <w:rFonts w:hint="eastAsia" w:ascii="新宋体" w:hAnsi="新宋体" w:eastAsia="新宋体" w:cs="新宋体"/>
                <w:b/>
                <w:bCs/>
                <w:color w:val="auto"/>
                <w:sz w:val="22"/>
                <w:szCs w:val="22"/>
                <w:highlight w:val="none"/>
                <w:lang w:eastAsia="zh-CN"/>
              </w:rPr>
              <w:t>投标供应商</w:t>
            </w:r>
            <w:r>
              <w:rPr>
                <w:rFonts w:hint="eastAsia" w:ascii="新宋体" w:hAnsi="新宋体" w:eastAsia="新宋体" w:cs="新宋体"/>
                <w:b/>
                <w:bCs/>
                <w:color w:val="auto"/>
                <w:sz w:val="22"/>
                <w:szCs w:val="22"/>
                <w:highlight w:val="none"/>
              </w:rPr>
              <w:t>公章。</w:t>
            </w:r>
          </w:p>
          <w:p w14:paraId="00ED62F7">
            <w:pPr>
              <w:pStyle w:val="2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团队成员要求：团队成员数量大于等于 15 人得1分，小于 15 但大于等于 10 人得0.5分，小于 10 人不得分。</w:t>
            </w:r>
          </w:p>
          <w:p w14:paraId="3F6D16E2">
            <w:pPr>
              <w:pStyle w:val="29"/>
              <w:rPr>
                <w:rFonts w:hint="eastAsia" w:ascii="新宋体" w:hAnsi="新宋体" w:eastAsia="新宋体" w:cs="新宋体"/>
                <w:bCs/>
                <w:color w:val="auto"/>
                <w:sz w:val="22"/>
                <w:szCs w:val="22"/>
                <w:highlight w:val="none"/>
              </w:rPr>
            </w:pPr>
            <w:r>
              <w:rPr>
                <w:rFonts w:hint="eastAsia" w:ascii="新宋体" w:hAnsi="新宋体" w:eastAsia="新宋体" w:cs="新宋体"/>
                <w:b/>
                <w:bCs/>
                <w:color w:val="auto"/>
                <w:sz w:val="22"/>
                <w:szCs w:val="22"/>
                <w:highlight w:val="none"/>
              </w:rPr>
              <w:t>注：所有团队人员需要提供</w:t>
            </w:r>
            <w:r>
              <w:rPr>
                <w:rFonts w:hint="eastAsia" w:ascii="新宋体" w:hAnsi="新宋体" w:eastAsia="新宋体" w:cs="新宋体"/>
                <w:b/>
                <w:bCs/>
                <w:color w:val="auto"/>
                <w:sz w:val="22"/>
                <w:szCs w:val="22"/>
                <w:highlight w:val="none"/>
                <w:lang w:val="en-US" w:eastAsia="zh-CN"/>
              </w:rPr>
              <w:t>在投标单位的</w:t>
            </w:r>
            <w:r>
              <w:rPr>
                <w:rFonts w:hint="eastAsia" w:ascii="新宋体" w:hAnsi="新宋体" w:eastAsia="新宋体" w:cs="新宋体"/>
                <w:b/>
                <w:bCs/>
                <w:color w:val="auto"/>
                <w:sz w:val="22"/>
                <w:szCs w:val="22"/>
                <w:highlight w:val="none"/>
              </w:rPr>
              <w:t>本项目开标前近3个月中任1个月的社保证明</w:t>
            </w:r>
            <w:r>
              <w:rPr>
                <w:rFonts w:hint="eastAsia" w:ascii="新宋体" w:hAnsi="新宋体" w:eastAsia="新宋体" w:cs="新宋体"/>
                <w:b/>
                <w:bCs/>
                <w:color w:val="auto"/>
                <w:sz w:val="22"/>
                <w:szCs w:val="22"/>
                <w:highlight w:val="none"/>
                <w:lang w:val="en-US" w:eastAsia="zh-CN"/>
              </w:rPr>
              <w:t>复印件</w:t>
            </w:r>
            <w:r>
              <w:rPr>
                <w:rFonts w:hint="eastAsia" w:ascii="新宋体" w:hAnsi="新宋体" w:eastAsia="新宋体" w:cs="新宋体"/>
                <w:b/>
                <w:bCs/>
                <w:color w:val="auto"/>
                <w:sz w:val="22"/>
                <w:szCs w:val="22"/>
                <w:highlight w:val="none"/>
              </w:rPr>
              <w:t>并加盖</w:t>
            </w:r>
            <w:r>
              <w:rPr>
                <w:rFonts w:hint="eastAsia" w:ascii="新宋体" w:hAnsi="新宋体" w:eastAsia="新宋体" w:cs="新宋体"/>
                <w:b/>
                <w:bCs/>
                <w:color w:val="auto"/>
                <w:sz w:val="22"/>
                <w:szCs w:val="22"/>
                <w:highlight w:val="none"/>
                <w:lang w:eastAsia="zh-CN"/>
              </w:rPr>
              <w:t>投标供应商</w:t>
            </w:r>
            <w:r>
              <w:rPr>
                <w:rFonts w:hint="eastAsia" w:ascii="新宋体" w:hAnsi="新宋体" w:eastAsia="新宋体" w:cs="新宋体"/>
                <w:b/>
                <w:bCs/>
                <w:color w:val="auto"/>
                <w:sz w:val="22"/>
                <w:szCs w:val="22"/>
                <w:highlight w:val="none"/>
              </w:rPr>
              <w:t>公章。</w:t>
            </w:r>
          </w:p>
        </w:tc>
        <w:tc>
          <w:tcPr>
            <w:tcW w:w="885" w:type="dxa"/>
            <w:noWrap w:val="0"/>
            <w:vAlign w:val="center"/>
          </w:tcPr>
          <w:p w14:paraId="2E127593">
            <w:pPr>
              <w:spacing w:line="460" w:lineRule="exact"/>
              <w:jc w:val="center"/>
              <w:textAlignment w:val="center"/>
              <w:rPr>
                <w:rFonts w:hint="eastAsia" w:ascii="新宋体" w:hAnsi="新宋体" w:eastAsia="新宋体" w:cs="新宋体"/>
                <w:color w:val="auto"/>
                <w:sz w:val="22"/>
                <w:szCs w:val="22"/>
                <w:highlight w:val="none"/>
                <w:lang w:eastAsia="zh-CN" w:bidi="ar"/>
              </w:rPr>
            </w:pPr>
            <w:r>
              <w:rPr>
                <w:rFonts w:hint="eastAsia" w:ascii="新宋体" w:hAnsi="新宋体" w:eastAsia="新宋体" w:cs="新宋体"/>
                <w:color w:val="auto"/>
                <w:sz w:val="22"/>
                <w:szCs w:val="22"/>
                <w:highlight w:val="none"/>
                <w:lang w:val="en-US" w:eastAsia="zh-CN" w:bidi="ar"/>
              </w:rPr>
              <w:t>7</w:t>
            </w:r>
          </w:p>
        </w:tc>
      </w:tr>
      <w:tr w14:paraId="58D4E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846" w:type="dxa"/>
            <w:noWrap w:val="0"/>
            <w:vAlign w:val="center"/>
          </w:tcPr>
          <w:p w14:paraId="1A770544">
            <w:pPr>
              <w:widowControl/>
              <w:spacing w:line="460" w:lineRule="exact"/>
              <w:jc w:val="center"/>
              <w:textAlignment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6</w:t>
            </w:r>
          </w:p>
        </w:tc>
        <w:tc>
          <w:tcPr>
            <w:tcW w:w="1276" w:type="dxa"/>
            <w:noWrap w:val="0"/>
            <w:vAlign w:val="center"/>
          </w:tcPr>
          <w:p w14:paraId="07373053">
            <w:pPr>
              <w:keepNext w:val="0"/>
              <w:keepLines w:val="0"/>
              <w:suppressLineNumbers w:val="0"/>
              <w:spacing w:before="0" w:beforeAutospacing="0" w:after="0" w:afterAutospacing="0"/>
              <w:ind w:left="0" w:right="0"/>
              <w:jc w:val="both"/>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lang w:val="en-US" w:eastAsia="zh-CN"/>
              </w:rPr>
              <w:t>项目基本</w:t>
            </w:r>
          </w:p>
          <w:p w14:paraId="154282E0">
            <w:pPr>
              <w:widowControl/>
              <w:spacing w:line="460" w:lineRule="exact"/>
              <w:jc w:val="center"/>
              <w:textAlignment w:val="center"/>
              <w:rPr>
                <w:rFonts w:hint="default" w:ascii="新宋体" w:hAnsi="新宋体" w:eastAsia="新宋体" w:cs="新宋体"/>
                <w:bCs/>
                <w:color w:val="auto"/>
                <w:sz w:val="22"/>
                <w:szCs w:val="22"/>
                <w:highlight w:val="none"/>
                <w:lang w:val="en-US" w:eastAsia="zh-CN"/>
              </w:rPr>
            </w:pPr>
            <w:r>
              <w:rPr>
                <w:rFonts w:hint="eastAsia" w:ascii="新宋体" w:hAnsi="新宋体" w:eastAsia="新宋体" w:cs="新宋体"/>
                <w:b w:val="0"/>
                <w:bCs w:val="0"/>
                <w:color w:val="auto"/>
                <w:sz w:val="22"/>
                <w:szCs w:val="22"/>
                <w:highlight w:val="none"/>
                <w:lang w:val="en-US" w:eastAsia="zh-CN"/>
              </w:rPr>
              <w:t>情况分析</w:t>
            </w:r>
          </w:p>
        </w:tc>
        <w:tc>
          <w:tcPr>
            <w:tcW w:w="6872" w:type="dxa"/>
            <w:noWrap w:val="0"/>
            <w:vAlign w:val="center"/>
          </w:tcPr>
          <w:p w14:paraId="2AC07401">
            <w:pPr>
              <w:widowControl/>
              <w:spacing w:line="460" w:lineRule="exact"/>
              <w:jc w:val="left"/>
              <w:textAlignment w:val="center"/>
              <w:rPr>
                <w:rFonts w:hint="eastAsia" w:ascii="新宋体" w:hAnsi="新宋体" w:eastAsia="新宋体" w:cs="新宋体"/>
                <w:b/>
                <w:bCs w:val="0"/>
                <w:color w:val="auto"/>
                <w:sz w:val="22"/>
                <w:szCs w:val="22"/>
                <w:highlight w:val="none"/>
              </w:rPr>
            </w:pPr>
            <w:r>
              <w:rPr>
                <w:rFonts w:hint="eastAsia" w:ascii="新宋体" w:hAnsi="新宋体" w:eastAsia="新宋体" w:cs="新宋体"/>
                <w:b w:val="0"/>
                <w:bCs/>
                <w:color w:val="auto"/>
                <w:sz w:val="22"/>
                <w:szCs w:val="22"/>
                <w:highlight w:val="none"/>
              </w:rPr>
              <w:t>根据</w:t>
            </w:r>
            <w:r>
              <w:rPr>
                <w:rFonts w:hint="eastAsia" w:ascii="新宋体" w:hAnsi="新宋体" w:eastAsia="新宋体" w:cs="新宋体"/>
                <w:b w:val="0"/>
                <w:bCs/>
                <w:color w:val="auto"/>
                <w:sz w:val="22"/>
                <w:szCs w:val="22"/>
                <w:highlight w:val="none"/>
                <w:lang w:val="en-US" w:eastAsia="zh-CN"/>
              </w:rPr>
              <w:t>采购</w:t>
            </w:r>
            <w:r>
              <w:rPr>
                <w:rFonts w:hint="eastAsia" w:ascii="新宋体" w:hAnsi="新宋体" w:eastAsia="新宋体" w:cs="新宋体"/>
                <w:b w:val="0"/>
                <w:bCs/>
                <w:color w:val="auto"/>
                <w:sz w:val="22"/>
                <w:szCs w:val="22"/>
                <w:highlight w:val="none"/>
              </w:rPr>
              <w:t>内容及要求，对</w:t>
            </w:r>
            <w:r>
              <w:rPr>
                <w:rFonts w:hint="eastAsia" w:ascii="新宋体" w:hAnsi="新宋体" w:eastAsia="新宋体" w:cs="新宋体"/>
                <w:b w:val="0"/>
                <w:bCs/>
                <w:color w:val="auto"/>
                <w:sz w:val="22"/>
                <w:szCs w:val="22"/>
                <w:highlight w:val="none"/>
                <w:lang w:eastAsia="zh-CN"/>
              </w:rPr>
              <w:t>投标供应商</w:t>
            </w:r>
            <w:r>
              <w:rPr>
                <w:rFonts w:hint="eastAsia" w:ascii="新宋体" w:hAnsi="新宋体" w:eastAsia="新宋体" w:cs="新宋体"/>
                <w:b w:val="0"/>
                <w:bCs/>
                <w:color w:val="auto"/>
                <w:sz w:val="22"/>
                <w:szCs w:val="22"/>
                <w:highlight w:val="none"/>
              </w:rPr>
              <w:t>的项目需求理解程度进行评分，内容包括但不限于项目背景、需求分析、建设目标等。根据方案内容完整、针对性强、科学合理、可行性强，有利于项目完成</w:t>
            </w:r>
            <w:r>
              <w:rPr>
                <w:rFonts w:hint="eastAsia" w:ascii="新宋体" w:hAnsi="新宋体" w:eastAsia="新宋体" w:cs="新宋体"/>
                <w:b w:val="0"/>
                <w:bCs/>
                <w:color w:val="auto"/>
                <w:sz w:val="22"/>
                <w:szCs w:val="22"/>
                <w:highlight w:val="none"/>
                <w:lang w:eastAsia="zh-CN"/>
              </w:rPr>
              <w:t>，</w:t>
            </w:r>
            <w:r>
              <w:rPr>
                <w:rFonts w:hint="eastAsia" w:ascii="新宋体" w:hAnsi="新宋体" w:eastAsia="新宋体" w:cs="新宋体"/>
                <w:b w:val="0"/>
                <w:bCs/>
                <w:color w:val="auto"/>
                <w:sz w:val="22"/>
                <w:szCs w:val="22"/>
                <w:highlight w:val="none"/>
                <w:lang w:val="en-US" w:eastAsia="zh-CN"/>
              </w:rPr>
              <w:t>由专家进行</w:t>
            </w:r>
            <w:r>
              <w:rPr>
                <w:rFonts w:hint="eastAsia" w:ascii="新宋体" w:hAnsi="新宋体" w:eastAsia="新宋体" w:cs="新宋体"/>
                <w:b w:val="0"/>
                <w:bCs/>
                <w:color w:val="auto"/>
                <w:sz w:val="22"/>
                <w:szCs w:val="22"/>
                <w:highlight w:val="none"/>
              </w:rPr>
              <w:t>进行综合</w:t>
            </w:r>
            <w:r>
              <w:rPr>
                <w:rFonts w:hint="eastAsia" w:ascii="新宋体" w:hAnsi="新宋体" w:eastAsia="新宋体" w:cs="新宋体"/>
                <w:b w:val="0"/>
                <w:bCs/>
                <w:color w:val="auto"/>
                <w:sz w:val="22"/>
                <w:szCs w:val="22"/>
                <w:highlight w:val="none"/>
                <w:lang w:val="en-US" w:eastAsia="zh-CN"/>
              </w:rPr>
              <w:t>评定打分（评分范围：5、4、3、2、1、0分）</w:t>
            </w:r>
            <w:r>
              <w:rPr>
                <w:rFonts w:hint="eastAsia" w:ascii="新宋体" w:hAnsi="新宋体" w:eastAsia="新宋体" w:cs="新宋体"/>
                <w:b w:val="0"/>
                <w:bCs/>
                <w:color w:val="auto"/>
                <w:sz w:val="22"/>
                <w:szCs w:val="22"/>
                <w:highlight w:val="none"/>
              </w:rPr>
              <w:t>。</w:t>
            </w:r>
            <w:r>
              <w:rPr>
                <w:rFonts w:hint="eastAsia" w:ascii="新宋体" w:hAnsi="新宋体" w:eastAsia="新宋体" w:cs="新宋体"/>
                <w:b w:val="0"/>
                <w:bCs/>
                <w:color w:val="auto"/>
                <w:sz w:val="22"/>
                <w:szCs w:val="22"/>
                <w:highlight w:val="none"/>
              </w:rPr>
              <w:tab/>
            </w:r>
          </w:p>
        </w:tc>
        <w:tc>
          <w:tcPr>
            <w:tcW w:w="885" w:type="dxa"/>
            <w:noWrap w:val="0"/>
            <w:vAlign w:val="center"/>
          </w:tcPr>
          <w:p w14:paraId="1BD76219">
            <w:pPr>
              <w:spacing w:line="460" w:lineRule="exact"/>
              <w:jc w:val="center"/>
              <w:textAlignment w:val="center"/>
              <w:rPr>
                <w:rFonts w:hint="eastAsia" w:ascii="新宋体" w:hAnsi="新宋体" w:eastAsia="新宋体" w:cs="新宋体"/>
                <w:color w:val="auto"/>
                <w:sz w:val="22"/>
                <w:szCs w:val="22"/>
                <w:highlight w:val="none"/>
                <w:lang w:val="en-US" w:eastAsia="zh-CN" w:bidi="ar"/>
              </w:rPr>
            </w:pPr>
            <w:r>
              <w:rPr>
                <w:rFonts w:hint="eastAsia" w:ascii="新宋体" w:hAnsi="新宋体" w:eastAsia="新宋体" w:cs="新宋体"/>
                <w:b w:val="0"/>
                <w:bCs/>
                <w:color w:val="auto"/>
                <w:sz w:val="22"/>
                <w:szCs w:val="22"/>
                <w:highlight w:val="none"/>
                <w:lang w:val="en-US" w:eastAsia="zh-CN"/>
              </w:rPr>
              <w:t>5</w:t>
            </w:r>
          </w:p>
        </w:tc>
      </w:tr>
      <w:tr w14:paraId="2210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846" w:type="dxa"/>
            <w:noWrap w:val="0"/>
            <w:vAlign w:val="center"/>
          </w:tcPr>
          <w:p w14:paraId="4A7C0622">
            <w:pPr>
              <w:widowControl/>
              <w:spacing w:line="460" w:lineRule="exact"/>
              <w:jc w:val="center"/>
              <w:textAlignment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7</w:t>
            </w:r>
          </w:p>
        </w:tc>
        <w:tc>
          <w:tcPr>
            <w:tcW w:w="1276" w:type="dxa"/>
            <w:noWrap w:val="0"/>
            <w:vAlign w:val="center"/>
          </w:tcPr>
          <w:p w14:paraId="702CD9DE">
            <w:pPr>
              <w:widowControl/>
              <w:spacing w:line="460" w:lineRule="exact"/>
              <w:jc w:val="center"/>
              <w:textAlignment w:val="center"/>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lang w:val="en-US" w:eastAsia="zh-CN"/>
              </w:rPr>
              <w:t>技术方案</w:t>
            </w:r>
          </w:p>
        </w:tc>
        <w:tc>
          <w:tcPr>
            <w:tcW w:w="6872" w:type="dxa"/>
            <w:noWrap w:val="0"/>
            <w:vAlign w:val="center"/>
          </w:tcPr>
          <w:p w14:paraId="476969D4">
            <w:pPr>
              <w:widowControl/>
              <w:spacing w:line="460" w:lineRule="exact"/>
              <w:jc w:val="left"/>
              <w:textAlignment w:val="center"/>
              <w:rPr>
                <w:rFonts w:hint="eastAsia" w:ascii="新宋体" w:hAnsi="新宋体" w:eastAsia="新宋体" w:cs="新宋体"/>
                <w:b/>
                <w:bCs w:val="0"/>
                <w:color w:val="auto"/>
                <w:sz w:val="22"/>
                <w:szCs w:val="22"/>
                <w:highlight w:val="none"/>
                <w:lang w:eastAsia="zh-CN"/>
              </w:rPr>
            </w:pPr>
            <w:r>
              <w:rPr>
                <w:rFonts w:hint="eastAsia" w:ascii="新宋体" w:hAnsi="新宋体" w:eastAsia="新宋体" w:cs="新宋体"/>
                <w:color w:val="auto"/>
                <w:sz w:val="22"/>
                <w:szCs w:val="22"/>
                <w:highlight w:val="none"/>
                <w:lang w:eastAsia="zh-CN" w:bidi="ar"/>
              </w:rPr>
              <w:t>投标供应商针对本项目技术方案(包括但不限于系统架构、技术路线、网络安全、数据安全、关键技术等)的科学性、合理性、规范性和可操作性，由专家进行进行综合评定打分(评分范围:7、5、3、1、0）</w:t>
            </w:r>
          </w:p>
        </w:tc>
        <w:tc>
          <w:tcPr>
            <w:tcW w:w="885" w:type="dxa"/>
            <w:noWrap w:val="0"/>
            <w:vAlign w:val="center"/>
          </w:tcPr>
          <w:p w14:paraId="13CFD0A3">
            <w:pPr>
              <w:spacing w:line="460" w:lineRule="exact"/>
              <w:jc w:val="center"/>
              <w:textAlignment w:val="center"/>
              <w:rPr>
                <w:rFonts w:hint="eastAsia" w:ascii="新宋体" w:hAnsi="新宋体" w:eastAsia="新宋体" w:cs="新宋体"/>
                <w:b/>
                <w:bCs w:val="0"/>
                <w:color w:val="auto"/>
                <w:sz w:val="22"/>
                <w:szCs w:val="22"/>
                <w:highlight w:val="none"/>
                <w:lang w:val="en-US" w:eastAsia="zh-CN"/>
              </w:rPr>
            </w:pPr>
            <w:r>
              <w:rPr>
                <w:rFonts w:hint="eastAsia" w:ascii="新宋体" w:hAnsi="新宋体" w:eastAsia="新宋体" w:cs="新宋体"/>
                <w:b w:val="0"/>
                <w:bCs/>
                <w:color w:val="auto"/>
                <w:sz w:val="22"/>
                <w:szCs w:val="22"/>
                <w:highlight w:val="none"/>
                <w:lang w:val="en-US" w:eastAsia="zh-CN"/>
              </w:rPr>
              <w:t>7</w:t>
            </w:r>
          </w:p>
        </w:tc>
      </w:tr>
      <w:tr w14:paraId="4B9DF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6" w:type="dxa"/>
            <w:noWrap w:val="0"/>
            <w:vAlign w:val="center"/>
          </w:tcPr>
          <w:p w14:paraId="0F200672">
            <w:pPr>
              <w:widowControl/>
              <w:spacing w:line="460" w:lineRule="exact"/>
              <w:jc w:val="center"/>
              <w:textAlignment w:val="center"/>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color w:val="auto"/>
                <w:sz w:val="22"/>
                <w:szCs w:val="22"/>
                <w:highlight w:val="none"/>
                <w:lang w:val="en-US" w:eastAsia="zh-CN" w:bidi="ar"/>
              </w:rPr>
              <w:t>8</w:t>
            </w:r>
          </w:p>
        </w:tc>
        <w:tc>
          <w:tcPr>
            <w:tcW w:w="1276" w:type="dxa"/>
            <w:noWrap w:val="0"/>
            <w:vAlign w:val="center"/>
          </w:tcPr>
          <w:p w14:paraId="47C199A4">
            <w:pPr>
              <w:widowControl/>
              <w:spacing w:line="460" w:lineRule="exact"/>
              <w:jc w:val="center"/>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lang w:bidi="ar"/>
              </w:rPr>
              <w:t>实施组织方案</w:t>
            </w:r>
          </w:p>
        </w:tc>
        <w:tc>
          <w:tcPr>
            <w:tcW w:w="6872" w:type="dxa"/>
            <w:noWrap w:val="0"/>
            <w:vAlign w:val="center"/>
          </w:tcPr>
          <w:p w14:paraId="1D4E7C7B">
            <w:pPr>
              <w:widowControl/>
              <w:spacing w:line="460" w:lineRule="exact"/>
              <w:jc w:val="left"/>
              <w:textAlignment w:val="center"/>
              <w:rPr>
                <w:rFonts w:hint="eastAsia"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eastAsia="zh-CN" w:bidi="ar"/>
              </w:rPr>
              <w:t>投标供应商</w:t>
            </w:r>
            <w:r>
              <w:rPr>
                <w:rFonts w:hint="eastAsia" w:ascii="新宋体" w:hAnsi="新宋体" w:eastAsia="新宋体" w:cs="新宋体"/>
                <w:color w:val="auto"/>
                <w:sz w:val="22"/>
                <w:szCs w:val="22"/>
                <w:highlight w:val="none"/>
                <w:lang w:bidi="ar"/>
              </w:rPr>
              <w:t>实施组织方案的科学性、合理性、规范性和可操作性，由评委进行打分：</w:t>
            </w:r>
          </w:p>
          <w:p w14:paraId="72F971E1">
            <w:pPr>
              <w:widowControl/>
              <w:spacing w:line="460" w:lineRule="exact"/>
              <w:jc w:val="left"/>
              <w:textAlignment w:val="center"/>
              <w:rPr>
                <w:rFonts w:hint="eastAsia"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1</w:t>
            </w:r>
            <w:r>
              <w:rPr>
                <w:rFonts w:hint="eastAsia" w:ascii="新宋体" w:hAnsi="新宋体" w:eastAsia="新宋体" w:cs="新宋体"/>
                <w:color w:val="auto"/>
                <w:sz w:val="22"/>
                <w:szCs w:val="22"/>
                <w:highlight w:val="none"/>
                <w:lang w:val="en-US" w:eastAsia="zh-CN" w:bidi="ar"/>
              </w:rPr>
              <w:t>.</w:t>
            </w:r>
            <w:r>
              <w:rPr>
                <w:rFonts w:hint="eastAsia" w:ascii="新宋体" w:hAnsi="新宋体" w:eastAsia="新宋体" w:cs="新宋体"/>
                <w:color w:val="auto"/>
                <w:sz w:val="22"/>
                <w:szCs w:val="22"/>
                <w:highlight w:val="none"/>
                <w:lang w:bidi="ar"/>
              </w:rPr>
              <w:t>本项目系统</w:t>
            </w:r>
            <w:r>
              <w:rPr>
                <w:rFonts w:hint="eastAsia" w:ascii="新宋体" w:hAnsi="新宋体" w:eastAsia="新宋体" w:cs="新宋体"/>
                <w:color w:val="auto"/>
                <w:sz w:val="22"/>
                <w:szCs w:val="22"/>
                <w:highlight w:val="none"/>
                <w:lang w:val="en-US" w:eastAsia="zh-CN" w:bidi="ar"/>
              </w:rPr>
              <w:t>对接集成、部署、调试、</w:t>
            </w:r>
            <w:r>
              <w:rPr>
                <w:rFonts w:hint="eastAsia" w:ascii="新宋体" w:hAnsi="新宋体" w:eastAsia="新宋体" w:cs="新宋体"/>
                <w:color w:val="auto"/>
                <w:sz w:val="22"/>
                <w:szCs w:val="22"/>
                <w:highlight w:val="none"/>
                <w:lang w:bidi="ar"/>
              </w:rPr>
              <w:t>试运行、调优等内容，由专家进行综合评定</w:t>
            </w:r>
            <w:r>
              <w:rPr>
                <w:rFonts w:hint="eastAsia" w:ascii="新宋体" w:hAnsi="新宋体" w:eastAsia="新宋体" w:cs="新宋体"/>
                <w:color w:val="auto"/>
                <w:sz w:val="22"/>
                <w:szCs w:val="22"/>
                <w:highlight w:val="none"/>
                <w:lang w:val="en-US" w:eastAsia="zh-CN"/>
              </w:rPr>
              <w:t>（评分范围：3、2、1、0分）</w:t>
            </w:r>
            <w:r>
              <w:rPr>
                <w:rFonts w:hint="eastAsia" w:ascii="新宋体" w:hAnsi="新宋体" w:eastAsia="新宋体" w:cs="新宋体"/>
                <w:color w:val="auto"/>
                <w:sz w:val="22"/>
                <w:szCs w:val="22"/>
                <w:highlight w:val="none"/>
                <w:lang w:bidi="ar"/>
              </w:rPr>
              <w:t>。</w:t>
            </w:r>
          </w:p>
          <w:p w14:paraId="59603235">
            <w:pPr>
              <w:widowControl/>
              <w:spacing w:line="460" w:lineRule="exact"/>
              <w:jc w:val="left"/>
              <w:textAlignment w:val="center"/>
              <w:rPr>
                <w:rFonts w:hint="eastAsia"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2</w:t>
            </w:r>
            <w:r>
              <w:rPr>
                <w:rFonts w:hint="eastAsia" w:ascii="新宋体" w:hAnsi="新宋体" w:eastAsia="新宋体" w:cs="新宋体"/>
                <w:color w:val="auto"/>
                <w:sz w:val="22"/>
                <w:szCs w:val="22"/>
                <w:highlight w:val="none"/>
                <w:lang w:val="en-US" w:eastAsia="zh-CN" w:bidi="ar"/>
              </w:rPr>
              <w:t>.</w:t>
            </w:r>
            <w:r>
              <w:rPr>
                <w:rFonts w:hint="eastAsia" w:ascii="新宋体" w:hAnsi="新宋体" w:eastAsia="新宋体" w:cs="新宋体"/>
                <w:color w:val="auto"/>
                <w:sz w:val="22"/>
                <w:szCs w:val="22"/>
                <w:highlight w:val="none"/>
                <w:lang w:bidi="ar"/>
              </w:rPr>
              <w:t>组织机构、详细实施计划、整体工期要求、工作时间进度表、工作程序和步骤等内容，由专家进行综合评定</w:t>
            </w:r>
            <w:r>
              <w:rPr>
                <w:rFonts w:hint="eastAsia" w:ascii="新宋体" w:hAnsi="新宋体" w:eastAsia="新宋体" w:cs="新宋体"/>
                <w:color w:val="auto"/>
                <w:sz w:val="22"/>
                <w:szCs w:val="22"/>
                <w:highlight w:val="none"/>
                <w:lang w:val="en-US" w:eastAsia="zh-CN"/>
              </w:rPr>
              <w:t>（评分范围：3、2、1、0分）</w:t>
            </w:r>
            <w:r>
              <w:rPr>
                <w:rFonts w:hint="eastAsia" w:ascii="新宋体" w:hAnsi="新宋体" w:eastAsia="新宋体" w:cs="新宋体"/>
                <w:color w:val="auto"/>
                <w:sz w:val="22"/>
                <w:szCs w:val="22"/>
                <w:highlight w:val="none"/>
                <w:lang w:bidi="ar"/>
              </w:rPr>
              <w:t>。</w:t>
            </w:r>
          </w:p>
          <w:p w14:paraId="75055A25">
            <w:pPr>
              <w:widowControl/>
              <w:spacing w:line="460" w:lineRule="exact"/>
              <w:jc w:val="left"/>
              <w:textAlignment w:val="center"/>
              <w:rPr>
                <w:rFonts w:hint="eastAsia" w:ascii="新宋体" w:hAnsi="新宋体" w:eastAsia="新宋体" w:cs="新宋体"/>
                <w:bCs/>
                <w:color w:val="auto"/>
                <w:sz w:val="22"/>
                <w:szCs w:val="22"/>
                <w:highlight w:val="none"/>
                <w:lang w:bidi="ar"/>
              </w:rPr>
            </w:pPr>
            <w:r>
              <w:rPr>
                <w:rFonts w:hint="eastAsia" w:ascii="新宋体" w:hAnsi="新宋体" w:eastAsia="新宋体" w:cs="新宋体"/>
                <w:color w:val="auto"/>
                <w:sz w:val="22"/>
                <w:szCs w:val="22"/>
                <w:highlight w:val="none"/>
                <w:lang w:bidi="ar"/>
              </w:rPr>
              <w:t>3</w:t>
            </w:r>
            <w:r>
              <w:rPr>
                <w:rFonts w:hint="eastAsia" w:ascii="新宋体" w:hAnsi="新宋体" w:eastAsia="新宋体" w:cs="新宋体"/>
                <w:color w:val="auto"/>
                <w:sz w:val="22"/>
                <w:szCs w:val="22"/>
                <w:highlight w:val="none"/>
                <w:lang w:val="en-US" w:eastAsia="zh-CN" w:bidi="ar"/>
              </w:rPr>
              <w:t>.</w:t>
            </w:r>
            <w:r>
              <w:rPr>
                <w:rFonts w:hint="eastAsia" w:ascii="新宋体" w:hAnsi="新宋体" w:eastAsia="新宋体" w:cs="新宋体"/>
                <w:color w:val="auto"/>
                <w:sz w:val="22"/>
                <w:szCs w:val="22"/>
                <w:highlight w:val="none"/>
                <w:lang w:bidi="ar"/>
              </w:rPr>
              <w:t>管理和协调方法、关键步骤的思路和要点等内容，由专家进行综合评定</w:t>
            </w:r>
            <w:r>
              <w:rPr>
                <w:rFonts w:hint="eastAsia" w:ascii="新宋体" w:hAnsi="新宋体" w:eastAsia="新宋体" w:cs="新宋体"/>
                <w:color w:val="auto"/>
                <w:sz w:val="22"/>
                <w:szCs w:val="22"/>
                <w:highlight w:val="none"/>
                <w:lang w:val="en-US" w:eastAsia="zh-CN"/>
              </w:rPr>
              <w:t>（评分范围：3、2、1、0分）</w:t>
            </w:r>
            <w:r>
              <w:rPr>
                <w:rFonts w:hint="eastAsia" w:ascii="新宋体" w:hAnsi="新宋体" w:eastAsia="新宋体" w:cs="新宋体"/>
                <w:color w:val="auto"/>
                <w:sz w:val="22"/>
                <w:szCs w:val="22"/>
                <w:highlight w:val="none"/>
                <w:lang w:bidi="ar"/>
              </w:rPr>
              <w:t>。</w:t>
            </w:r>
          </w:p>
        </w:tc>
        <w:tc>
          <w:tcPr>
            <w:tcW w:w="885" w:type="dxa"/>
            <w:noWrap w:val="0"/>
            <w:vAlign w:val="center"/>
          </w:tcPr>
          <w:p w14:paraId="76C91C26">
            <w:pPr>
              <w:widowControl/>
              <w:spacing w:line="460" w:lineRule="exact"/>
              <w:jc w:val="center"/>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lang w:bidi="ar"/>
              </w:rPr>
              <w:t>9</w:t>
            </w:r>
          </w:p>
        </w:tc>
      </w:tr>
      <w:tr w14:paraId="63899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846" w:type="dxa"/>
            <w:noWrap w:val="0"/>
            <w:vAlign w:val="center"/>
          </w:tcPr>
          <w:p w14:paraId="5B623208">
            <w:pPr>
              <w:widowControl/>
              <w:spacing w:line="460" w:lineRule="exact"/>
              <w:jc w:val="center"/>
              <w:textAlignment w:val="center"/>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lang w:val="en-US" w:eastAsia="zh-CN"/>
              </w:rPr>
              <w:t>9</w:t>
            </w:r>
          </w:p>
        </w:tc>
        <w:tc>
          <w:tcPr>
            <w:tcW w:w="1276" w:type="dxa"/>
            <w:noWrap w:val="0"/>
            <w:vAlign w:val="center"/>
          </w:tcPr>
          <w:p w14:paraId="55871247">
            <w:pPr>
              <w:widowControl/>
              <w:spacing w:line="460" w:lineRule="exact"/>
              <w:jc w:val="center"/>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售后服务</w:t>
            </w:r>
          </w:p>
        </w:tc>
        <w:tc>
          <w:tcPr>
            <w:tcW w:w="6872" w:type="dxa"/>
            <w:noWrap w:val="0"/>
            <w:vAlign w:val="center"/>
          </w:tcPr>
          <w:p w14:paraId="293675ED">
            <w:pPr>
              <w:widowControl/>
              <w:spacing w:line="460" w:lineRule="exact"/>
              <w:textAlignment w:val="cente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val="en-US" w:eastAsia="zh-CN"/>
              </w:rPr>
              <w:t>1.</w:t>
            </w:r>
            <w:r>
              <w:rPr>
                <w:rFonts w:hint="eastAsia" w:ascii="新宋体" w:hAnsi="新宋体" w:eastAsia="新宋体" w:cs="新宋体"/>
                <w:bCs/>
                <w:color w:val="auto"/>
                <w:sz w:val="22"/>
                <w:szCs w:val="22"/>
                <w:highlight w:val="none"/>
              </w:rPr>
              <w:t>根据</w:t>
            </w:r>
            <w:bookmarkStart w:id="237" w:name="OLE_LINK7"/>
            <w:r>
              <w:rPr>
                <w:rFonts w:hint="eastAsia" w:ascii="新宋体" w:hAnsi="新宋体" w:eastAsia="新宋体" w:cs="新宋体"/>
                <w:bCs/>
                <w:color w:val="auto"/>
                <w:sz w:val="22"/>
                <w:szCs w:val="22"/>
                <w:highlight w:val="none"/>
                <w:lang w:eastAsia="zh-CN"/>
              </w:rPr>
              <w:t>投标供应商</w:t>
            </w:r>
            <w:r>
              <w:rPr>
                <w:rFonts w:hint="eastAsia" w:ascii="新宋体" w:hAnsi="新宋体" w:eastAsia="新宋体" w:cs="新宋体"/>
                <w:bCs/>
                <w:color w:val="auto"/>
                <w:sz w:val="22"/>
                <w:szCs w:val="22"/>
                <w:highlight w:val="none"/>
              </w:rPr>
              <w:t>的售后服务方案</w:t>
            </w:r>
            <w:bookmarkEnd w:id="237"/>
            <w:r>
              <w:rPr>
                <w:rFonts w:hint="eastAsia" w:ascii="新宋体" w:hAnsi="新宋体" w:eastAsia="新宋体" w:cs="新宋体"/>
                <w:bCs/>
                <w:color w:val="auto"/>
                <w:sz w:val="22"/>
                <w:szCs w:val="22"/>
                <w:highlight w:val="none"/>
              </w:rPr>
              <w:t>的可行性、技术人员的支撑、维保队伍的配备等情况进行打分</w:t>
            </w:r>
            <w:r>
              <w:rPr>
                <w:rFonts w:hint="eastAsia" w:ascii="新宋体" w:hAnsi="新宋体" w:eastAsia="新宋体" w:cs="新宋体"/>
                <w:color w:val="auto"/>
                <w:sz w:val="22"/>
                <w:szCs w:val="22"/>
                <w:highlight w:val="none"/>
                <w:lang w:val="en-US" w:eastAsia="zh-CN"/>
              </w:rPr>
              <w:t>（评分范围：3、2、1、0分）</w:t>
            </w:r>
            <w:r>
              <w:rPr>
                <w:rFonts w:hint="eastAsia" w:ascii="新宋体" w:hAnsi="新宋体" w:eastAsia="新宋体" w:cs="新宋体"/>
                <w:bCs/>
                <w:color w:val="auto"/>
                <w:sz w:val="22"/>
                <w:szCs w:val="22"/>
                <w:highlight w:val="none"/>
              </w:rPr>
              <w:t>。</w:t>
            </w:r>
          </w:p>
          <w:p w14:paraId="00209E2F">
            <w:pPr>
              <w:widowControl/>
              <w:spacing w:line="460" w:lineRule="exact"/>
              <w:textAlignment w:val="cente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val="en-US" w:eastAsia="zh-CN"/>
              </w:rPr>
              <w:t>2.</w:t>
            </w:r>
            <w:r>
              <w:rPr>
                <w:rFonts w:hint="eastAsia" w:ascii="新宋体" w:hAnsi="新宋体" w:eastAsia="新宋体" w:cs="新宋体"/>
                <w:bCs/>
                <w:color w:val="auto"/>
                <w:sz w:val="22"/>
                <w:szCs w:val="22"/>
                <w:highlight w:val="none"/>
              </w:rPr>
              <w:t>根据</w:t>
            </w:r>
            <w:r>
              <w:rPr>
                <w:rFonts w:hint="eastAsia" w:ascii="新宋体" w:hAnsi="新宋体" w:eastAsia="新宋体" w:cs="新宋体"/>
                <w:bCs/>
                <w:color w:val="auto"/>
                <w:sz w:val="22"/>
                <w:szCs w:val="22"/>
                <w:highlight w:val="none"/>
                <w:lang w:eastAsia="zh-CN"/>
              </w:rPr>
              <w:t>投标供应商</w:t>
            </w:r>
            <w:r>
              <w:rPr>
                <w:rFonts w:hint="eastAsia" w:ascii="新宋体" w:hAnsi="新宋体" w:eastAsia="新宋体" w:cs="新宋体"/>
                <w:bCs/>
                <w:color w:val="auto"/>
                <w:sz w:val="22"/>
                <w:szCs w:val="22"/>
                <w:highlight w:val="none"/>
              </w:rPr>
              <w:t>的售后服务方案完整性和故障响应、服务保障措施以及后续技术支持等情况进行打分</w:t>
            </w:r>
            <w:r>
              <w:rPr>
                <w:rFonts w:hint="eastAsia" w:ascii="新宋体" w:hAnsi="新宋体" w:eastAsia="新宋体" w:cs="新宋体"/>
                <w:color w:val="auto"/>
                <w:sz w:val="22"/>
                <w:szCs w:val="22"/>
                <w:highlight w:val="none"/>
                <w:lang w:val="en-US" w:eastAsia="zh-CN"/>
              </w:rPr>
              <w:t>（评分范围：3、2、1、0分）</w:t>
            </w:r>
            <w:r>
              <w:rPr>
                <w:rFonts w:hint="eastAsia" w:ascii="新宋体" w:hAnsi="新宋体" w:eastAsia="新宋体" w:cs="新宋体"/>
                <w:bCs/>
                <w:color w:val="auto"/>
                <w:sz w:val="22"/>
                <w:szCs w:val="22"/>
                <w:highlight w:val="none"/>
              </w:rPr>
              <w:t>。</w:t>
            </w:r>
          </w:p>
          <w:p w14:paraId="4DB2E608">
            <w:pPr>
              <w:widowControl/>
              <w:spacing w:line="460" w:lineRule="exact"/>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val="en-US" w:eastAsia="zh-CN"/>
              </w:rPr>
              <w:t>3.</w:t>
            </w:r>
            <w:r>
              <w:rPr>
                <w:rFonts w:hint="eastAsia" w:ascii="新宋体" w:hAnsi="新宋体" w:eastAsia="新宋体" w:cs="新宋体"/>
                <w:bCs/>
                <w:color w:val="auto"/>
                <w:sz w:val="22"/>
                <w:szCs w:val="22"/>
                <w:highlight w:val="none"/>
              </w:rPr>
              <w:t>根据</w:t>
            </w:r>
            <w:r>
              <w:rPr>
                <w:rFonts w:hint="eastAsia" w:ascii="新宋体" w:hAnsi="新宋体" w:eastAsia="新宋体" w:cs="新宋体"/>
                <w:bCs/>
                <w:color w:val="auto"/>
                <w:sz w:val="22"/>
                <w:szCs w:val="22"/>
                <w:highlight w:val="none"/>
                <w:lang w:eastAsia="zh-CN"/>
              </w:rPr>
              <w:t>投标供应商</w:t>
            </w:r>
            <w:r>
              <w:rPr>
                <w:rFonts w:hint="eastAsia" w:ascii="新宋体" w:hAnsi="新宋体" w:eastAsia="新宋体" w:cs="新宋体"/>
                <w:bCs/>
                <w:color w:val="auto"/>
                <w:sz w:val="22"/>
                <w:szCs w:val="22"/>
                <w:highlight w:val="none"/>
              </w:rPr>
              <w:t>售后服务承诺的范围和完善程度，包括售后服务标准、售后运营团队配比、服务支撑及应急方案等情况进行打分</w:t>
            </w:r>
            <w:r>
              <w:rPr>
                <w:rFonts w:hint="eastAsia" w:ascii="新宋体" w:hAnsi="新宋体" w:eastAsia="新宋体" w:cs="新宋体"/>
                <w:color w:val="auto"/>
                <w:sz w:val="22"/>
                <w:szCs w:val="22"/>
                <w:highlight w:val="none"/>
                <w:lang w:val="en-US" w:eastAsia="zh-CN"/>
              </w:rPr>
              <w:t>（评分范围：3、2、1、0分）</w:t>
            </w:r>
            <w:r>
              <w:rPr>
                <w:rFonts w:hint="eastAsia" w:ascii="新宋体" w:hAnsi="新宋体" w:eastAsia="新宋体" w:cs="新宋体"/>
                <w:bCs/>
                <w:color w:val="auto"/>
                <w:sz w:val="22"/>
                <w:szCs w:val="22"/>
                <w:highlight w:val="none"/>
              </w:rPr>
              <w:t>。</w:t>
            </w:r>
          </w:p>
        </w:tc>
        <w:tc>
          <w:tcPr>
            <w:tcW w:w="885" w:type="dxa"/>
            <w:noWrap w:val="0"/>
            <w:vAlign w:val="center"/>
          </w:tcPr>
          <w:p w14:paraId="231A9055">
            <w:pPr>
              <w:widowControl/>
              <w:spacing w:line="460" w:lineRule="exact"/>
              <w:jc w:val="center"/>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9</w:t>
            </w:r>
          </w:p>
        </w:tc>
      </w:tr>
      <w:tr w14:paraId="08C14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846" w:type="dxa"/>
            <w:noWrap w:val="0"/>
            <w:vAlign w:val="center"/>
          </w:tcPr>
          <w:p w14:paraId="32AF5383">
            <w:pPr>
              <w:widowControl/>
              <w:spacing w:line="460" w:lineRule="exact"/>
              <w:jc w:val="center"/>
              <w:textAlignment w:val="center"/>
              <w:rPr>
                <w:rFonts w:hint="default"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lang w:val="en-US" w:eastAsia="zh-CN"/>
              </w:rPr>
              <w:t>10</w:t>
            </w:r>
          </w:p>
        </w:tc>
        <w:tc>
          <w:tcPr>
            <w:tcW w:w="1276" w:type="dxa"/>
            <w:noWrap w:val="0"/>
            <w:vAlign w:val="center"/>
          </w:tcPr>
          <w:p w14:paraId="16E0774C">
            <w:pPr>
              <w:widowControl/>
              <w:spacing w:line="460" w:lineRule="exact"/>
              <w:jc w:val="center"/>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培训方案</w:t>
            </w:r>
          </w:p>
        </w:tc>
        <w:tc>
          <w:tcPr>
            <w:tcW w:w="6872" w:type="dxa"/>
            <w:noWrap w:val="0"/>
            <w:vAlign w:val="center"/>
          </w:tcPr>
          <w:p w14:paraId="550B84C9">
            <w:pPr>
              <w:widowControl/>
              <w:spacing w:line="460" w:lineRule="exact"/>
              <w:textAlignment w:val="cente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val="en-US" w:eastAsia="zh-CN"/>
              </w:rPr>
              <w:t>1.</w:t>
            </w:r>
            <w:r>
              <w:rPr>
                <w:rFonts w:hint="eastAsia" w:ascii="新宋体" w:hAnsi="新宋体" w:eastAsia="新宋体" w:cs="新宋体"/>
                <w:bCs/>
                <w:color w:val="auto"/>
                <w:sz w:val="22"/>
                <w:szCs w:val="22"/>
                <w:highlight w:val="none"/>
              </w:rPr>
              <w:t>根据培训计划包括培训内容、时间、地点、人次等情况进行打分</w:t>
            </w:r>
            <w:r>
              <w:rPr>
                <w:rFonts w:hint="eastAsia" w:ascii="新宋体" w:hAnsi="新宋体" w:eastAsia="新宋体" w:cs="新宋体"/>
                <w:color w:val="auto"/>
                <w:sz w:val="22"/>
                <w:szCs w:val="22"/>
                <w:highlight w:val="none"/>
                <w:lang w:val="en-US" w:eastAsia="zh-CN"/>
              </w:rPr>
              <w:t>（评分范围：3、2、1、0分）</w:t>
            </w:r>
            <w:r>
              <w:rPr>
                <w:rFonts w:hint="eastAsia" w:ascii="新宋体" w:hAnsi="新宋体" w:eastAsia="新宋体" w:cs="新宋体"/>
                <w:bCs/>
                <w:color w:val="auto"/>
                <w:sz w:val="22"/>
                <w:szCs w:val="22"/>
                <w:highlight w:val="none"/>
              </w:rPr>
              <w:t>。</w:t>
            </w:r>
          </w:p>
          <w:p w14:paraId="310C0D31">
            <w:pPr>
              <w:widowControl/>
              <w:spacing w:line="460" w:lineRule="exact"/>
              <w:textAlignment w:val="cente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val="en-US" w:eastAsia="zh-CN"/>
              </w:rPr>
              <w:t>2.</w:t>
            </w:r>
            <w:r>
              <w:rPr>
                <w:rFonts w:hint="eastAsia" w:ascii="新宋体" w:hAnsi="新宋体" w:eastAsia="新宋体" w:cs="新宋体"/>
                <w:bCs/>
                <w:color w:val="auto"/>
                <w:sz w:val="22"/>
                <w:szCs w:val="22"/>
                <w:highlight w:val="none"/>
              </w:rPr>
              <w:t>根据系统培训包括为维护、调试、配置及使用技能等情况进行打分</w:t>
            </w:r>
            <w:r>
              <w:rPr>
                <w:rFonts w:hint="eastAsia" w:ascii="新宋体" w:hAnsi="新宋体" w:eastAsia="新宋体" w:cs="新宋体"/>
                <w:color w:val="auto"/>
                <w:sz w:val="22"/>
                <w:szCs w:val="22"/>
                <w:highlight w:val="none"/>
                <w:lang w:val="en-US" w:eastAsia="zh-CN"/>
              </w:rPr>
              <w:t>（评分范围：3、2、1、0分）</w:t>
            </w:r>
            <w:r>
              <w:rPr>
                <w:rFonts w:hint="eastAsia" w:ascii="新宋体" w:hAnsi="新宋体" w:eastAsia="新宋体" w:cs="新宋体"/>
                <w:bCs/>
                <w:color w:val="auto"/>
                <w:sz w:val="22"/>
                <w:szCs w:val="22"/>
                <w:highlight w:val="none"/>
              </w:rPr>
              <w:t>。</w:t>
            </w:r>
          </w:p>
          <w:p w14:paraId="42F371FD">
            <w:pPr>
              <w:widowControl/>
              <w:spacing w:line="460" w:lineRule="exact"/>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val="en-US" w:eastAsia="zh-CN"/>
              </w:rPr>
              <w:t>3.</w:t>
            </w:r>
            <w:r>
              <w:rPr>
                <w:rFonts w:hint="eastAsia" w:ascii="新宋体" w:hAnsi="新宋体" w:eastAsia="新宋体" w:cs="新宋体"/>
                <w:bCs/>
                <w:color w:val="auto"/>
                <w:sz w:val="22"/>
                <w:szCs w:val="22"/>
                <w:highlight w:val="none"/>
              </w:rPr>
              <w:t>根据业务人员培训，重点对相应应用的操作、使用的详细程度、合理性和可行性，综合评价等情况进行打分</w:t>
            </w:r>
            <w:r>
              <w:rPr>
                <w:rFonts w:hint="eastAsia" w:ascii="新宋体" w:hAnsi="新宋体" w:eastAsia="新宋体" w:cs="新宋体"/>
                <w:color w:val="auto"/>
                <w:sz w:val="22"/>
                <w:szCs w:val="22"/>
                <w:highlight w:val="none"/>
                <w:lang w:val="en-US" w:eastAsia="zh-CN"/>
              </w:rPr>
              <w:t>（评分范围：3、2、1、0分）</w:t>
            </w:r>
            <w:r>
              <w:rPr>
                <w:rFonts w:hint="eastAsia" w:ascii="新宋体" w:hAnsi="新宋体" w:eastAsia="新宋体" w:cs="新宋体"/>
                <w:bCs/>
                <w:color w:val="auto"/>
                <w:sz w:val="22"/>
                <w:szCs w:val="22"/>
                <w:highlight w:val="none"/>
              </w:rPr>
              <w:t>。</w:t>
            </w:r>
          </w:p>
        </w:tc>
        <w:tc>
          <w:tcPr>
            <w:tcW w:w="885" w:type="dxa"/>
            <w:noWrap w:val="0"/>
            <w:vAlign w:val="center"/>
          </w:tcPr>
          <w:p w14:paraId="4C4F5A1F">
            <w:pPr>
              <w:widowControl/>
              <w:spacing w:line="460" w:lineRule="exact"/>
              <w:jc w:val="center"/>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9</w:t>
            </w:r>
          </w:p>
        </w:tc>
      </w:tr>
      <w:tr w14:paraId="53931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jc w:val="center"/>
        </w:trPr>
        <w:tc>
          <w:tcPr>
            <w:tcW w:w="846" w:type="dxa"/>
            <w:noWrap w:val="0"/>
            <w:vAlign w:val="center"/>
          </w:tcPr>
          <w:p w14:paraId="46ABB3C8">
            <w:pPr>
              <w:widowControl/>
              <w:spacing w:line="460" w:lineRule="exact"/>
              <w:jc w:val="center"/>
              <w:textAlignment w:val="center"/>
              <w:rPr>
                <w:rFonts w:hint="default"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lang w:val="en-US" w:eastAsia="zh-CN"/>
              </w:rPr>
              <w:t>11</w:t>
            </w:r>
          </w:p>
        </w:tc>
        <w:tc>
          <w:tcPr>
            <w:tcW w:w="1276" w:type="dxa"/>
            <w:noWrap w:val="0"/>
            <w:vAlign w:val="center"/>
          </w:tcPr>
          <w:p w14:paraId="52450142">
            <w:pPr>
              <w:pStyle w:val="29"/>
              <w:ind w:left="0" w:leftChars="0" w:firstLine="0" w:firstLineChars="0"/>
              <w:jc w:val="both"/>
              <w:rPr>
                <w:rFonts w:hint="eastAsia" w:ascii="新宋体" w:hAnsi="新宋体" w:eastAsia="新宋体" w:cs="新宋体"/>
                <w:bCs/>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系统能力视频演示（演示要求详见附件七）</w:t>
            </w:r>
          </w:p>
        </w:tc>
        <w:tc>
          <w:tcPr>
            <w:tcW w:w="6872" w:type="dxa"/>
            <w:noWrap w:val="0"/>
            <w:vAlign w:val="center"/>
          </w:tcPr>
          <w:p w14:paraId="1AD42525">
            <w:pPr>
              <w:widowControl/>
              <w:spacing w:line="460" w:lineRule="exact"/>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1、E护士端：强制、主动上报  高风险编码录入后，自动弹出不可关闭报卡界面，强制填写患者信息、伤情描述等字段，提交后触发卫健部门审核；中风险编码录入时，推送可关闭提示弹窗并提供案例参考模板，提升医生判断效率；通过权限分级控制与操作日志记录，确保上报合规可追溯，为未成年人保护提供技术闭环支撑，满足上述全部要求得2分</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lang w:val="en-US" w:eastAsia="zh-CN"/>
              </w:rPr>
              <w:t>否则不得分</w:t>
            </w:r>
            <w:r>
              <w:rPr>
                <w:rFonts w:hint="eastAsia" w:ascii="新宋体" w:hAnsi="新宋体" w:eastAsia="新宋体" w:cs="新宋体"/>
                <w:bCs/>
                <w:color w:val="auto"/>
                <w:sz w:val="22"/>
                <w:szCs w:val="22"/>
                <w:highlight w:val="none"/>
              </w:rPr>
              <w:t>。</w:t>
            </w:r>
          </w:p>
          <w:p w14:paraId="64F2BD7A">
            <w:pPr>
              <w:widowControl/>
              <w:spacing w:line="460" w:lineRule="exact"/>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2、移动端上报系统：</w:t>
            </w:r>
          </w:p>
          <w:p w14:paraId="10EA7691">
            <w:pPr>
              <w:widowControl/>
              <w:spacing w:line="460" w:lineRule="exact"/>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信息填报：为教育 / 民政工作人员提供登录后标准化表单上报入口，含被侵害人基本信息、监护人信息、详细上报内容等核心字段，自动关联上报组织、时间等元数据；结构化表单保障信息规范完整，上报数据实时同步监管平台并触发上级审核，支持历史记录追溯与审核进展跟踪，形成 “上报 - 审核 - 处置” 闭环，为公安部门介入提供精准可验证数据支撑，满足上述全部要求得</w:t>
            </w:r>
            <w:r>
              <w:rPr>
                <w:rFonts w:hint="eastAsia" w:ascii="新宋体" w:hAnsi="新宋体" w:eastAsia="新宋体" w:cs="新宋体"/>
                <w:bCs/>
                <w:color w:val="auto"/>
                <w:sz w:val="22"/>
                <w:szCs w:val="22"/>
                <w:highlight w:val="none"/>
                <w:lang w:val="en-US" w:eastAsia="zh-CN"/>
              </w:rPr>
              <w:t>1</w:t>
            </w:r>
            <w:r>
              <w:rPr>
                <w:rFonts w:hint="eastAsia" w:ascii="新宋体" w:hAnsi="新宋体" w:eastAsia="新宋体" w:cs="新宋体"/>
                <w:bCs/>
                <w:color w:val="auto"/>
                <w:sz w:val="22"/>
                <w:szCs w:val="22"/>
                <w:highlight w:val="none"/>
              </w:rPr>
              <w:t>分</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lang w:val="en-US" w:eastAsia="zh-CN"/>
              </w:rPr>
              <w:t>否则不得分</w:t>
            </w:r>
            <w:r>
              <w:rPr>
                <w:rFonts w:hint="eastAsia" w:ascii="新宋体" w:hAnsi="新宋体" w:eastAsia="新宋体" w:cs="新宋体"/>
                <w:bCs/>
                <w:color w:val="auto"/>
                <w:sz w:val="22"/>
                <w:szCs w:val="22"/>
                <w:highlight w:val="none"/>
              </w:rPr>
              <w:t>。</w:t>
            </w:r>
          </w:p>
          <w:p w14:paraId="51E11B9B">
            <w:pPr>
              <w:widowControl/>
              <w:spacing w:line="460" w:lineRule="exact"/>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3、监管平台：</w:t>
            </w:r>
          </w:p>
          <w:p w14:paraId="0BD73471">
            <w:pPr>
              <w:widowControl/>
              <w:spacing w:line="460" w:lineRule="exact"/>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①报告监管：</w:t>
            </w:r>
          </w:p>
          <w:p w14:paraId="1440B94B">
            <w:pPr>
              <w:widowControl/>
              <w:spacing w:line="460" w:lineRule="exact"/>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支持图表等可视化方式展示上报信息多维度概况，辅助决策分析；结构化呈现审核通过案件核心字段，满足多部门协同监管的筛选、详情查看及进度跟踪需求，实现全流程可追溯；基于年度数据生成多维结构化年报，支持检索与安全导出，为跨部门决策及政策制定提供数据支撑，满足上述全部要求得</w:t>
            </w:r>
            <w:r>
              <w:rPr>
                <w:rFonts w:hint="eastAsia" w:ascii="新宋体" w:hAnsi="新宋体" w:eastAsia="新宋体" w:cs="新宋体"/>
                <w:bCs/>
                <w:color w:val="auto"/>
                <w:sz w:val="22"/>
                <w:szCs w:val="22"/>
                <w:highlight w:val="none"/>
                <w:lang w:val="en-US" w:eastAsia="zh-CN"/>
              </w:rPr>
              <w:t>1</w:t>
            </w:r>
            <w:r>
              <w:rPr>
                <w:rFonts w:hint="eastAsia" w:ascii="新宋体" w:hAnsi="新宋体" w:eastAsia="新宋体" w:cs="新宋体"/>
                <w:bCs/>
                <w:color w:val="auto"/>
                <w:sz w:val="22"/>
                <w:szCs w:val="22"/>
                <w:highlight w:val="none"/>
              </w:rPr>
              <w:t>分</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lang w:val="en-US" w:eastAsia="zh-CN"/>
              </w:rPr>
              <w:t>否则不得分</w:t>
            </w:r>
            <w:r>
              <w:rPr>
                <w:rFonts w:hint="eastAsia" w:ascii="新宋体" w:hAnsi="新宋体" w:eastAsia="新宋体" w:cs="新宋体"/>
                <w:bCs/>
                <w:color w:val="auto"/>
                <w:sz w:val="22"/>
                <w:szCs w:val="22"/>
                <w:highlight w:val="none"/>
              </w:rPr>
              <w:t>。</w:t>
            </w:r>
          </w:p>
          <w:p w14:paraId="402F5D76">
            <w:pPr>
              <w:widowControl/>
              <w:spacing w:line="460" w:lineRule="exact"/>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②核实审核：</w:t>
            </w:r>
          </w:p>
          <w:p w14:paraId="5AEDF856">
            <w:pPr>
              <w:widowControl/>
              <w:spacing w:line="460" w:lineRule="exact"/>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审核医疗（HIS 系统）、教育 / 民政渠道上报的侵害未成年人信息，教育 / 民政渠道实行分层审核机制；系统列表展示核心字段，支持多维度筛选、详情查看及实时追踪，审核人员可在线填写意见并执行同意 / 不同意操作；通过接口对接实现与公安系统数据闭环流转，结合权限分级与操作日志，保障信息合规准确、过程可追溯，为应急处置与司法监督提供数据支撑，满足上述全部要求得</w:t>
            </w:r>
            <w:r>
              <w:rPr>
                <w:rFonts w:hint="eastAsia" w:ascii="新宋体" w:hAnsi="新宋体" w:eastAsia="新宋体" w:cs="新宋体"/>
                <w:bCs/>
                <w:color w:val="auto"/>
                <w:sz w:val="22"/>
                <w:szCs w:val="22"/>
                <w:highlight w:val="none"/>
                <w:lang w:val="en-US" w:eastAsia="zh-CN"/>
              </w:rPr>
              <w:t>1</w:t>
            </w:r>
            <w:r>
              <w:rPr>
                <w:rFonts w:hint="eastAsia" w:ascii="新宋体" w:hAnsi="新宋体" w:eastAsia="新宋体" w:cs="新宋体"/>
                <w:bCs/>
                <w:color w:val="auto"/>
                <w:sz w:val="22"/>
                <w:szCs w:val="22"/>
                <w:highlight w:val="none"/>
              </w:rPr>
              <w:t>分</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lang w:val="en-US" w:eastAsia="zh-CN"/>
              </w:rPr>
              <w:t>否则不得分</w:t>
            </w:r>
            <w:r>
              <w:rPr>
                <w:rFonts w:hint="eastAsia" w:ascii="新宋体" w:hAnsi="新宋体" w:eastAsia="新宋体" w:cs="新宋体"/>
                <w:bCs/>
                <w:color w:val="auto"/>
                <w:sz w:val="22"/>
                <w:szCs w:val="22"/>
                <w:highlight w:val="none"/>
              </w:rPr>
              <w:t>。</w:t>
            </w:r>
          </w:p>
          <w:p w14:paraId="4540F290">
            <w:pPr>
              <w:widowControl/>
              <w:spacing w:line="460" w:lineRule="exact"/>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报告处理：集中展示卫健、民政、教育部门审核通过的侵害未成年人信息核心字段，保障数据完整与时效；支持公安在线完成立案、其他处置及处理意见填写操作，通过接口联动检察机关，形成跨部门闭环管理，满足上述全部要求得</w:t>
            </w:r>
            <w:r>
              <w:rPr>
                <w:rFonts w:hint="eastAsia" w:ascii="新宋体" w:hAnsi="新宋体" w:eastAsia="新宋体" w:cs="新宋体"/>
                <w:bCs/>
                <w:color w:val="auto"/>
                <w:sz w:val="22"/>
                <w:szCs w:val="22"/>
                <w:highlight w:val="none"/>
                <w:lang w:val="en-US" w:eastAsia="zh-CN"/>
              </w:rPr>
              <w:t>1</w:t>
            </w:r>
            <w:r>
              <w:rPr>
                <w:rFonts w:hint="eastAsia" w:ascii="新宋体" w:hAnsi="新宋体" w:eastAsia="新宋体" w:cs="新宋体"/>
                <w:bCs/>
                <w:color w:val="auto"/>
                <w:sz w:val="22"/>
                <w:szCs w:val="22"/>
                <w:highlight w:val="none"/>
              </w:rPr>
              <w:t>分</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lang w:val="en-US" w:eastAsia="zh-CN"/>
              </w:rPr>
              <w:t>否则不得分</w:t>
            </w:r>
            <w:r>
              <w:rPr>
                <w:rFonts w:hint="eastAsia" w:ascii="新宋体" w:hAnsi="新宋体" w:eastAsia="新宋体" w:cs="新宋体"/>
                <w:bCs/>
                <w:color w:val="auto"/>
                <w:sz w:val="22"/>
                <w:szCs w:val="22"/>
                <w:highlight w:val="none"/>
              </w:rPr>
              <w:t>。</w:t>
            </w:r>
          </w:p>
        </w:tc>
        <w:tc>
          <w:tcPr>
            <w:tcW w:w="885" w:type="dxa"/>
            <w:noWrap w:val="0"/>
            <w:vAlign w:val="center"/>
          </w:tcPr>
          <w:p w14:paraId="111FBA1F">
            <w:pPr>
              <w:widowControl/>
              <w:spacing w:line="460" w:lineRule="exact"/>
              <w:jc w:val="center"/>
              <w:textAlignment w:val="center"/>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6</w:t>
            </w:r>
          </w:p>
        </w:tc>
      </w:tr>
    </w:tbl>
    <w:p w14:paraId="40C04557">
      <w:pPr>
        <w:rPr>
          <w:rFonts w:hint="eastAsia" w:ascii="新宋体" w:hAnsi="新宋体" w:eastAsia="新宋体" w:cs="新宋体"/>
          <w:color w:val="auto"/>
          <w:sz w:val="22"/>
          <w:szCs w:val="22"/>
          <w:highlight w:val="none"/>
        </w:rPr>
      </w:pPr>
    </w:p>
    <w:p w14:paraId="2D5D6BA3">
      <w:pPr>
        <w:spacing w:line="460" w:lineRule="exact"/>
        <w:ind w:firstLine="331" w:firstLineChars="150"/>
        <w:rPr>
          <w:rFonts w:hint="eastAsia" w:ascii="新宋体" w:hAnsi="新宋体" w:eastAsia="新宋体" w:cs="新宋体"/>
          <w:b/>
          <w:bCs/>
          <w:color w:val="auto"/>
          <w:sz w:val="22"/>
          <w:szCs w:val="22"/>
          <w:highlight w:val="none"/>
        </w:rPr>
      </w:pPr>
      <w:bookmarkStart w:id="238" w:name="_Toc28615"/>
      <w:r>
        <w:rPr>
          <w:rFonts w:hint="eastAsia" w:ascii="新宋体" w:hAnsi="新宋体" w:eastAsia="新宋体" w:cs="新宋体"/>
          <w:b/>
          <w:bCs/>
          <w:color w:val="auto"/>
          <w:sz w:val="22"/>
          <w:szCs w:val="22"/>
          <w:highlight w:val="none"/>
          <w:lang w:val="en-US" w:eastAsia="zh-CN"/>
        </w:rPr>
        <w:t>注</w:t>
      </w:r>
      <w:r>
        <w:rPr>
          <w:rFonts w:hint="eastAsia" w:ascii="新宋体" w:hAnsi="新宋体" w:eastAsia="新宋体" w:cs="新宋体"/>
          <w:b/>
          <w:bCs/>
          <w:color w:val="auto"/>
          <w:sz w:val="22"/>
          <w:szCs w:val="22"/>
          <w:highlight w:val="none"/>
        </w:rPr>
        <w:t>：</w:t>
      </w:r>
      <w:bookmarkEnd w:id="238"/>
    </w:p>
    <w:p w14:paraId="03DA3261">
      <w:pPr>
        <w:pStyle w:val="29"/>
        <w:spacing w:after="0" w:line="460" w:lineRule="exact"/>
        <w:ind w:firstLine="442" w:firstLineChars="200"/>
        <w:rPr>
          <w:rFonts w:hint="eastAsia" w:ascii="新宋体" w:hAnsi="新宋体" w:eastAsia="新宋体" w:cs="新宋体"/>
          <w:b/>
          <w:bCs w:val="0"/>
          <w:color w:val="auto"/>
          <w:sz w:val="22"/>
          <w:szCs w:val="22"/>
          <w:highlight w:val="none"/>
        </w:rPr>
      </w:pPr>
      <w:r>
        <w:rPr>
          <w:rFonts w:hint="eastAsia" w:ascii="新宋体" w:hAnsi="新宋体" w:eastAsia="新宋体" w:cs="新宋体"/>
          <w:b/>
          <w:bCs w:val="0"/>
          <w:color w:val="auto"/>
          <w:sz w:val="22"/>
          <w:szCs w:val="22"/>
          <w:highlight w:val="none"/>
        </w:rPr>
        <w:t>（1）以上所需的各种证书、证件、证明文件、执照若系复印件，须在复印件上加盖投标供应商有效的公章。证书、证件、证明文件等原件，属备查项目，并非强制性要求。评标主要依据投标供应商投标文件中加盖有效公章的证书/证明文件复印件，如评标委员会对复印件有异议的，可在投标供应商提供原件资料里核查，若投标供应商未提供原件资料佐证的，则承担相应评分项不得分的风险。</w:t>
      </w:r>
    </w:p>
    <w:p w14:paraId="4C0A6011">
      <w:pPr>
        <w:pStyle w:val="29"/>
        <w:spacing w:after="0" w:line="460" w:lineRule="exact"/>
        <w:ind w:firstLine="440" w:firstLineChars="20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（2）评标委员会、采购</w:t>
      </w:r>
      <w:r>
        <w:rPr>
          <w:rFonts w:hint="eastAsia" w:ascii="新宋体" w:hAnsi="新宋体" w:eastAsia="新宋体" w:cs="新宋体"/>
          <w:b w:val="0"/>
          <w:bCs/>
          <w:color w:val="auto"/>
          <w:sz w:val="22"/>
          <w:szCs w:val="22"/>
          <w:highlight w:val="none"/>
          <w:lang w:val="en-US" w:eastAsia="zh-CN"/>
        </w:rPr>
        <w:t>组织</w:t>
      </w:r>
      <w:r>
        <w:rPr>
          <w:rFonts w:hint="eastAsia" w:ascii="新宋体" w:hAnsi="新宋体" w:eastAsia="新宋体" w:cs="新宋体"/>
          <w:b w:val="0"/>
          <w:bCs/>
          <w:color w:val="auto"/>
          <w:sz w:val="22"/>
          <w:szCs w:val="22"/>
          <w:highlight w:val="none"/>
        </w:rPr>
        <w:t>机构在项目评审直至合同签订、履约期间，有权要求投标供应商出具投标文件中的合同文本原件，予以确认其的真实性和有效性，如出现与事实不符等情况，将根据有关规定以“提供虚假材料谋取中标”予以处理。</w:t>
      </w:r>
    </w:p>
    <w:p w14:paraId="3DE75E57">
      <w:pPr>
        <w:numPr>
          <w:ilvl w:val="0"/>
          <w:numId w:val="39"/>
        </w:numPr>
        <w:spacing w:line="460" w:lineRule="exact"/>
        <w:ind w:firstLine="0"/>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ab/>
      </w:r>
      <w:r>
        <w:rPr>
          <w:rFonts w:hint="eastAsia" w:ascii="新宋体" w:hAnsi="新宋体" w:eastAsia="新宋体" w:cs="新宋体"/>
          <w:b/>
          <w:color w:val="auto"/>
          <w:sz w:val="22"/>
          <w:szCs w:val="22"/>
          <w:highlight w:val="none"/>
        </w:rPr>
        <w:t>商务报价</w:t>
      </w:r>
      <w:r>
        <w:rPr>
          <w:rFonts w:hint="eastAsia" w:ascii="新宋体" w:hAnsi="新宋体" w:eastAsia="新宋体" w:cs="新宋体"/>
          <w:b/>
          <w:bCs/>
          <w:color w:val="auto"/>
          <w:sz w:val="22"/>
          <w:szCs w:val="22"/>
          <w:highlight w:val="none"/>
        </w:rPr>
        <w:t>评分（</w:t>
      </w:r>
      <w:r>
        <w:rPr>
          <w:rFonts w:hint="eastAsia" w:ascii="新宋体" w:hAnsi="新宋体" w:eastAsia="新宋体" w:cs="新宋体"/>
          <w:b/>
          <w:bCs/>
          <w:color w:val="auto"/>
          <w:sz w:val="22"/>
          <w:szCs w:val="22"/>
          <w:highlight w:val="none"/>
          <w:lang w:val="en-US" w:eastAsia="zh-CN"/>
        </w:rPr>
        <w:t>15</w:t>
      </w:r>
      <w:r>
        <w:rPr>
          <w:rFonts w:hint="eastAsia" w:ascii="新宋体" w:hAnsi="新宋体" w:eastAsia="新宋体" w:cs="新宋体"/>
          <w:b/>
          <w:bCs/>
          <w:color w:val="auto"/>
          <w:sz w:val="22"/>
          <w:szCs w:val="22"/>
          <w:highlight w:val="none"/>
        </w:rPr>
        <w:t>分）：</w:t>
      </w:r>
    </w:p>
    <w:p w14:paraId="66C52A75">
      <w:pPr>
        <w:spacing w:line="460" w:lineRule="exact"/>
        <w:ind w:firstLine="330" w:firstLineChars="1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满足采购文件要求且投标报价的最低价作为评标基准价；</w:t>
      </w:r>
    </w:p>
    <w:p w14:paraId="29B3938C">
      <w:pPr>
        <w:numPr>
          <w:ilvl w:val="0"/>
          <w:numId w:val="40"/>
        </w:numPr>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有效投标供应商的投标报价等于评标基准价时，其最终报价评分值为满分</w:t>
      </w:r>
      <w:r>
        <w:rPr>
          <w:rFonts w:hint="eastAsia" w:ascii="新宋体" w:hAnsi="新宋体" w:eastAsia="新宋体" w:cs="新宋体"/>
          <w:bCs/>
          <w:color w:val="auto"/>
          <w:kern w:val="0"/>
          <w:sz w:val="22"/>
          <w:szCs w:val="22"/>
          <w:highlight w:val="none"/>
          <w:lang w:val="en-US" w:eastAsia="zh-CN"/>
        </w:rPr>
        <w:t>15</w:t>
      </w:r>
      <w:r>
        <w:rPr>
          <w:rFonts w:hint="eastAsia" w:ascii="新宋体" w:hAnsi="新宋体" w:eastAsia="新宋体" w:cs="新宋体"/>
          <w:bCs/>
          <w:color w:val="auto"/>
          <w:kern w:val="0"/>
          <w:sz w:val="22"/>
          <w:szCs w:val="22"/>
          <w:highlight w:val="none"/>
        </w:rPr>
        <w:t>分；</w:t>
      </w:r>
    </w:p>
    <w:p w14:paraId="619702F5">
      <w:pPr>
        <w:numPr>
          <w:ilvl w:val="0"/>
          <w:numId w:val="40"/>
        </w:numPr>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其他投标供应商的价格分按以下公式计算：</w:t>
      </w:r>
    </w:p>
    <w:p w14:paraId="7444626B">
      <w:pPr>
        <w:spacing w:line="460" w:lineRule="exact"/>
        <w:ind w:left="400" w:firstLine="440" w:firstLineChars="200"/>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商务分得分=（评审基准价/投标供应商投标报价）×价格权值×100（四舍五入后保留小数2位，价格权值为</w:t>
      </w:r>
      <w:r>
        <w:rPr>
          <w:rFonts w:hint="eastAsia" w:ascii="新宋体" w:hAnsi="新宋体" w:eastAsia="新宋体" w:cs="新宋体"/>
          <w:bCs/>
          <w:color w:val="auto"/>
          <w:kern w:val="0"/>
          <w:sz w:val="22"/>
          <w:szCs w:val="22"/>
          <w:highlight w:val="none"/>
          <w:lang w:val="en-US" w:eastAsia="zh-CN"/>
        </w:rPr>
        <w:t>15</w:t>
      </w:r>
      <w:r>
        <w:rPr>
          <w:rFonts w:hint="eastAsia" w:ascii="新宋体" w:hAnsi="新宋体" w:eastAsia="新宋体" w:cs="新宋体"/>
          <w:bCs/>
          <w:color w:val="auto"/>
          <w:kern w:val="0"/>
          <w:sz w:val="22"/>
          <w:szCs w:val="22"/>
          <w:highlight w:val="none"/>
        </w:rPr>
        <w:t>%）</w:t>
      </w:r>
    </w:p>
    <w:p w14:paraId="267D857D">
      <w:pPr>
        <w:numPr>
          <w:ilvl w:val="0"/>
          <w:numId w:val="40"/>
        </w:numPr>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
          <w:color w:val="auto"/>
          <w:sz w:val="22"/>
          <w:szCs w:val="22"/>
          <w:highlight w:val="none"/>
          <w:u w:val="single"/>
        </w:rPr>
        <w:t>▲本项目采购预算为人民币</w:t>
      </w:r>
      <w:r>
        <w:rPr>
          <w:rFonts w:hint="eastAsia" w:ascii="新宋体" w:hAnsi="新宋体" w:eastAsia="新宋体" w:cs="新宋体"/>
          <w:b/>
          <w:color w:val="auto"/>
          <w:sz w:val="22"/>
          <w:szCs w:val="22"/>
          <w:highlight w:val="none"/>
          <w:u w:val="single"/>
          <w:lang w:eastAsia="zh-CN"/>
        </w:rPr>
        <w:t>687</w:t>
      </w:r>
      <w:r>
        <w:rPr>
          <w:rFonts w:hint="eastAsia" w:ascii="新宋体" w:hAnsi="新宋体" w:eastAsia="新宋体" w:cs="新宋体"/>
          <w:b/>
          <w:color w:val="auto"/>
          <w:sz w:val="22"/>
          <w:szCs w:val="22"/>
          <w:highlight w:val="none"/>
          <w:u w:val="single"/>
          <w:lang w:val="en-US" w:eastAsia="zh-CN"/>
        </w:rPr>
        <w:t>万</w:t>
      </w:r>
      <w:r>
        <w:rPr>
          <w:rFonts w:hint="eastAsia" w:ascii="新宋体" w:hAnsi="新宋体" w:eastAsia="新宋体" w:cs="新宋体"/>
          <w:b/>
          <w:color w:val="auto"/>
          <w:sz w:val="22"/>
          <w:szCs w:val="22"/>
          <w:highlight w:val="none"/>
          <w:u w:val="single"/>
        </w:rPr>
        <w:t>元整</w:t>
      </w:r>
      <w:r>
        <w:rPr>
          <w:rFonts w:hint="eastAsia" w:ascii="新宋体" w:hAnsi="新宋体" w:eastAsia="新宋体" w:cs="新宋体"/>
          <w:b/>
          <w:color w:val="auto"/>
          <w:sz w:val="22"/>
          <w:szCs w:val="22"/>
          <w:highlight w:val="none"/>
          <w:u w:val="single"/>
          <w:lang w:eastAsia="zh-CN"/>
        </w:rPr>
        <w:t>，</w:t>
      </w:r>
      <w:r>
        <w:rPr>
          <w:rFonts w:hint="eastAsia" w:ascii="新宋体" w:hAnsi="新宋体" w:eastAsia="新宋体" w:cs="新宋体"/>
          <w:b/>
          <w:color w:val="auto"/>
          <w:sz w:val="22"/>
          <w:szCs w:val="22"/>
          <w:highlight w:val="none"/>
          <w:u w:val="single"/>
        </w:rPr>
        <w:t>投标</w:t>
      </w:r>
      <w:r>
        <w:rPr>
          <w:rFonts w:hint="eastAsia" w:ascii="新宋体" w:hAnsi="新宋体" w:eastAsia="新宋体" w:cs="新宋体"/>
          <w:b/>
          <w:color w:val="auto"/>
          <w:sz w:val="22"/>
          <w:szCs w:val="22"/>
          <w:highlight w:val="none"/>
          <w:u w:val="single"/>
          <w:lang w:val="en-US" w:eastAsia="zh-CN"/>
        </w:rPr>
        <w:t>供应商</w:t>
      </w:r>
      <w:r>
        <w:rPr>
          <w:rFonts w:hint="eastAsia" w:ascii="新宋体" w:hAnsi="新宋体" w:eastAsia="新宋体" w:cs="新宋体"/>
          <w:b/>
          <w:color w:val="auto"/>
          <w:sz w:val="22"/>
          <w:szCs w:val="22"/>
          <w:highlight w:val="none"/>
          <w:u w:val="single"/>
        </w:rPr>
        <w:t>的投标</w:t>
      </w:r>
      <w:r>
        <w:rPr>
          <w:rFonts w:hint="eastAsia" w:ascii="新宋体" w:hAnsi="新宋体" w:eastAsia="新宋体" w:cs="新宋体"/>
          <w:b/>
          <w:color w:val="auto"/>
          <w:sz w:val="22"/>
          <w:szCs w:val="22"/>
          <w:highlight w:val="none"/>
          <w:u w:val="single"/>
          <w:lang w:val="en-US" w:eastAsia="zh-CN"/>
        </w:rPr>
        <w:t>总</w:t>
      </w:r>
      <w:r>
        <w:rPr>
          <w:rFonts w:hint="eastAsia" w:ascii="新宋体" w:hAnsi="新宋体" w:eastAsia="新宋体" w:cs="新宋体"/>
          <w:b/>
          <w:color w:val="auto"/>
          <w:sz w:val="22"/>
          <w:szCs w:val="22"/>
          <w:highlight w:val="none"/>
          <w:u w:val="single"/>
        </w:rPr>
        <w:t>价超过</w:t>
      </w:r>
      <w:r>
        <w:rPr>
          <w:rFonts w:hint="eastAsia" w:ascii="新宋体" w:hAnsi="新宋体" w:eastAsia="新宋体" w:cs="新宋体"/>
          <w:b/>
          <w:color w:val="auto"/>
          <w:sz w:val="22"/>
          <w:szCs w:val="22"/>
          <w:highlight w:val="none"/>
          <w:u w:val="single"/>
          <w:lang w:val="en-US" w:eastAsia="zh-CN"/>
        </w:rPr>
        <w:t>采购</w:t>
      </w:r>
      <w:r>
        <w:rPr>
          <w:rFonts w:hint="eastAsia" w:ascii="新宋体" w:hAnsi="新宋体" w:eastAsia="新宋体" w:cs="新宋体"/>
          <w:b/>
          <w:color w:val="auto"/>
          <w:sz w:val="22"/>
          <w:szCs w:val="22"/>
          <w:highlight w:val="none"/>
          <w:u w:val="single"/>
        </w:rPr>
        <w:t>预算的，按无效标处理。</w:t>
      </w:r>
    </w:p>
    <w:p w14:paraId="1F7C459B">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3.有效投标供应商的综合得分为技术资信分和商务（报价）分的总和。</w:t>
      </w:r>
    </w:p>
    <w:p w14:paraId="02AC3B55">
      <w:pPr>
        <w:pStyle w:val="29"/>
        <w:keepNext w:val="0"/>
        <w:keepLines w:val="0"/>
        <w:pageBreakBefore w:val="0"/>
        <w:widowControl w:val="0"/>
        <w:kinsoku/>
        <w:wordWrap/>
        <w:overflowPunct/>
        <w:topLinePunct w:val="0"/>
        <w:autoSpaceDE/>
        <w:autoSpaceDN/>
        <w:bidi w:val="0"/>
        <w:adjustRightInd/>
        <w:spacing w:line="360" w:lineRule="auto"/>
        <w:ind w:firstLine="220"/>
        <w:textAlignment w:val="auto"/>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color w:val="auto"/>
          <w:sz w:val="22"/>
          <w:szCs w:val="22"/>
          <w:highlight w:val="none"/>
        </w:rPr>
        <w:br w:type="page"/>
      </w:r>
      <w:r>
        <w:rPr>
          <w:rFonts w:hint="eastAsia" w:ascii="新宋体" w:hAnsi="新宋体" w:eastAsia="新宋体" w:cs="新宋体"/>
          <w:b/>
          <w:bCs/>
          <w:color w:val="auto"/>
          <w:kern w:val="0"/>
          <w:sz w:val="32"/>
          <w:szCs w:val="32"/>
          <w:highlight w:val="none"/>
        </w:rPr>
        <w:t>其他附件</w:t>
      </w:r>
      <w:r>
        <w:rPr>
          <w:rFonts w:hint="eastAsia" w:ascii="新宋体" w:hAnsi="新宋体" w:eastAsia="新宋体" w:cs="新宋体"/>
          <w:b/>
          <w:bCs/>
          <w:color w:val="auto"/>
          <w:kern w:val="0"/>
          <w:sz w:val="32"/>
          <w:szCs w:val="32"/>
          <w:highlight w:val="none"/>
          <w:lang w:val="en-US" w:eastAsia="zh-CN"/>
        </w:rPr>
        <w:t xml:space="preserve">一  </w:t>
      </w:r>
      <w:r>
        <w:rPr>
          <w:rFonts w:hint="eastAsia" w:ascii="新宋体" w:hAnsi="新宋体" w:eastAsia="新宋体" w:cs="新宋体"/>
          <w:b/>
          <w:bCs/>
          <w:color w:val="auto"/>
          <w:kern w:val="0"/>
          <w:sz w:val="22"/>
          <w:szCs w:val="22"/>
          <w:highlight w:val="none"/>
          <w:lang w:val="en-US" w:eastAsia="zh-CN"/>
        </w:rPr>
        <w:t xml:space="preserve">          </w:t>
      </w:r>
    </w:p>
    <w:p w14:paraId="66333C8B">
      <w:pPr>
        <w:pStyle w:val="29"/>
        <w:keepNext w:val="0"/>
        <w:keepLines w:val="0"/>
        <w:pageBreakBefore w:val="0"/>
        <w:widowControl w:val="0"/>
        <w:kinsoku/>
        <w:wordWrap/>
        <w:overflowPunct/>
        <w:topLinePunct w:val="0"/>
        <w:autoSpaceDE/>
        <w:autoSpaceDN/>
        <w:bidi w:val="0"/>
        <w:adjustRightInd/>
        <w:spacing w:line="360" w:lineRule="auto"/>
        <w:ind w:firstLine="2249" w:firstLineChars="700"/>
        <w:textAlignment w:val="auto"/>
        <w:rPr>
          <w:rFonts w:hint="eastAsia" w:ascii="黑体" w:hAnsi="黑体" w:eastAsia="黑体" w:cs="黑体"/>
          <w:b/>
          <w:bCs/>
          <w:color w:val="auto"/>
          <w:kern w:val="0"/>
          <w:sz w:val="32"/>
          <w:szCs w:val="32"/>
          <w:highlight w:val="none"/>
        </w:rPr>
      </w:pPr>
      <w:r>
        <w:rPr>
          <w:rFonts w:hint="eastAsia" w:ascii="黑体" w:hAnsi="黑体" w:eastAsia="黑体" w:cs="黑体"/>
          <w:b/>
          <w:bCs/>
          <w:color w:val="auto"/>
          <w:kern w:val="0"/>
          <w:sz w:val="32"/>
          <w:szCs w:val="32"/>
          <w:highlight w:val="none"/>
        </w:rPr>
        <w:t>国企采购活动现场确认声明书</w:t>
      </w:r>
    </w:p>
    <w:p w14:paraId="45ED37FF">
      <w:pPr>
        <w:pStyle w:val="157"/>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lang w:eastAsia="zh-CN"/>
        </w:rPr>
        <w:t>温州市数据集团有限公司</w:t>
      </w:r>
      <w:r>
        <w:rPr>
          <w:rFonts w:hint="eastAsia" w:ascii="新宋体" w:hAnsi="新宋体" w:eastAsia="新宋体" w:cs="新宋体"/>
          <w:color w:val="auto"/>
          <w:kern w:val="0"/>
          <w:sz w:val="22"/>
          <w:szCs w:val="22"/>
          <w:highlight w:val="none"/>
          <w:u w:val="single"/>
        </w:rPr>
        <w:t>:</w:t>
      </w:r>
    </w:p>
    <w:p w14:paraId="06B4CB77">
      <w:pPr>
        <w:pStyle w:val="157"/>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kern w:val="0"/>
          <w:sz w:val="22"/>
          <w:szCs w:val="22"/>
          <w:highlight w:val="none"/>
          <w:u w:val="single"/>
          <w:lang w:eastAsia="zh-CN"/>
        </w:rPr>
        <w:t>温州品立项目管理有限公司</w:t>
      </w:r>
      <w:r>
        <w:rPr>
          <w:rFonts w:hint="eastAsia" w:ascii="新宋体" w:hAnsi="新宋体" w:eastAsia="新宋体" w:cs="新宋体"/>
          <w:color w:val="auto"/>
          <w:kern w:val="0"/>
          <w:sz w:val="22"/>
          <w:szCs w:val="22"/>
          <w:highlight w:val="none"/>
        </w:rPr>
        <w:t>：</w:t>
      </w:r>
    </w:p>
    <w:p w14:paraId="2E59A218">
      <w:pPr>
        <w:pStyle w:val="157"/>
        <w:widowControl w:val="0"/>
        <w:snapToGrid w:val="0"/>
        <w:spacing w:line="500" w:lineRule="exact"/>
        <w:ind w:firstLine="464" w:firstLineChars="200"/>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本人经由</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u w:val="single"/>
          <w:lang w:val="en-US" w:eastAsia="zh-CN"/>
        </w:rPr>
        <w:t xml:space="preserve">        </w:t>
      </w:r>
      <w:r>
        <w:rPr>
          <w:rFonts w:hint="eastAsia" w:ascii="新宋体" w:hAnsi="新宋体" w:eastAsia="新宋体" w:cs="新宋体"/>
          <w:color w:val="auto"/>
          <w:spacing w:val="6"/>
          <w:sz w:val="22"/>
          <w:szCs w:val="22"/>
          <w:highlight w:val="none"/>
          <w:u w:val="single"/>
        </w:rPr>
        <w:t xml:space="preserve">           （单位</w:t>
      </w:r>
      <w:r>
        <w:rPr>
          <w:rFonts w:hint="eastAsia" w:ascii="新宋体" w:hAnsi="新宋体" w:eastAsia="新宋体" w:cs="新宋体"/>
          <w:color w:val="auto"/>
          <w:spacing w:val="6"/>
          <w:sz w:val="22"/>
          <w:szCs w:val="22"/>
          <w:highlight w:val="none"/>
          <w:u w:val="single"/>
          <w:lang w:val="en-US" w:eastAsia="zh-CN"/>
        </w:rPr>
        <w:t>名称</w:t>
      </w:r>
      <w:r>
        <w:rPr>
          <w:rFonts w:hint="eastAsia" w:ascii="新宋体" w:hAnsi="新宋体" w:eastAsia="新宋体" w:cs="新宋体"/>
          <w:color w:val="auto"/>
          <w:spacing w:val="6"/>
          <w:sz w:val="22"/>
          <w:szCs w:val="22"/>
          <w:highlight w:val="none"/>
          <w:u w:val="single"/>
        </w:rPr>
        <w:t>）</w:t>
      </w:r>
      <w:r>
        <w:rPr>
          <w:rFonts w:hint="eastAsia" w:ascii="新宋体" w:hAnsi="新宋体" w:eastAsia="新宋体" w:cs="新宋体"/>
          <w:color w:val="auto"/>
          <w:spacing w:val="6"/>
          <w:sz w:val="22"/>
          <w:szCs w:val="22"/>
          <w:highlight w:val="none"/>
          <w:u w:val="none"/>
          <w:lang w:val="en-US" w:eastAsia="zh-CN"/>
        </w:rPr>
        <w:t>法定代表人（</w:t>
      </w:r>
      <w:r>
        <w:rPr>
          <w:rFonts w:hint="eastAsia" w:ascii="新宋体" w:hAnsi="新宋体" w:eastAsia="新宋体" w:cs="新宋体"/>
          <w:color w:val="auto"/>
          <w:spacing w:val="6"/>
          <w:sz w:val="22"/>
          <w:szCs w:val="22"/>
          <w:highlight w:val="none"/>
        </w:rPr>
        <w:t>负责人</w:t>
      </w:r>
      <w:r>
        <w:rPr>
          <w:rFonts w:hint="eastAsia" w:ascii="新宋体" w:hAnsi="新宋体" w:eastAsia="新宋体" w:cs="新宋体"/>
          <w:color w:val="auto"/>
          <w:spacing w:val="6"/>
          <w:sz w:val="22"/>
          <w:szCs w:val="22"/>
          <w:highlight w:val="none"/>
          <w:lang w:eastAsia="zh-CN"/>
        </w:rPr>
        <w:t>）</w:t>
      </w:r>
      <w:r>
        <w:rPr>
          <w:rFonts w:hint="eastAsia" w:ascii="新宋体" w:hAnsi="新宋体" w:eastAsia="新宋体" w:cs="新宋体"/>
          <w:color w:val="auto"/>
          <w:spacing w:val="6"/>
          <w:sz w:val="22"/>
          <w:szCs w:val="22"/>
          <w:highlight w:val="none"/>
          <w:u w:val="single"/>
        </w:rPr>
        <w:t xml:space="preserve">        （姓名）</w:t>
      </w:r>
      <w:r>
        <w:rPr>
          <w:rFonts w:hint="eastAsia" w:ascii="新宋体" w:hAnsi="新宋体" w:eastAsia="新宋体" w:cs="新宋体"/>
          <w:color w:val="auto"/>
          <w:spacing w:val="6"/>
          <w:sz w:val="22"/>
          <w:szCs w:val="22"/>
          <w:highlight w:val="none"/>
        </w:rPr>
        <w:t>合法授权参加</w:t>
      </w:r>
      <w:r>
        <w:rPr>
          <w:rFonts w:hint="eastAsia" w:ascii="新宋体" w:hAnsi="新宋体" w:eastAsia="新宋体" w:cs="新宋体"/>
          <w:color w:val="auto"/>
          <w:spacing w:val="6"/>
          <w:sz w:val="22"/>
          <w:szCs w:val="22"/>
          <w:highlight w:val="none"/>
          <w:u w:val="single"/>
          <w:lang w:eastAsia="zh-CN"/>
        </w:rPr>
        <w:t>医疗专区智慧医疗数据综合流通平台-区域医疗综合管理系统及多元数据治理</w:t>
      </w:r>
      <w:r>
        <w:rPr>
          <w:rFonts w:hint="eastAsia" w:ascii="新宋体" w:hAnsi="新宋体" w:eastAsia="新宋体" w:cs="新宋体"/>
          <w:color w:val="auto"/>
          <w:spacing w:val="6"/>
          <w:sz w:val="22"/>
          <w:szCs w:val="22"/>
          <w:highlight w:val="none"/>
        </w:rPr>
        <w:t>项目（项目编号</w:t>
      </w:r>
      <w:r>
        <w:rPr>
          <w:rFonts w:hint="eastAsia" w:ascii="新宋体" w:hAnsi="新宋体" w:eastAsia="新宋体" w:cs="新宋体"/>
          <w:color w:val="auto"/>
          <w:spacing w:val="6"/>
          <w:sz w:val="22"/>
          <w:szCs w:val="22"/>
          <w:highlight w:val="none"/>
          <w:u w:val="single"/>
        </w:rPr>
        <w:t>：WGSS-GYNY-X-2025013</w:t>
      </w:r>
      <w:r>
        <w:rPr>
          <w:rFonts w:hint="eastAsia" w:ascii="新宋体" w:hAnsi="新宋体" w:eastAsia="新宋体" w:cs="新宋体"/>
          <w:color w:val="auto"/>
          <w:spacing w:val="6"/>
          <w:sz w:val="22"/>
          <w:szCs w:val="22"/>
          <w:highlight w:val="none"/>
        </w:rPr>
        <w:t xml:space="preserve">）国企采购活动，经与本单位法人代表（负责人）联系确认，现就有关公平竞争事项郑重声明如下： </w:t>
      </w:r>
    </w:p>
    <w:p w14:paraId="66E80B55">
      <w:pPr>
        <w:pStyle w:val="158"/>
        <w:widowControl/>
        <w:numPr>
          <w:ilvl w:val="0"/>
          <w:numId w:val="41"/>
        </w:numPr>
        <w:snapToGrid w:val="0"/>
        <w:spacing w:line="500" w:lineRule="exact"/>
        <w:ind w:firstLine="415" w:firstLineChars="189"/>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本单位与采购人之间 □不存在利害关系 □存在下列利害关系</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w:t>
      </w:r>
    </w:p>
    <w:p w14:paraId="6A77CC2B">
      <w:pPr>
        <w:pStyle w:val="158"/>
        <w:widowControl/>
        <w:snapToGrid w:val="0"/>
        <w:spacing w:line="5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    A.投资关系    B.行政隶属关系    C.业务指导关系</w:t>
      </w:r>
    </w:p>
    <w:p w14:paraId="1A6B8E1C">
      <w:pPr>
        <w:pStyle w:val="158"/>
        <w:widowControl/>
        <w:snapToGrid w:val="0"/>
        <w:spacing w:line="5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    D.其他可能</w:t>
      </w:r>
      <w:r>
        <w:rPr>
          <w:rFonts w:hint="eastAsia" w:ascii="新宋体" w:hAnsi="新宋体" w:eastAsia="新宋体" w:cs="新宋体"/>
          <w:color w:val="auto"/>
          <w:sz w:val="22"/>
          <w:szCs w:val="22"/>
          <w:highlight w:val="none"/>
        </w:rPr>
        <w:t>影响采购公正的</w:t>
      </w:r>
      <w:r>
        <w:rPr>
          <w:rFonts w:hint="eastAsia" w:ascii="新宋体" w:hAnsi="新宋体" w:eastAsia="新宋体" w:cs="新宋体"/>
          <w:color w:val="auto"/>
          <w:kern w:val="0"/>
          <w:sz w:val="22"/>
          <w:szCs w:val="22"/>
          <w:highlight w:val="none"/>
        </w:rPr>
        <w:t>利害关系</w:t>
      </w:r>
      <w:r>
        <w:rPr>
          <w:rFonts w:hint="eastAsia" w:ascii="新宋体" w:hAnsi="新宋体" w:eastAsia="新宋体" w:cs="新宋体"/>
          <w:color w:val="auto"/>
          <w:kern w:val="0"/>
          <w:sz w:val="22"/>
          <w:szCs w:val="22"/>
          <w:highlight w:val="none"/>
          <w:u w:val="single"/>
        </w:rPr>
        <w:t xml:space="preserve">（如有，请如实说明）                 </w:t>
      </w:r>
      <w:r>
        <w:rPr>
          <w:rFonts w:hint="eastAsia" w:ascii="新宋体" w:hAnsi="新宋体" w:eastAsia="新宋体" w:cs="新宋体"/>
          <w:color w:val="auto"/>
          <w:kern w:val="0"/>
          <w:sz w:val="22"/>
          <w:szCs w:val="22"/>
          <w:highlight w:val="none"/>
        </w:rPr>
        <w:t>。</w:t>
      </w:r>
    </w:p>
    <w:p w14:paraId="5C8CAB04">
      <w:pPr>
        <w:pStyle w:val="158"/>
        <w:widowControl/>
        <w:snapToGrid w:val="0"/>
        <w:spacing w:line="500" w:lineRule="exac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 xml:space="preserve">    二、</w:t>
      </w:r>
      <w:r>
        <w:rPr>
          <w:rFonts w:hint="eastAsia" w:ascii="新宋体" w:hAnsi="新宋体" w:eastAsia="新宋体" w:cs="新宋体"/>
          <w:color w:val="auto"/>
          <w:kern w:val="0"/>
          <w:sz w:val="22"/>
          <w:szCs w:val="22"/>
          <w:highlight w:val="none"/>
        </w:rPr>
        <w:t>现已清楚知道参加本项目采购活动的其他所有供应商名称，本单位 □与其他所有供应商之间均不存在利害关系 □与</w:t>
      </w:r>
      <w:r>
        <w:rPr>
          <w:rFonts w:hint="eastAsia" w:ascii="新宋体" w:hAnsi="新宋体" w:eastAsia="新宋体" w:cs="新宋体"/>
          <w:color w:val="auto"/>
          <w:kern w:val="0"/>
          <w:sz w:val="22"/>
          <w:szCs w:val="22"/>
          <w:highlight w:val="none"/>
          <w:u w:val="single"/>
        </w:rPr>
        <w:t xml:space="preserve">           （供应商名称）</w:t>
      </w:r>
      <w:r>
        <w:rPr>
          <w:rFonts w:hint="eastAsia" w:ascii="新宋体" w:hAnsi="新宋体" w:eastAsia="新宋体" w:cs="新宋体"/>
          <w:color w:val="auto"/>
          <w:kern w:val="0"/>
          <w:sz w:val="22"/>
          <w:szCs w:val="22"/>
          <w:highlight w:val="none"/>
        </w:rPr>
        <w:t>之间存在下列利害关系</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w:t>
      </w:r>
    </w:p>
    <w:p w14:paraId="6F680595">
      <w:pPr>
        <w:pStyle w:val="157"/>
        <w:widowControl w:val="0"/>
        <w:snapToGrid w:val="0"/>
        <w:spacing w:line="500" w:lineRule="exact"/>
        <w:jc w:val="both"/>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    A.法定代表人或负责人或实际控制人是同一人</w:t>
      </w:r>
    </w:p>
    <w:p w14:paraId="5FB90249">
      <w:pPr>
        <w:pStyle w:val="157"/>
        <w:widowControl w:val="0"/>
        <w:snapToGrid w:val="0"/>
        <w:spacing w:line="500" w:lineRule="exact"/>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kern w:val="0"/>
          <w:sz w:val="22"/>
          <w:szCs w:val="22"/>
          <w:highlight w:val="none"/>
        </w:rPr>
        <w:t xml:space="preserve">    B.法定代表人或负责人或实际控制人是夫妻关系</w:t>
      </w:r>
    </w:p>
    <w:p w14:paraId="390010C2">
      <w:pPr>
        <w:pStyle w:val="157"/>
        <w:widowControl w:val="0"/>
        <w:snapToGrid w:val="0"/>
        <w:spacing w:line="500" w:lineRule="exact"/>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kern w:val="0"/>
          <w:sz w:val="22"/>
          <w:szCs w:val="22"/>
          <w:highlight w:val="none"/>
        </w:rPr>
        <w:t xml:space="preserve">    C.法定代表人或负责人或实际控制人是直系血亲关系</w:t>
      </w:r>
    </w:p>
    <w:p w14:paraId="24022FB6">
      <w:pPr>
        <w:pStyle w:val="157"/>
        <w:widowControl w:val="0"/>
        <w:snapToGrid w:val="0"/>
        <w:spacing w:line="500" w:lineRule="exact"/>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kern w:val="0"/>
          <w:sz w:val="22"/>
          <w:szCs w:val="22"/>
          <w:highlight w:val="none"/>
        </w:rPr>
        <w:t xml:space="preserve">    D.法定代表人或负责人或实际控制人存在三代以内旁系血亲关系</w:t>
      </w:r>
    </w:p>
    <w:p w14:paraId="742D294A">
      <w:pPr>
        <w:pStyle w:val="157"/>
        <w:widowControl w:val="0"/>
        <w:snapToGrid w:val="0"/>
        <w:spacing w:line="500" w:lineRule="exact"/>
        <w:jc w:val="both"/>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    E.法定代表人或负责人或实际控制人存在近姻亲关系</w:t>
      </w:r>
    </w:p>
    <w:p w14:paraId="5250B9AC">
      <w:pPr>
        <w:pStyle w:val="157"/>
        <w:widowControl w:val="0"/>
        <w:snapToGrid w:val="0"/>
        <w:spacing w:line="500" w:lineRule="exact"/>
        <w:jc w:val="both"/>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    F.法定代表人或负责人或实际控制人存在股份控制或实际控制关系</w:t>
      </w:r>
    </w:p>
    <w:p w14:paraId="5D2D91A0">
      <w:pPr>
        <w:pStyle w:val="157"/>
        <w:widowControl w:val="0"/>
        <w:snapToGrid w:val="0"/>
        <w:spacing w:line="500" w:lineRule="exact"/>
        <w:jc w:val="both"/>
        <w:outlineLvl w:val="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    G.存在共同直接或间接投资设立子公司、联营企业和合营企业情况</w:t>
      </w:r>
    </w:p>
    <w:p w14:paraId="627FF95A">
      <w:pPr>
        <w:pStyle w:val="157"/>
        <w:widowControl w:val="0"/>
        <w:snapToGrid w:val="0"/>
        <w:spacing w:line="500" w:lineRule="exact"/>
        <w:jc w:val="both"/>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 xml:space="preserve">    H.存在分级代理或代销关系、同一生产制造商关系、</w:t>
      </w:r>
      <w:r>
        <w:rPr>
          <w:rFonts w:hint="eastAsia" w:ascii="新宋体" w:hAnsi="新宋体" w:eastAsia="新宋体" w:cs="新宋体"/>
          <w:color w:val="auto"/>
          <w:sz w:val="22"/>
          <w:szCs w:val="22"/>
          <w:highlight w:val="none"/>
        </w:rPr>
        <w:t>管理关系、重要业务（占主营业务收入50%以上）或重要财务往来关系（如融资）等其他实质性控制关系</w:t>
      </w:r>
    </w:p>
    <w:p w14:paraId="14E27A8B">
      <w:pPr>
        <w:pStyle w:val="157"/>
        <w:widowControl w:val="0"/>
        <w:snapToGrid w:val="0"/>
        <w:spacing w:line="500" w:lineRule="exact"/>
        <w:jc w:val="both"/>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z w:val="22"/>
          <w:szCs w:val="22"/>
          <w:highlight w:val="none"/>
        </w:rPr>
        <w:t xml:space="preserve">    I</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其他利害关系情况</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kern w:val="0"/>
          <w:sz w:val="22"/>
          <w:szCs w:val="22"/>
          <w:highlight w:val="none"/>
        </w:rPr>
        <w:t>。</w:t>
      </w:r>
    </w:p>
    <w:p w14:paraId="0B7A2C6A">
      <w:pPr>
        <w:pStyle w:val="158"/>
        <w:widowControl/>
        <w:numPr>
          <w:ilvl w:val="0"/>
          <w:numId w:val="42"/>
        </w:numPr>
        <w:snapToGrid w:val="0"/>
        <w:spacing w:line="500" w:lineRule="exact"/>
        <w:ind w:firstLine="415" w:firstLineChars="189"/>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现已清楚知道并</w:t>
      </w:r>
      <w:r>
        <w:rPr>
          <w:rFonts w:hint="eastAsia" w:ascii="新宋体" w:hAnsi="新宋体" w:eastAsia="新宋体" w:cs="新宋体"/>
          <w:color w:val="auto"/>
          <w:kern w:val="0"/>
          <w:sz w:val="22"/>
          <w:szCs w:val="22"/>
          <w:highlight w:val="none"/>
        </w:rPr>
        <w:t>严格遵守</w:t>
      </w:r>
      <w:r>
        <w:rPr>
          <w:rFonts w:hint="eastAsia" w:ascii="新宋体" w:hAnsi="新宋体" w:eastAsia="新宋体" w:cs="新宋体"/>
          <w:color w:val="auto"/>
          <w:kern w:val="0"/>
          <w:sz w:val="22"/>
          <w:szCs w:val="22"/>
          <w:highlight w:val="none"/>
          <w:lang w:eastAsia="zh-CN"/>
        </w:rPr>
        <w:t>国企采购</w:t>
      </w:r>
      <w:r>
        <w:rPr>
          <w:rFonts w:hint="eastAsia" w:ascii="新宋体" w:hAnsi="新宋体" w:eastAsia="新宋体" w:cs="新宋体"/>
          <w:color w:val="auto"/>
          <w:kern w:val="0"/>
          <w:sz w:val="22"/>
          <w:szCs w:val="22"/>
          <w:highlight w:val="none"/>
        </w:rPr>
        <w:t>法律法规和现场纪律。</w:t>
      </w:r>
    </w:p>
    <w:p w14:paraId="0E30EF2B">
      <w:pPr>
        <w:pStyle w:val="158"/>
        <w:widowControl/>
        <w:numPr>
          <w:ilvl w:val="0"/>
          <w:numId w:val="42"/>
        </w:numPr>
        <w:snapToGrid w:val="0"/>
        <w:spacing w:line="500" w:lineRule="exact"/>
        <w:ind w:firstLine="415" w:firstLineChars="189"/>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我发现</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供应商之间存在或可能存在上述第二条第</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项利害关系。</w:t>
      </w:r>
    </w:p>
    <w:p w14:paraId="6AFB5BEB">
      <w:pPr>
        <w:pStyle w:val="157"/>
        <w:widowControl w:val="0"/>
        <w:snapToGrid w:val="0"/>
        <w:spacing w:line="500" w:lineRule="exact"/>
        <w:ind w:firstLine="440" w:firstLineChars="200"/>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en-US" w:eastAsia="zh-CN"/>
        </w:rPr>
        <w:t>投标供应商</w:t>
      </w:r>
      <w:r>
        <w:rPr>
          <w:rFonts w:hint="eastAsia" w:ascii="新宋体" w:hAnsi="新宋体" w:eastAsia="新宋体" w:cs="新宋体"/>
          <w:color w:val="auto"/>
          <w:sz w:val="22"/>
          <w:szCs w:val="22"/>
          <w:highlight w:val="none"/>
        </w:rPr>
        <w:t>代表签</w:t>
      </w:r>
      <w:r>
        <w:rPr>
          <w:rFonts w:hint="eastAsia" w:ascii="新宋体" w:hAnsi="新宋体" w:eastAsia="新宋体" w:cs="新宋体"/>
          <w:color w:val="auto"/>
          <w:sz w:val="22"/>
          <w:szCs w:val="22"/>
          <w:highlight w:val="none"/>
          <w:lang w:val="en-US" w:eastAsia="zh-CN"/>
        </w:rPr>
        <w:t>字或盖章</w:t>
      </w:r>
      <w:r>
        <w:rPr>
          <w:rFonts w:hint="eastAsia" w:ascii="新宋体" w:hAnsi="新宋体" w:eastAsia="新宋体" w:cs="新宋体"/>
          <w:color w:val="auto"/>
          <w:sz w:val="22"/>
          <w:szCs w:val="22"/>
          <w:highlight w:val="none"/>
        </w:rPr>
        <w:t>）：</w:t>
      </w:r>
    </w:p>
    <w:p w14:paraId="16E5B293">
      <w:pPr>
        <w:pStyle w:val="14"/>
        <w:widowControl w:val="0"/>
        <w:adjustRightInd w:val="0"/>
        <w:snapToGrid w:val="0"/>
        <w:spacing w:line="360" w:lineRule="auto"/>
        <w:ind w:left="5280" w:hanging="5280" w:hangingChars="2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年   月   日</w:t>
      </w:r>
    </w:p>
    <w:p w14:paraId="102896FE">
      <w:pPr>
        <w:pStyle w:val="157"/>
        <w:widowControl w:val="0"/>
        <w:adjustRightInd w:val="0"/>
        <w:snapToGrid w:val="0"/>
        <w:spacing w:line="360" w:lineRule="auto"/>
        <w:jc w:val="both"/>
        <w:rPr>
          <w:rFonts w:hint="eastAsia" w:ascii="新宋体" w:hAnsi="新宋体" w:eastAsia="新宋体" w:cs="新宋体"/>
          <w:b/>
          <w:bCs/>
          <w:color w:val="auto"/>
          <w:kern w:val="0"/>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注：</w:t>
      </w:r>
      <w:r>
        <w:rPr>
          <w:rFonts w:hint="eastAsia" w:ascii="新宋体" w:hAnsi="新宋体" w:eastAsia="新宋体" w:cs="新宋体"/>
          <w:b/>
          <w:bCs/>
          <w:color w:val="auto"/>
          <w:sz w:val="22"/>
          <w:szCs w:val="22"/>
          <w:highlight w:val="none"/>
          <w:u w:val="single" w:color="auto"/>
          <w:lang w:val="en-US" w:eastAsia="zh-CN"/>
        </w:rPr>
        <w:t>项目开标后，按规定填写完成扫描后发送至采购代理机构邮箱：</w:t>
      </w:r>
      <w:r>
        <w:rPr>
          <w:rFonts w:hint="eastAsia" w:ascii="新宋体" w:hAnsi="新宋体" w:eastAsia="新宋体" w:cs="新宋体"/>
          <w:b/>
          <w:bCs/>
          <w:color w:val="auto"/>
          <w:sz w:val="22"/>
          <w:szCs w:val="22"/>
          <w:highlight w:val="none"/>
          <w:u w:val="single" w:color="auto"/>
          <w:lang w:val="en-US" w:eastAsia="zh-CN"/>
        </w:rPr>
        <w:fldChar w:fldCharType="begin"/>
      </w:r>
      <w:r>
        <w:rPr>
          <w:rFonts w:hint="eastAsia" w:ascii="新宋体" w:hAnsi="新宋体" w:eastAsia="新宋体" w:cs="新宋体"/>
          <w:b/>
          <w:bCs/>
          <w:color w:val="auto"/>
          <w:sz w:val="22"/>
          <w:szCs w:val="22"/>
          <w:highlight w:val="none"/>
          <w:u w:val="single" w:color="auto"/>
          <w:lang w:val="en-US" w:eastAsia="zh-CN"/>
        </w:rPr>
        <w:instrText xml:space="preserve"> HYPERLINK "mailto:53514766@qq.com。" </w:instrText>
      </w:r>
      <w:r>
        <w:rPr>
          <w:rFonts w:hint="eastAsia" w:ascii="新宋体" w:hAnsi="新宋体" w:eastAsia="新宋体" w:cs="新宋体"/>
          <w:b/>
          <w:bCs/>
          <w:color w:val="auto"/>
          <w:sz w:val="22"/>
          <w:szCs w:val="22"/>
          <w:highlight w:val="none"/>
          <w:u w:val="single" w:color="auto"/>
          <w:lang w:val="en-US" w:eastAsia="zh-CN"/>
        </w:rPr>
        <w:fldChar w:fldCharType="separate"/>
      </w:r>
      <w:r>
        <w:rPr>
          <w:rFonts w:hint="eastAsia" w:ascii="新宋体" w:hAnsi="新宋体" w:eastAsia="新宋体" w:cs="新宋体"/>
          <w:b/>
          <w:bCs/>
          <w:color w:val="auto"/>
          <w:sz w:val="22"/>
          <w:szCs w:val="22"/>
          <w:highlight w:val="none"/>
          <w:u w:val="single" w:color="auto"/>
          <w:lang w:val="en-US" w:eastAsia="zh-CN"/>
        </w:rPr>
        <w:t>53514766@qq.com。</w:t>
      </w:r>
      <w:r>
        <w:rPr>
          <w:rFonts w:hint="eastAsia" w:ascii="新宋体" w:hAnsi="新宋体" w:eastAsia="新宋体" w:cs="新宋体"/>
          <w:b/>
          <w:bCs/>
          <w:color w:val="auto"/>
          <w:sz w:val="22"/>
          <w:szCs w:val="22"/>
          <w:highlight w:val="none"/>
          <w:u w:val="single" w:color="auto"/>
          <w:lang w:val="en-US" w:eastAsia="zh-CN"/>
        </w:rPr>
        <w:fldChar w:fldCharType="end"/>
      </w:r>
    </w:p>
    <w:sectPr>
      <w:footerReference r:id="rId5" w:type="default"/>
      <w:pgSz w:w="11906" w:h="16838"/>
      <w:pgMar w:top="1134" w:right="1247" w:bottom="992" w:left="1417" w:header="851" w:footer="850" w:gutter="0"/>
      <w:pgBorders>
        <w:top w:val="none" w:sz="0" w:space="0"/>
        <w:left w:val="none" w:sz="0" w:space="0"/>
        <w:bottom w:val="none" w:sz="0" w:space="0"/>
        <w:right w:val="none" w:sz="0" w:space="0"/>
      </w:pgBorders>
      <w:pgNumType w:start="1"/>
      <w:cols w:space="720" w:num="1"/>
      <w:docGrid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长城仿宋">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CS?o｡ﾀ?">
    <w:altName w:val="Yu Gothic"/>
    <w:panose1 w:val="00000000000000000000"/>
    <w:charset w:val="80"/>
    <w:family w:val="auto"/>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Univers LT Std 57 Cn">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auto"/>
    <w:pitch w:val="default"/>
    <w:sig w:usb0="00000000" w:usb1="00000000" w:usb2="0000003F" w:usb3="00000000" w:csb0="603F01FF" w:csb1="FFFF0000"/>
  </w:font>
  <w:font w:name="PingFang SC Regular">
    <w:altName w:val="宋体"/>
    <w:panose1 w:val="020B0400000000000000"/>
    <w:charset w:val="86"/>
    <w:family w:val="auto"/>
    <w:pitch w:val="default"/>
    <w:sig w:usb0="00000000" w:usb1="00000000" w:usb2="00000017" w:usb3="00000000" w:csb0="00040001"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8D1CB">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7F9363">
    <w:pPr>
      <w:pStyle w:val="18"/>
    </w:pPr>
    <w:r>
      <w:rPr>
        <w:rFonts w:ascii="Times New Roman" w:hAnsi="Times New Roman" w:eastAsia="Wingdings"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DF777C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14:paraId="4DF777C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331C7F">
    <w:pPr>
      <w:pStyle w:val="2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9ADE7E"/>
    <w:multiLevelType w:val="singleLevel"/>
    <w:tmpl w:val="839ADE7E"/>
    <w:lvl w:ilvl="0" w:tentative="0">
      <w:start w:val="1"/>
      <w:numFmt w:val="decimal"/>
      <w:suff w:val="nothing"/>
      <w:lvlText w:val="%1．"/>
      <w:lvlJc w:val="left"/>
      <w:pPr>
        <w:ind w:left="0" w:firstLine="400"/>
      </w:pPr>
      <w:rPr>
        <w:rFonts w:hint="default"/>
      </w:rPr>
    </w:lvl>
  </w:abstractNum>
  <w:abstractNum w:abstractNumId="1">
    <w:nsid w:val="8A971587"/>
    <w:multiLevelType w:val="singleLevel"/>
    <w:tmpl w:val="8A971587"/>
    <w:lvl w:ilvl="0" w:tentative="0">
      <w:start w:val="1"/>
      <w:numFmt w:val="decimal"/>
      <w:suff w:val="nothing"/>
      <w:lvlText w:val="%1．"/>
      <w:lvlJc w:val="left"/>
      <w:pPr>
        <w:ind w:left="0" w:firstLine="400"/>
      </w:pPr>
      <w:rPr>
        <w:rFonts w:hint="default"/>
      </w:rPr>
    </w:lvl>
  </w:abstractNum>
  <w:abstractNum w:abstractNumId="2">
    <w:nsid w:val="8D6210F5"/>
    <w:multiLevelType w:val="singleLevel"/>
    <w:tmpl w:val="8D6210F5"/>
    <w:lvl w:ilvl="0" w:tentative="0">
      <w:start w:val="1"/>
      <w:numFmt w:val="decimal"/>
      <w:lvlText w:val="%1."/>
      <w:lvlJc w:val="left"/>
      <w:pPr>
        <w:tabs>
          <w:tab w:val="left" w:pos="317"/>
        </w:tabs>
      </w:pPr>
    </w:lvl>
  </w:abstractNum>
  <w:abstractNum w:abstractNumId="3">
    <w:nsid w:val="8E68FE63"/>
    <w:multiLevelType w:val="singleLevel"/>
    <w:tmpl w:val="8E68FE63"/>
    <w:lvl w:ilvl="0" w:tentative="0">
      <w:start w:val="1"/>
      <w:numFmt w:val="decimal"/>
      <w:suff w:val="nothing"/>
      <w:lvlText w:val="（%1）"/>
      <w:lvlJc w:val="left"/>
    </w:lvl>
  </w:abstractNum>
  <w:abstractNum w:abstractNumId="4">
    <w:nsid w:val="9566DA97"/>
    <w:multiLevelType w:val="singleLevel"/>
    <w:tmpl w:val="9566DA97"/>
    <w:lvl w:ilvl="0" w:tentative="0">
      <w:start w:val="1"/>
      <w:numFmt w:val="decimal"/>
      <w:suff w:val="nothing"/>
      <w:lvlText w:val="%1."/>
      <w:lvlJc w:val="left"/>
      <w:pPr>
        <w:ind w:left="425" w:hanging="425"/>
      </w:pPr>
      <w:rPr>
        <w:rFonts w:hint="default"/>
      </w:rPr>
    </w:lvl>
  </w:abstractNum>
  <w:abstractNum w:abstractNumId="5">
    <w:nsid w:val="9780D570"/>
    <w:multiLevelType w:val="singleLevel"/>
    <w:tmpl w:val="9780D570"/>
    <w:lvl w:ilvl="0" w:tentative="0">
      <w:start w:val="1"/>
      <w:numFmt w:val="decimal"/>
      <w:suff w:val="nothing"/>
      <w:lvlText w:val="%1．"/>
      <w:lvlJc w:val="left"/>
      <w:pPr>
        <w:ind w:left="0" w:firstLine="400"/>
      </w:pPr>
      <w:rPr>
        <w:rFonts w:hint="default"/>
      </w:rPr>
    </w:lvl>
  </w:abstractNum>
  <w:abstractNum w:abstractNumId="6">
    <w:nsid w:val="9A54B28B"/>
    <w:multiLevelType w:val="multilevel"/>
    <w:tmpl w:val="9A54B28B"/>
    <w:lvl w:ilvl="0" w:tentative="0">
      <w:start w:val="1"/>
      <w:numFmt w:val="decimal"/>
      <w:lvlText w:val="%1)"/>
      <w:lvlJc w:val="left"/>
      <w:pPr>
        <w:tabs>
          <w:tab w:val="left" w:pos="780"/>
        </w:tabs>
        <w:ind w:left="780" w:hanging="420"/>
      </w:pPr>
      <w:rPr>
        <w:rFonts w:hint="eastAsia" w:ascii="楷体_GB2312" w:hAnsi="Tahoma" w:eastAsia="楷体_GB2312" w:cs="Tahoma"/>
        <w:b w:val="0"/>
      </w:rPr>
    </w:lvl>
    <w:lvl w:ilvl="1" w:tentative="0">
      <w:start w:val="1"/>
      <w:numFmt w:val="lowerLetter"/>
      <w:lvlText w:val="%2)"/>
      <w:lvlJc w:val="left"/>
      <w:pPr>
        <w:tabs>
          <w:tab w:val="left" w:pos="840"/>
        </w:tabs>
        <w:ind w:left="840" w:hanging="420"/>
      </w:pPr>
      <w:rPr>
        <w:b w:val="0"/>
      </w:rPr>
    </w:lvl>
    <w:lvl w:ilvl="2" w:tentative="0">
      <w:start w:val="1"/>
      <w:numFmt w:val="chineseCountingThousand"/>
      <w:lvlText w:val="(%3)"/>
      <w:lvlJc w:val="left"/>
      <w:pPr>
        <w:tabs>
          <w:tab w:val="left" w:pos="600"/>
        </w:tabs>
        <w:ind w:left="600" w:hanging="420"/>
      </w:pPr>
      <w:rPr>
        <w:rFonts w:hint="eastAsia"/>
        <w:b w:val="0"/>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A1C00E30"/>
    <w:multiLevelType w:val="singleLevel"/>
    <w:tmpl w:val="A1C00E30"/>
    <w:lvl w:ilvl="0" w:tentative="0">
      <w:start w:val="2"/>
      <w:numFmt w:val="chineseCounting"/>
      <w:suff w:val="nothing"/>
      <w:lvlText w:val="（%1）"/>
      <w:lvlJc w:val="left"/>
      <w:rPr>
        <w:rFonts w:hint="eastAsia"/>
      </w:rPr>
    </w:lvl>
  </w:abstractNum>
  <w:abstractNum w:abstractNumId="8">
    <w:nsid w:val="A77E2A1D"/>
    <w:multiLevelType w:val="singleLevel"/>
    <w:tmpl w:val="A77E2A1D"/>
    <w:lvl w:ilvl="0" w:tentative="0">
      <w:start w:val="1"/>
      <w:numFmt w:val="decimal"/>
      <w:suff w:val="nothing"/>
      <w:lvlText w:val="%1、"/>
      <w:lvlJc w:val="left"/>
    </w:lvl>
  </w:abstractNum>
  <w:abstractNum w:abstractNumId="9">
    <w:nsid w:val="A82B16EE"/>
    <w:multiLevelType w:val="singleLevel"/>
    <w:tmpl w:val="A82B16EE"/>
    <w:lvl w:ilvl="0" w:tentative="0">
      <w:start w:val="1"/>
      <w:numFmt w:val="decimal"/>
      <w:suff w:val="nothing"/>
      <w:lvlText w:val="%1."/>
      <w:lvlJc w:val="left"/>
      <w:pPr>
        <w:ind w:left="425" w:hanging="425"/>
      </w:pPr>
      <w:rPr>
        <w:rFonts w:hint="default"/>
      </w:rPr>
    </w:lvl>
  </w:abstractNum>
  <w:abstractNum w:abstractNumId="10">
    <w:nsid w:val="AB5EBB91"/>
    <w:multiLevelType w:val="singleLevel"/>
    <w:tmpl w:val="AB5EBB91"/>
    <w:lvl w:ilvl="0" w:tentative="0">
      <w:start w:val="1"/>
      <w:numFmt w:val="decimal"/>
      <w:lvlText w:val="%1."/>
      <w:lvlJc w:val="left"/>
      <w:pPr>
        <w:tabs>
          <w:tab w:val="left" w:pos="312"/>
        </w:tabs>
      </w:pPr>
    </w:lvl>
  </w:abstractNum>
  <w:abstractNum w:abstractNumId="11">
    <w:nsid w:val="ABE370D3"/>
    <w:multiLevelType w:val="singleLevel"/>
    <w:tmpl w:val="ABE370D3"/>
    <w:lvl w:ilvl="0" w:tentative="0">
      <w:start w:val="1"/>
      <w:numFmt w:val="decimal"/>
      <w:suff w:val="nothing"/>
      <w:lvlText w:val="%1."/>
      <w:lvlJc w:val="left"/>
      <w:pPr>
        <w:ind w:left="425" w:hanging="425"/>
      </w:pPr>
      <w:rPr>
        <w:rFonts w:hint="default"/>
      </w:rPr>
    </w:lvl>
  </w:abstractNum>
  <w:abstractNum w:abstractNumId="12">
    <w:nsid w:val="CD917B02"/>
    <w:multiLevelType w:val="singleLevel"/>
    <w:tmpl w:val="CD917B02"/>
    <w:lvl w:ilvl="0" w:tentative="0">
      <w:start w:val="1"/>
      <w:numFmt w:val="decimal"/>
      <w:suff w:val="nothing"/>
      <w:lvlText w:val="%1."/>
      <w:lvlJc w:val="left"/>
      <w:pPr>
        <w:ind w:left="425" w:hanging="425"/>
      </w:pPr>
      <w:rPr>
        <w:rFonts w:hint="default"/>
      </w:rPr>
    </w:lvl>
  </w:abstractNum>
  <w:abstractNum w:abstractNumId="13">
    <w:nsid w:val="CF8BF56C"/>
    <w:multiLevelType w:val="singleLevel"/>
    <w:tmpl w:val="CF8BF56C"/>
    <w:lvl w:ilvl="0" w:tentative="0">
      <w:start w:val="1"/>
      <w:numFmt w:val="decimal"/>
      <w:lvlText w:val="%1."/>
      <w:lvlJc w:val="left"/>
      <w:pPr>
        <w:tabs>
          <w:tab w:val="left" w:pos="312"/>
        </w:tabs>
      </w:pPr>
    </w:lvl>
  </w:abstractNum>
  <w:abstractNum w:abstractNumId="14">
    <w:nsid w:val="F5CFF17F"/>
    <w:multiLevelType w:val="singleLevel"/>
    <w:tmpl w:val="F5CFF17F"/>
    <w:lvl w:ilvl="0" w:tentative="0">
      <w:start w:val="1"/>
      <w:numFmt w:val="decimal"/>
      <w:lvlText w:val="%1."/>
      <w:lvlJc w:val="left"/>
      <w:pPr>
        <w:tabs>
          <w:tab w:val="left" w:pos="312"/>
        </w:tabs>
      </w:pPr>
    </w:lvl>
  </w:abstractNum>
  <w:abstractNum w:abstractNumId="15">
    <w:nsid w:val="00000009"/>
    <w:multiLevelType w:val="multilevel"/>
    <w:tmpl w:val="00000009"/>
    <w:lvl w:ilvl="0" w:tentative="0">
      <w:start w:val="1"/>
      <w:numFmt w:val="decimalEnclosedCircleChinese"/>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decimalEnclosedCircleChinese"/>
      <w:lvlText w:val="%3　"/>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0000031"/>
    <w:multiLevelType w:val="multilevel"/>
    <w:tmpl w:val="00000031"/>
    <w:lvl w:ilvl="0" w:tentative="0">
      <w:start w:val="1"/>
      <w:numFmt w:val="none"/>
      <w:lvlText w:val="2"/>
      <w:lvlJc w:val="left"/>
      <w:pPr>
        <w:tabs>
          <w:tab w:val="left" w:pos="425"/>
        </w:tabs>
        <w:ind w:left="425" w:hanging="425"/>
      </w:pPr>
      <w:rPr>
        <w:rFonts w:hint="eastAsia"/>
      </w:rPr>
    </w:lvl>
    <w:lvl w:ilvl="1" w:tentative="0">
      <w:start w:val="1"/>
      <w:numFmt w:val="decimal"/>
      <w:lvlText w:val="%116.%2"/>
      <w:lvlJc w:val="left"/>
      <w:pPr>
        <w:tabs>
          <w:tab w:val="left" w:pos="992"/>
        </w:tabs>
        <w:ind w:left="992" w:hanging="567"/>
      </w:pPr>
      <w:rPr>
        <w:rFonts w:hint="eastAsia" w:ascii="新宋体" w:hAnsi="新宋体" w:eastAsia="新宋体" w:cs="黑体"/>
      </w:rPr>
    </w:lvl>
    <w:lvl w:ilvl="2" w:tentative="0">
      <w:start w:val="1"/>
      <w:numFmt w:val="decimal"/>
      <w:lvlText w:val="%1.%2.%3"/>
      <w:lvlJc w:val="left"/>
      <w:pPr>
        <w:tabs>
          <w:tab w:val="left" w:pos="1571"/>
        </w:tabs>
        <w:ind w:left="1418" w:hanging="56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17">
    <w:nsid w:val="04D1D74C"/>
    <w:multiLevelType w:val="singleLevel"/>
    <w:tmpl w:val="04D1D74C"/>
    <w:lvl w:ilvl="0" w:tentative="0">
      <w:start w:val="1"/>
      <w:numFmt w:val="decimal"/>
      <w:suff w:val="nothing"/>
      <w:lvlText w:val="%1."/>
      <w:lvlJc w:val="left"/>
      <w:pPr>
        <w:ind w:left="425" w:hanging="425"/>
      </w:pPr>
      <w:rPr>
        <w:rFonts w:hint="default"/>
      </w:rPr>
    </w:lvl>
  </w:abstractNum>
  <w:abstractNum w:abstractNumId="18">
    <w:nsid w:val="05FE0DEB"/>
    <w:multiLevelType w:val="multilevel"/>
    <w:tmpl w:val="05FE0DEB"/>
    <w:lvl w:ilvl="0" w:tentative="0">
      <w:start w:val="1"/>
      <w:numFmt w:val="none"/>
      <w:lvlText w:val="2"/>
      <w:lvlJc w:val="left"/>
      <w:pPr>
        <w:tabs>
          <w:tab w:val="left" w:pos="425"/>
        </w:tabs>
        <w:ind w:left="425" w:hanging="425"/>
      </w:pPr>
      <w:rPr>
        <w:rFonts w:hint="eastAsia"/>
      </w:rPr>
    </w:lvl>
    <w:lvl w:ilvl="1" w:tentative="0">
      <w:start w:val="1"/>
      <w:numFmt w:val="decimal"/>
      <w:lvlText w:val="%117.%2"/>
      <w:lvlJc w:val="left"/>
      <w:pPr>
        <w:tabs>
          <w:tab w:val="left" w:pos="992"/>
        </w:tabs>
        <w:ind w:left="992" w:hanging="567"/>
      </w:pPr>
      <w:rPr>
        <w:rFonts w:hint="eastAsia" w:ascii="新宋体" w:hAnsi="新宋体" w:eastAsia="新宋体" w:cs="黑体"/>
      </w:rPr>
    </w:lvl>
    <w:lvl w:ilvl="2" w:tentative="0">
      <w:start w:val="1"/>
      <w:numFmt w:val="decimal"/>
      <w:lvlText w:val="%1.%2.%3"/>
      <w:lvlJc w:val="left"/>
      <w:pPr>
        <w:tabs>
          <w:tab w:val="left" w:pos="1571"/>
        </w:tabs>
        <w:ind w:left="1418" w:hanging="56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19">
    <w:nsid w:val="0A04B3A6"/>
    <w:multiLevelType w:val="singleLevel"/>
    <w:tmpl w:val="0A04B3A6"/>
    <w:lvl w:ilvl="0" w:tentative="0">
      <w:start w:val="1"/>
      <w:numFmt w:val="decimal"/>
      <w:lvlText w:val="%1."/>
      <w:lvlJc w:val="left"/>
      <w:pPr>
        <w:tabs>
          <w:tab w:val="left" w:pos="312"/>
        </w:tabs>
      </w:pPr>
    </w:lvl>
  </w:abstractNum>
  <w:abstractNum w:abstractNumId="20">
    <w:nsid w:val="0C7783D4"/>
    <w:multiLevelType w:val="singleLevel"/>
    <w:tmpl w:val="0C7783D4"/>
    <w:lvl w:ilvl="0" w:tentative="0">
      <w:start w:val="1"/>
      <w:numFmt w:val="decimal"/>
      <w:suff w:val="nothing"/>
      <w:lvlText w:val="%1."/>
      <w:lvlJc w:val="left"/>
      <w:pPr>
        <w:ind w:left="425" w:hanging="425"/>
      </w:pPr>
      <w:rPr>
        <w:rFonts w:hint="default"/>
      </w:rPr>
    </w:lvl>
  </w:abstractNum>
  <w:abstractNum w:abstractNumId="21">
    <w:nsid w:val="1331E5EC"/>
    <w:multiLevelType w:val="singleLevel"/>
    <w:tmpl w:val="1331E5EC"/>
    <w:lvl w:ilvl="0" w:tentative="0">
      <w:start w:val="1"/>
      <w:numFmt w:val="decimal"/>
      <w:suff w:val="nothing"/>
      <w:lvlText w:val="%1."/>
      <w:lvlJc w:val="left"/>
      <w:pPr>
        <w:ind w:left="425" w:hanging="425"/>
      </w:pPr>
      <w:rPr>
        <w:rFonts w:hint="default"/>
      </w:rPr>
    </w:lvl>
  </w:abstractNum>
  <w:abstractNum w:abstractNumId="22">
    <w:nsid w:val="16A6A773"/>
    <w:multiLevelType w:val="singleLevel"/>
    <w:tmpl w:val="16A6A773"/>
    <w:lvl w:ilvl="0" w:tentative="0">
      <w:start w:val="1"/>
      <w:numFmt w:val="decimal"/>
      <w:lvlText w:val="%1."/>
      <w:lvlJc w:val="left"/>
      <w:pPr>
        <w:tabs>
          <w:tab w:val="left" w:pos="312"/>
        </w:tabs>
      </w:pPr>
    </w:lvl>
  </w:abstractNum>
  <w:abstractNum w:abstractNumId="23">
    <w:nsid w:val="17501AC2"/>
    <w:multiLevelType w:val="singleLevel"/>
    <w:tmpl w:val="17501AC2"/>
    <w:lvl w:ilvl="0" w:tentative="0">
      <w:start w:val="1"/>
      <w:numFmt w:val="decimalEnclosedCircleChinese"/>
      <w:suff w:val="nothing"/>
      <w:lvlText w:val="%1　"/>
      <w:lvlJc w:val="left"/>
      <w:pPr>
        <w:ind w:left="0" w:firstLine="400"/>
      </w:pPr>
      <w:rPr>
        <w:rFonts w:hint="eastAsia"/>
      </w:rPr>
    </w:lvl>
  </w:abstractNum>
  <w:abstractNum w:abstractNumId="24">
    <w:nsid w:val="18811736"/>
    <w:multiLevelType w:val="singleLevel"/>
    <w:tmpl w:val="18811736"/>
    <w:lvl w:ilvl="0" w:tentative="0">
      <w:start w:val="1"/>
      <w:numFmt w:val="decimal"/>
      <w:suff w:val="nothing"/>
      <w:lvlText w:val="%1."/>
      <w:lvlJc w:val="left"/>
      <w:pPr>
        <w:ind w:left="425" w:hanging="425"/>
      </w:pPr>
      <w:rPr>
        <w:rFonts w:hint="default"/>
      </w:rPr>
    </w:lvl>
  </w:abstractNum>
  <w:abstractNum w:abstractNumId="25">
    <w:nsid w:val="18E9552C"/>
    <w:multiLevelType w:val="multilevel"/>
    <w:tmpl w:val="18E9552C"/>
    <w:lvl w:ilvl="0" w:tentative="0">
      <w:start w:val="1"/>
      <w:numFmt w:val="decimal"/>
      <w:pStyle w:val="162"/>
      <w:suff w:val="space"/>
      <w:lvlText w:val="%1"/>
      <w:lvlJc w:val="left"/>
      <w:pPr>
        <w:ind w:left="432" w:hanging="432"/>
      </w:pPr>
      <w:rPr>
        <w:rFonts w:hint="eastAsia"/>
      </w:rPr>
    </w:lvl>
    <w:lvl w:ilvl="1" w:tentative="0">
      <w:start w:val="1"/>
      <w:numFmt w:val="decimal"/>
      <w:suff w:val="space"/>
      <w:lvlText w:val="%1.%2"/>
      <w:lvlJc w:val="left"/>
      <w:pPr>
        <w:ind w:left="576" w:hanging="576"/>
      </w:pPr>
      <w:rPr>
        <w:rFonts w:hint="eastAsia"/>
      </w:rPr>
    </w:lvl>
    <w:lvl w:ilvl="2" w:tentative="0">
      <w:start w:val="1"/>
      <w:numFmt w:val="decimal"/>
      <w:pStyle w:val="161"/>
      <w:suff w:val="space"/>
      <w:lvlText w:val="%1.%2.%3"/>
      <w:lvlJc w:val="left"/>
      <w:pPr>
        <w:ind w:left="720" w:hanging="720"/>
      </w:pPr>
      <w:rPr>
        <w:rFonts w:hint="default" w:ascii="Times New Roman" w:hAnsi="Times New Roman" w:cs="Times New Roman"/>
      </w:rPr>
    </w:lvl>
    <w:lvl w:ilvl="3" w:tentative="0">
      <w:start w:val="1"/>
      <w:numFmt w:val="decimal"/>
      <w:suff w:val="space"/>
      <w:lvlText w:val="%1.%2.%3.%4"/>
      <w:lvlJc w:val="left"/>
      <w:pPr>
        <w:ind w:left="864" w:hanging="864"/>
      </w:pPr>
      <w:rPr>
        <w:rFonts w:hint="default" w:ascii="Times New Roman" w:hAnsi="Times New Roman" w:cs="Times New Roman"/>
      </w:rPr>
    </w:lvl>
    <w:lvl w:ilvl="4" w:tentative="0">
      <w:start w:val="1"/>
      <w:numFmt w:val="decimal"/>
      <w:suff w:val="space"/>
      <w:lvlText w:val="%1.%2.%3.%4.%5"/>
      <w:lvlJc w:val="left"/>
      <w:pPr>
        <w:ind w:left="0" w:firstLine="0"/>
      </w:pPr>
      <w:rPr>
        <w:rFonts w:hint="eastAsia"/>
      </w:rPr>
    </w:lvl>
    <w:lvl w:ilvl="5" w:tentative="0">
      <w:start w:val="1"/>
      <w:numFmt w:val="decimal"/>
      <w:suff w:val="space"/>
      <w:lvlText w:val="%1.%2.%3.%4.%5.%6"/>
      <w:lvlJc w:val="left"/>
      <w:pPr>
        <w:ind w:left="0" w:firstLine="0"/>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26">
    <w:nsid w:val="18EF380F"/>
    <w:multiLevelType w:val="multilevel"/>
    <w:tmpl w:val="18EF380F"/>
    <w:lvl w:ilvl="0" w:tentative="0">
      <w:start w:val="1"/>
      <w:numFmt w:val="none"/>
      <w:lvlText w:val="2"/>
      <w:lvlJc w:val="left"/>
      <w:pPr>
        <w:tabs>
          <w:tab w:val="left" w:pos="425"/>
        </w:tabs>
        <w:ind w:left="425" w:hanging="425"/>
      </w:pPr>
      <w:rPr>
        <w:rFonts w:hint="eastAsia"/>
      </w:rPr>
    </w:lvl>
    <w:lvl w:ilvl="1" w:tentative="0">
      <w:start w:val="1"/>
      <w:numFmt w:val="decimal"/>
      <w:lvlText w:val="%114.%2"/>
      <w:lvlJc w:val="left"/>
      <w:pPr>
        <w:tabs>
          <w:tab w:val="left" w:pos="992"/>
        </w:tabs>
        <w:ind w:left="992" w:hanging="567"/>
      </w:pPr>
      <w:rPr>
        <w:rFonts w:hint="eastAsia" w:ascii="新宋体" w:hAnsi="新宋体" w:eastAsia="新宋体" w:cs="黑体"/>
        <w:b w:val="0"/>
      </w:rPr>
    </w:lvl>
    <w:lvl w:ilvl="2" w:tentative="0">
      <w:start w:val="1"/>
      <w:numFmt w:val="decimal"/>
      <w:lvlText w:val="%1.%2.%3"/>
      <w:lvlJc w:val="left"/>
      <w:pPr>
        <w:tabs>
          <w:tab w:val="left" w:pos="1571"/>
        </w:tabs>
        <w:ind w:left="1418" w:hanging="56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27">
    <w:nsid w:val="190B19B8"/>
    <w:multiLevelType w:val="singleLevel"/>
    <w:tmpl w:val="190B19B8"/>
    <w:lvl w:ilvl="0" w:tentative="0">
      <w:start w:val="1"/>
      <w:numFmt w:val="decimal"/>
      <w:lvlText w:val="%1."/>
      <w:lvlJc w:val="left"/>
      <w:pPr>
        <w:tabs>
          <w:tab w:val="left" w:pos="312"/>
        </w:tabs>
      </w:pPr>
    </w:lvl>
  </w:abstractNum>
  <w:abstractNum w:abstractNumId="28">
    <w:nsid w:val="2434239E"/>
    <w:multiLevelType w:val="multilevel"/>
    <w:tmpl w:val="2434239E"/>
    <w:lvl w:ilvl="0" w:tentative="0">
      <w:start w:val="1"/>
      <w:numFmt w:val="decimal"/>
      <w:lvlText w:val="%1."/>
      <w:lvlJc w:val="left"/>
      <w:pPr>
        <w:tabs>
          <w:tab w:val="left" w:pos="420"/>
        </w:tabs>
        <w:ind w:left="420" w:hanging="420"/>
      </w:pPr>
      <w:rPr>
        <w:rFonts w:hint="eastAsia" w:ascii="新宋体" w:hAnsi="新宋体" w:eastAsia="新宋体" w:cs="黑体"/>
      </w:rPr>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29">
    <w:nsid w:val="256D7535"/>
    <w:multiLevelType w:val="singleLevel"/>
    <w:tmpl w:val="256D7535"/>
    <w:lvl w:ilvl="0" w:tentative="0">
      <w:start w:val="1"/>
      <w:numFmt w:val="decimal"/>
      <w:lvlText w:val="%1."/>
      <w:lvlJc w:val="left"/>
      <w:pPr>
        <w:tabs>
          <w:tab w:val="left" w:pos="312"/>
        </w:tabs>
      </w:pPr>
    </w:lvl>
  </w:abstractNum>
  <w:abstractNum w:abstractNumId="30">
    <w:nsid w:val="37E9328B"/>
    <w:multiLevelType w:val="multilevel"/>
    <w:tmpl w:val="37E9328B"/>
    <w:lvl w:ilvl="0" w:tentative="0">
      <w:start w:val="1"/>
      <w:numFmt w:val="none"/>
      <w:lvlText w:val="2"/>
      <w:lvlJc w:val="left"/>
      <w:pPr>
        <w:tabs>
          <w:tab w:val="left" w:pos="425"/>
        </w:tabs>
        <w:ind w:left="425" w:hanging="425"/>
      </w:pPr>
      <w:rPr>
        <w:rFonts w:hint="eastAsia"/>
      </w:rPr>
    </w:lvl>
    <w:lvl w:ilvl="1" w:tentative="0">
      <w:start w:val="1"/>
      <w:numFmt w:val="decimal"/>
      <w:lvlText w:val="%118.%2"/>
      <w:lvlJc w:val="left"/>
      <w:pPr>
        <w:tabs>
          <w:tab w:val="left" w:pos="992"/>
        </w:tabs>
        <w:ind w:left="992" w:hanging="567"/>
      </w:pPr>
      <w:rPr>
        <w:rFonts w:hint="eastAsia" w:ascii="新宋体" w:hAnsi="新宋体" w:eastAsia="新宋体" w:cs="黑体"/>
      </w:rPr>
    </w:lvl>
    <w:lvl w:ilvl="2" w:tentative="0">
      <w:start w:val="1"/>
      <w:numFmt w:val="decimal"/>
      <w:lvlText w:val="%1.%2.%3"/>
      <w:lvlJc w:val="left"/>
      <w:pPr>
        <w:tabs>
          <w:tab w:val="left" w:pos="1571"/>
        </w:tabs>
        <w:ind w:left="1418" w:hanging="56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31">
    <w:nsid w:val="468A61D0"/>
    <w:multiLevelType w:val="singleLevel"/>
    <w:tmpl w:val="468A61D0"/>
    <w:lvl w:ilvl="0" w:tentative="0">
      <w:start w:val="2"/>
      <w:numFmt w:val="chineseCounting"/>
      <w:suff w:val="space"/>
      <w:lvlText w:val="第%1部分"/>
      <w:lvlJc w:val="left"/>
      <w:rPr>
        <w:rFonts w:hint="eastAsia"/>
      </w:rPr>
    </w:lvl>
  </w:abstractNum>
  <w:abstractNum w:abstractNumId="32">
    <w:nsid w:val="4A5D258E"/>
    <w:multiLevelType w:val="multilevel"/>
    <w:tmpl w:val="4A5D258E"/>
    <w:lvl w:ilvl="0" w:tentative="0">
      <w:start w:val="5"/>
      <w:numFmt w:val="decimal"/>
      <w:lvlText w:val="%1."/>
      <w:lvlJc w:val="left"/>
      <w:pPr>
        <w:tabs>
          <w:tab w:val="left" w:pos="2264"/>
        </w:tabs>
        <w:ind w:left="2264" w:hanging="420"/>
      </w:pPr>
      <w:rPr>
        <w:rFonts w:hint="eastAsia" w:ascii="新宋体" w:hAnsi="新宋体" w:eastAsia="新宋体" w:cs="Tahoma"/>
      </w:rPr>
    </w:lvl>
    <w:lvl w:ilvl="1" w:tentative="0">
      <w:start w:val="0"/>
      <w:numFmt w:val="none"/>
      <w:lvlText w:val=""/>
      <w:lvlJc w:val="left"/>
      <w:pPr>
        <w:tabs>
          <w:tab w:val="left" w:pos="360"/>
        </w:tabs>
        <w:ind w:left="0" w:firstLine="0"/>
      </w:pPr>
      <w:rPr>
        <w:rFonts w:hint="eastAsia"/>
      </w:rPr>
    </w:lvl>
    <w:lvl w:ilvl="2" w:tentative="0">
      <w:start w:val="0"/>
      <w:numFmt w:val="none"/>
      <w:lvlText w:val=""/>
      <w:lvlJc w:val="left"/>
      <w:pPr>
        <w:tabs>
          <w:tab w:val="left" w:pos="360"/>
        </w:tabs>
        <w:ind w:left="0" w:firstLine="0"/>
      </w:pPr>
      <w:rPr>
        <w:rFonts w:hint="eastAsia"/>
      </w:rPr>
    </w:lvl>
    <w:lvl w:ilvl="3" w:tentative="0">
      <w:start w:val="0"/>
      <w:numFmt w:val="none"/>
      <w:lvlText w:val=""/>
      <w:lvlJc w:val="left"/>
      <w:pPr>
        <w:tabs>
          <w:tab w:val="left" w:pos="360"/>
        </w:tabs>
        <w:ind w:left="0" w:firstLine="0"/>
      </w:pPr>
      <w:rPr>
        <w:rFonts w:hint="eastAsia"/>
      </w:rPr>
    </w:lvl>
    <w:lvl w:ilvl="4" w:tentative="0">
      <w:start w:val="0"/>
      <w:numFmt w:val="none"/>
      <w:lvlText w:val=""/>
      <w:lvlJc w:val="left"/>
      <w:pPr>
        <w:tabs>
          <w:tab w:val="left" w:pos="360"/>
        </w:tabs>
        <w:ind w:left="0" w:firstLine="0"/>
      </w:pPr>
      <w:rPr>
        <w:rFonts w:hint="eastAsia"/>
      </w:rPr>
    </w:lvl>
    <w:lvl w:ilvl="5" w:tentative="0">
      <w:start w:val="0"/>
      <w:numFmt w:val="none"/>
      <w:lvlText w:val=""/>
      <w:lvlJc w:val="left"/>
      <w:pPr>
        <w:tabs>
          <w:tab w:val="left" w:pos="360"/>
        </w:tabs>
        <w:ind w:left="0" w:firstLine="0"/>
      </w:pPr>
      <w:rPr>
        <w:rFonts w:hint="eastAsia"/>
      </w:rPr>
    </w:lvl>
    <w:lvl w:ilvl="6" w:tentative="0">
      <w:start w:val="0"/>
      <w:numFmt w:val="none"/>
      <w:lvlText w:val=""/>
      <w:lvlJc w:val="left"/>
      <w:pPr>
        <w:tabs>
          <w:tab w:val="left" w:pos="360"/>
        </w:tabs>
        <w:ind w:left="0" w:firstLine="0"/>
      </w:pPr>
      <w:rPr>
        <w:rFonts w:hint="eastAsia"/>
      </w:rPr>
    </w:lvl>
    <w:lvl w:ilvl="7" w:tentative="0">
      <w:start w:val="0"/>
      <w:numFmt w:val="none"/>
      <w:lvlText w:val=""/>
      <w:lvlJc w:val="left"/>
      <w:pPr>
        <w:tabs>
          <w:tab w:val="left" w:pos="360"/>
        </w:tabs>
        <w:ind w:left="0" w:firstLine="0"/>
      </w:pPr>
      <w:rPr>
        <w:rFonts w:hint="eastAsia"/>
      </w:rPr>
    </w:lvl>
    <w:lvl w:ilvl="8" w:tentative="0">
      <w:start w:val="0"/>
      <w:numFmt w:val="none"/>
      <w:lvlText w:val=""/>
      <w:lvlJc w:val="left"/>
      <w:pPr>
        <w:tabs>
          <w:tab w:val="left" w:pos="360"/>
        </w:tabs>
        <w:ind w:left="0" w:firstLine="0"/>
      </w:pPr>
      <w:rPr>
        <w:rFonts w:hint="eastAsia"/>
      </w:rPr>
    </w:lvl>
  </w:abstractNum>
  <w:abstractNum w:abstractNumId="33">
    <w:nsid w:val="50CC72CE"/>
    <w:multiLevelType w:val="multilevel"/>
    <w:tmpl w:val="50CC72CE"/>
    <w:lvl w:ilvl="0" w:tentative="0">
      <w:start w:val="1"/>
      <w:numFmt w:val="none"/>
      <w:lvlText w:val="2"/>
      <w:lvlJc w:val="left"/>
      <w:pPr>
        <w:tabs>
          <w:tab w:val="left" w:pos="425"/>
        </w:tabs>
        <w:ind w:left="425" w:hanging="425"/>
      </w:pPr>
      <w:rPr>
        <w:rFonts w:hint="eastAsia"/>
      </w:rPr>
    </w:lvl>
    <w:lvl w:ilvl="1" w:tentative="0">
      <w:start w:val="1"/>
      <w:numFmt w:val="decimal"/>
      <w:lvlText w:val="%113.%2"/>
      <w:lvlJc w:val="left"/>
      <w:pPr>
        <w:tabs>
          <w:tab w:val="left" w:pos="992"/>
        </w:tabs>
        <w:ind w:left="992" w:hanging="567"/>
      </w:pPr>
      <w:rPr>
        <w:rFonts w:hint="eastAsia" w:ascii="新宋体" w:hAnsi="新宋体" w:eastAsia="新宋体" w:cs="黑体"/>
      </w:rPr>
    </w:lvl>
    <w:lvl w:ilvl="2" w:tentative="0">
      <w:start w:val="1"/>
      <w:numFmt w:val="decimal"/>
      <w:lvlText w:val="%1.%2.%3"/>
      <w:lvlJc w:val="left"/>
      <w:pPr>
        <w:tabs>
          <w:tab w:val="left" w:pos="1571"/>
        </w:tabs>
        <w:ind w:left="1418" w:hanging="56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34">
    <w:nsid w:val="54E3DE17"/>
    <w:multiLevelType w:val="singleLevel"/>
    <w:tmpl w:val="54E3DE17"/>
    <w:lvl w:ilvl="0" w:tentative="0">
      <w:start w:val="1"/>
      <w:numFmt w:val="decimal"/>
      <w:suff w:val="nothing"/>
      <w:lvlText w:val="%1."/>
      <w:lvlJc w:val="left"/>
      <w:pPr>
        <w:ind w:left="425" w:hanging="425"/>
      </w:pPr>
      <w:rPr>
        <w:rFonts w:hint="default"/>
      </w:rPr>
    </w:lvl>
  </w:abstractNum>
  <w:abstractNum w:abstractNumId="35">
    <w:nsid w:val="54F403B5"/>
    <w:multiLevelType w:val="singleLevel"/>
    <w:tmpl w:val="54F403B5"/>
    <w:lvl w:ilvl="0" w:tentative="0">
      <w:start w:val="1"/>
      <w:numFmt w:val="chineseCounting"/>
      <w:suff w:val="nothing"/>
      <w:lvlText w:val="%1、"/>
      <w:lvlJc w:val="left"/>
    </w:lvl>
  </w:abstractNum>
  <w:abstractNum w:abstractNumId="36">
    <w:nsid w:val="557FD3DA"/>
    <w:multiLevelType w:val="singleLevel"/>
    <w:tmpl w:val="557FD3DA"/>
    <w:lvl w:ilvl="0" w:tentative="0">
      <w:start w:val="3"/>
      <w:numFmt w:val="chineseCounting"/>
      <w:suff w:val="nothing"/>
      <w:lvlText w:val="%1、"/>
      <w:lvlJc w:val="left"/>
    </w:lvl>
  </w:abstractNum>
  <w:abstractNum w:abstractNumId="37">
    <w:nsid w:val="6E109C7E"/>
    <w:multiLevelType w:val="singleLevel"/>
    <w:tmpl w:val="6E109C7E"/>
    <w:lvl w:ilvl="0" w:tentative="0">
      <w:start w:val="1"/>
      <w:numFmt w:val="decimal"/>
      <w:suff w:val="nothing"/>
      <w:lvlText w:val="（%1）"/>
      <w:lvlJc w:val="left"/>
    </w:lvl>
  </w:abstractNum>
  <w:abstractNum w:abstractNumId="38">
    <w:nsid w:val="6F9E3E9C"/>
    <w:multiLevelType w:val="multilevel"/>
    <w:tmpl w:val="6F9E3E9C"/>
    <w:lvl w:ilvl="0" w:tentative="0">
      <w:start w:val="1"/>
      <w:numFmt w:val="none"/>
      <w:lvlText w:val="2"/>
      <w:lvlJc w:val="left"/>
      <w:pPr>
        <w:tabs>
          <w:tab w:val="left" w:pos="425"/>
        </w:tabs>
        <w:ind w:left="425" w:hanging="425"/>
      </w:pPr>
      <w:rPr>
        <w:rFonts w:hint="eastAsia"/>
      </w:rPr>
    </w:lvl>
    <w:lvl w:ilvl="1" w:tentative="0">
      <w:start w:val="1"/>
      <w:numFmt w:val="decimal"/>
      <w:lvlText w:val="%115.%2"/>
      <w:lvlJc w:val="left"/>
      <w:pPr>
        <w:tabs>
          <w:tab w:val="left" w:pos="992"/>
        </w:tabs>
        <w:ind w:left="992" w:hanging="567"/>
      </w:pPr>
      <w:rPr>
        <w:rFonts w:hint="eastAsia" w:ascii="新宋体" w:hAnsi="新宋体" w:eastAsia="新宋体" w:cs="黑体"/>
        <w:b w:val="0"/>
      </w:rPr>
    </w:lvl>
    <w:lvl w:ilvl="2" w:tentative="0">
      <w:start w:val="1"/>
      <w:numFmt w:val="decimal"/>
      <w:lvlText w:val="%1.%2.%3"/>
      <w:lvlJc w:val="left"/>
      <w:pPr>
        <w:tabs>
          <w:tab w:val="left" w:pos="1571"/>
        </w:tabs>
        <w:ind w:left="1418" w:hanging="56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39">
    <w:nsid w:val="736C4813"/>
    <w:multiLevelType w:val="multilevel"/>
    <w:tmpl w:val="736C4813"/>
    <w:lvl w:ilvl="0" w:tentative="0">
      <w:start w:val="1"/>
      <w:numFmt w:val="none"/>
      <w:lvlText w:val="2"/>
      <w:lvlJc w:val="left"/>
      <w:pPr>
        <w:tabs>
          <w:tab w:val="left" w:pos="425"/>
        </w:tabs>
        <w:ind w:left="425" w:hanging="425"/>
      </w:pPr>
      <w:rPr>
        <w:rFonts w:hint="eastAsia"/>
      </w:rPr>
    </w:lvl>
    <w:lvl w:ilvl="1" w:tentative="0">
      <w:start w:val="1"/>
      <w:numFmt w:val="decimal"/>
      <w:lvlText w:val="%110.%2"/>
      <w:lvlJc w:val="left"/>
      <w:pPr>
        <w:tabs>
          <w:tab w:val="left" w:pos="992"/>
        </w:tabs>
        <w:ind w:left="992" w:hanging="567"/>
      </w:pPr>
      <w:rPr>
        <w:rFonts w:hint="eastAsia"/>
      </w:rPr>
    </w:lvl>
    <w:lvl w:ilvl="2" w:tentative="0">
      <w:start w:val="1"/>
      <w:numFmt w:val="decimal"/>
      <w:lvlText w:val="%1.%2.%3"/>
      <w:lvlJc w:val="left"/>
      <w:pPr>
        <w:tabs>
          <w:tab w:val="left" w:pos="1571"/>
        </w:tabs>
        <w:ind w:left="1418" w:hanging="56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40">
    <w:nsid w:val="76DF1F21"/>
    <w:multiLevelType w:val="multilevel"/>
    <w:tmpl w:val="76DF1F21"/>
    <w:lvl w:ilvl="0" w:tentative="0">
      <w:start w:val="1"/>
      <w:numFmt w:val="none"/>
      <w:lvlText w:val="2"/>
      <w:lvlJc w:val="left"/>
      <w:pPr>
        <w:tabs>
          <w:tab w:val="left" w:pos="425"/>
        </w:tabs>
        <w:ind w:left="425" w:hanging="425"/>
      </w:pPr>
      <w:rPr>
        <w:rFonts w:hint="eastAsia"/>
      </w:rPr>
    </w:lvl>
    <w:lvl w:ilvl="1" w:tentative="0">
      <w:start w:val="1"/>
      <w:numFmt w:val="decimal"/>
      <w:lvlText w:val="%111.%2"/>
      <w:lvlJc w:val="left"/>
      <w:pPr>
        <w:tabs>
          <w:tab w:val="left" w:pos="992"/>
        </w:tabs>
        <w:ind w:left="992" w:hanging="567"/>
      </w:pPr>
      <w:rPr>
        <w:rFonts w:hint="eastAsia" w:ascii="新宋体" w:hAnsi="新宋体" w:eastAsia="新宋体" w:cs="黑体"/>
        <w:b w:val="0"/>
      </w:rPr>
    </w:lvl>
    <w:lvl w:ilvl="2" w:tentative="0">
      <w:start w:val="1"/>
      <w:numFmt w:val="decimal"/>
      <w:lvlText w:val="%1.%2.%3"/>
      <w:lvlJc w:val="left"/>
      <w:pPr>
        <w:tabs>
          <w:tab w:val="left" w:pos="1571"/>
        </w:tabs>
        <w:ind w:left="1418" w:hanging="56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41">
    <w:nsid w:val="7A1E3D98"/>
    <w:multiLevelType w:val="singleLevel"/>
    <w:tmpl w:val="7A1E3D98"/>
    <w:lvl w:ilvl="0" w:tentative="0">
      <w:start w:val="1"/>
      <w:numFmt w:val="decimal"/>
      <w:lvlText w:val="%1."/>
      <w:lvlJc w:val="left"/>
      <w:pPr>
        <w:tabs>
          <w:tab w:val="left" w:pos="312"/>
        </w:tabs>
      </w:pPr>
    </w:lvl>
  </w:abstractNum>
  <w:num w:numId="1">
    <w:abstractNumId w:val="25"/>
  </w:num>
  <w:num w:numId="2">
    <w:abstractNumId w:val="28"/>
  </w:num>
  <w:num w:numId="3">
    <w:abstractNumId w:val="32"/>
  </w:num>
  <w:num w:numId="4">
    <w:abstractNumId w:val="39"/>
  </w:num>
  <w:num w:numId="5">
    <w:abstractNumId w:val="40"/>
  </w:num>
  <w:num w:numId="6">
    <w:abstractNumId w:val="33"/>
  </w:num>
  <w:num w:numId="7">
    <w:abstractNumId w:val="26"/>
  </w:num>
  <w:num w:numId="8">
    <w:abstractNumId w:val="38"/>
  </w:num>
  <w:num w:numId="9">
    <w:abstractNumId w:val="16"/>
  </w:num>
  <w:num w:numId="10">
    <w:abstractNumId w:val="18"/>
  </w:num>
  <w:num w:numId="11">
    <w:abstractNumId w:val="30"/>
  </w:num>
  <w:num w:numId="12">
    <w:abstractNumId w:val="15"/>
  </w:num>
  <w:num w:numId="13">
    <w:abstractNumId w:val="31"/>
  </w:num>
  <w:num w:numId="14">
    <w:abstractNumId w:val="7"/>
  </w:num>
  <w:num w:numId="15">
    <w:abstractNumId w:val="3"/>
  </w:num>
  <w:num w:numId="16">
    <w:abstractNumId w:val="6"/>
  </w:num>
  <w:num w:numId="17">
    <w:abstractNumId w:val="5"/>
  </w:num>
  <w:num w:numId="18">
    <w:abstractNumId w:val="0"/>
  </w:num>
  <w:num w:numId="19">
    <w:abstractNumId w:val="14"/>
  </w:num>
  <w:num w:numId="20">
    <w:abstractNumId w:val="27"/>
  </w:num>
  <w:num w:numId="21">
    <w:abstractNumId w:val="2"/>
  </w:num>
  <w:num w:numId="22">
    <w:abstractNumId w:val="29"/>
  </w:num>
  <w:num w:numId="23">
    <w:abstractNumId w:val="41"/>
  </w:num>
  <w:num w:numId="24">
    <w:abstractNumId w:val="22"/>
  </w:num>
  <w:num w:numId="25">
    <w:abstractNumId w:val="13"/>
  </w:num>
  <w:num w:numId="26">
    <w:abstractNumId w:val="10"/>
  </w:num>
  <w:num w:numId="27">
    <w:abstractNumId w:val="8"/>
  </w:num>
  <w:num w:numId="28">
    <w:abstractNumId w:val="19"/>
  </w:num>
  <w:num w:numId="29">
    <w:abstractNumId w:val="24"/>
  </w:num>
  <w:num w:numId="30">
    <w:abstractNumId w:val="9"/>
  </w:num>
  <w:num w:numId="31">
    <w:abstractNumId w:val="11"/>
  </w:num>
  <w:num w:numId="32">
    <w:abstractNumId w:val="20"/>
  </w:num>
  <w:num w:numId="33">
    <w:abstractNumId w:val="34"/>
  </w:num>
  <w:num w:numId="34">
    <w:abstractNumId w:val="17"/>
  </w:num>
  <w:num w:numId="35">
    <w:abstractNumId w:val="21"/>
  </w:num>
  <w:num w:numId="36">
    <w:abstractNumId w:val="4"/>
  </w:num>
  <w:num w:numId="37">
    <w:abstractNumId w:val="12"/>
  </w:num>
  <w:num w:numId="38">
    <w:abstractNumId w:val="37"/>
  </w:num>
  <w:num w:numId="39">
    <w:abstractNumId w:val="1"/>
  </w:num>
  <w:num w:numId="40">
    <w:abstractNumId w:val="23"/>
  </w:num>
  <w:num w:numId="41">
    <w:abstractNumId w:val="35"/>
  </w:num>
  <w:num w:numId="4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gutterAtTop/>
  <w:documentProtection w:enforcement="0"/>
  <w:defaultTabStop w:val="420"/>
  <w:drawingGridHorizontalSpacing w:val="107"/>
  <w:drawingGridVerticalSpacing w:val="158"/>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3MTAyZTE0YTlhZDE0MGFjMWM1Y2E4NzA5ZDcyMTAifQ=="/>
  </w:docVars>
  <w:rsids>
    <w:rsidRoot w:val="00172A27"/>
    <w:rsid w:val="000003BF"/>
    <w:rsid w:val="000271AD"/>
    <w:rsid w:val="000356EA"/>
    <w:rsid w:val="00036BD4"/>
    <w:rsid w:val="00042917"/>
    <w:rsid w:val="000502F0"/>
    <w:rsid w:val="00052D3A"/>
    <w:rsid w:val="000540C0"/>
    <w:rsid w:val="000551F7"/>
    <w:rsid w:val="000637ED"/>
    <w:rsid w:val="00071374"/>
    <w:rsid w:val="00076E09"/>
    <w:rsid w:val="00081BBF"/>
    <w:rsid w:val="00095692"/>
    <w:rsid w:val="000A1F0A"/>
    <w:rsid w:val="000A4BD2"/>
    <w:rsid w:val="000C38C9"/>
    <w:rsid w:val="000C7474"/>
    <w:rsid w:val="000D3320"/>
    <w:rsid w:val="000D6398"/>
    <w:rsid w:val="000E5A6A"/>
    <w:rsid w:val="000E617E"/>
    <w:rsid w:val="000F2A03"/>
    <w:rsid w:val="00112BE6"/>
    <w:rsid w:val="00112C2F"/>
    <w:rsid w:val="00114A21"/>
    <w:rsid w:val="00115523"/>
    <w:rsid w:val="00123CF8"/>
    <w:rsid w:val="001303A8"/>
    <w:rsid w:val="00133ED8"/>
    <w:rsid w:val="0013537E"/>
    <w:rsid w:val="001472F5"/>
    <w:rsid w:val="00157364"/>
    <w:rsid w:val="00165ECB"/>
    <w:rsid w:val="00170A71"/>
    <w:rsid w:val="00172A27"/>
    <w:rsid w:val="00172D49"/>
    <w:rsid w:val="00177F85"/>
    <w:rsid w:val="00180403"/>
    <w:rsid w:val="00184410"/>
    <w:rsid w:val="00187587"/>
    <w:rsid w:val="00190CE0"/>
    <w:rsid w:val="0019407D"/>
    <w:rsid w:val="00194723"/>
    <w:rsid w:val="001A6809"/>
    <w:rsid w:val="001B4F46"/>
    <w:rsid w:val="001C16BF"/>
    <w:rsid w:val="001C1DCF"/>
    <w:rsid w:val="001C2245"/>
    <w:rsid w:val="001C5500"/>
    <w:rsid w:val="001D3628"/>
    <w:rsid w:val="001D4018"/>
    <w:rsid w:val="001E53EB"/>
    <w:rsid w:val="001F0F21"/>
    <w:rsid w:val="001F2A84"/>
    <w:rsid w:val="001F5A3F"/>
    <w:rsid w:val="0020363F"/>
    <w:rsid w:val="00215806"/>
    <w:rsid w:val="00217D3C"/>
    <w:rsid w:val="00221583"/>
    <w:rsid w:val="002265BB"/>
    <w:rsid w:val="00244D74"/>
    <w:rsid w:val="00250121"/>
    <w:rsid w:val="00263D52"/>
    <w:rsid w:val="0028158E"/>
    <w:rsid w:val="002864A6"/>
    <w:rsid w:val="00297679"/>
    <w:rsid w:val="002A14D7"/>
    <w:rsid w:val="002B0122"/>
    <w:rsid w:val="002B36B1"/>
    <w:rsid w:val="002B6083"/>
    <w:rsid w:val="002C3BC6"/>
    <w:rsid w:val="002C6F2A"/>
    <w:rsid w:val="002D0007"/>
    <w:rsid w:val="002D49AF"/>
    <w:rsid w:val="002F41CF"/>
    <w:rsid w:val="002F629B"/>
    <w:rsid w:val="00304F68"/>
    <w:rsid w:val="003168A8"/>
    <w:rsid w:val="00326FB5"/>
    <w:rsid w:val="003415D7"/>
    <w:rsid w:val="00345F4D"/>
    <w:rsid w:val="00346CE5"/>
    <w:rsid w:val="003475D8"/>
    <w:rsid w:val="00351F9D"/>
    <w:rsid w:val="00360FA1"/>
    <w:rsid w:val="00363F26"/>
    <w:rsid w:val="00397053"/>
    <w:rsid w:val="003978BF"/>
    <w:rsid w:val="003A1952"/>
    <w:rsid w:val="003A1F17"/>
    <w:rsid w:val="003B45F1"/>
    <w:rsid w:val="003B4BD9"/>
    <w:rsid w:val="003B6EE8"/>
    <w:rsid w:val="003C2B42"/>
    <w:rsid w:val="003C7C91"/>
    <w:rsid w:val="003D5798"/>
    <w:rsid w:val="003D7332"/>
    <w:rsid w:val="003E08C4"/>
    <w:rsid w:val="003F32D4"/>
    <w:rsid w:val="00403110"/>
    <w:rsid w:val="00411298"/>
    <w:rsid w:val="004173A0"/>
    <w:rsid w:val="00423C79"/>
    <w:rsid w:val="0042667A"/>
    <w:rsid w:val="00435D7D"/>
    <w:rsid w:val="0044085A"/>
    <w:rsid w:val="004408E4"/>
    <w:rsid w:val="0045010E"/>
    <w:rsid w:val="00451F8E"/>
    <w:rsid w:val="00456244"/>
    <w:rsid w:val="004671CE"/>
    <w:rsid w:val="00474837"/>
    <w:rsid w:val="00481848"/>
    <w:rsid w:val="0048301F"/>
    <w:rsid w:val="004A0969"/>
    <w:rsid w:val="004A1085"/>
    <w:rsid w:val="004A154A"/>
    <w:rsid w:val="004A2D03"/>
    <w:rsid w:val="004A5C96"/>
    <w:rsid w:val="004B22AF"/>
    <w:rsid w:val="004B5505"/>
    <w:rsid w:val="004D0617"/>
    <w:rsid w:val="004D1183"/>
    <w:rsid w:val="004D792A"/>
    <w:rsid w:val="004E0361"/>
    <w:rsid w:val="004E2FCF"/>
    <w:rsid w:val="004F2880"/>
    <w:rsid w:val="004F3AC7"/>
    <w:rsid w:val="004F5523"/>
    <w:rsid w:val="0052427E"/>
    <w:rsid w:val="00526CAE"/>
    <w:rsid w:val="005369A0"/>
    <w:rsid w:val="00541A3A"/>
    <w:rsid w:val="00546E68"/>
    <w:rsid w:val="0055538C"/>
    <w:rsid w:val="005565D4"/>
    <w:rsid w:val="00560095"/>
    <w:rsid w:val="005612D1"/>
    <w:rsid w:val="005613B5"/>
    <w:rsid w:val="0056277B"/>
    <w:rsid w:val="00562B18"/>
    <w:rsid w:val="00565DF4"/>
    <w:rsid w:val="0057436F"/>
    <w:rsid w:val="0058070C"/>
    <w:rsid w:val="0058318A"/>
    <w:rsid w:val="005948AA"/>
    <w:rsid w:val="005B3A7F"/>
    <w:rsid w:val="005C585F"/>
    <w:rsid w:val="005D126F"/>
    <w:rsid w:val="005D4EC6"/>
    <w:rsid w:val="005D53EE"/>
    <w:rsid w:val="005D6349"/>
    <w:rsid w:val="005D7B55"/>
    <w:rsid w:val="005E1EA4"/>
    <w:rsid w:val="005F022C"/>
    <w:rsid w:val="005F3CBF"/>
    <w:rsid w:val="005F7F50"/>
    <w:rsid w:val="00600BC3"/>
    <w:rsid w:val="00604B68"/>
    <w:rsid w:val="006251AF"/>
    <w:rsid w:val="00632C48"/>
    <w:rsid w:val="00645215"/>
    <w:rsid w:val="00645BDE"/>
    <w:rsid w:val="00651B07"/>
    <w:rsid w:val="00653352"/>
    <w:rsid w:val="00654C1E"/>
    <w:rsid w:val="006629E0"/>
    <w:rsid w:val="006630D3"/>
    <w:rsid w:val="00665E92"/>
    <w:rsid w:val="00671FB5"/>
    <w:rsid w:val="006810DF"/>
    <w:rsid w:val="006A3287"/>
    <w:rsid w:val="006A64B9"/>
    <w:rsid w:val="006B23C3"/>
    <w:rsid w:val="006C1DEF"/>
    <w:rsid w:val="006E1021"/>
    <w:rsid w:val="00704B48"/>
    <w:rsid w:val="00715DB7"/>
    <w:rsid w:val="007179AA"/>
    <w:rsid w:val="00722A83"/>
    <w:rsid w:val="00741EDD"/>
    <w:rsid w:val="00742EF8"/>
    <w:rsid w:val="00750BCC"/>
    <w:rsid w:val="00754EA4"/>
    <w:rsid w:val="00767764"/>
    <w:rsid w:val="00767C3F"/>
    <w:rsid w:val="00775FB0"/>
    <w:rsid w:val="00781DC4"/>
    <w:rsid w:val="0078236C"/>
    <w:rsid w:val="00795FBF"/>
    <w:rsid w:val="007A559F"/>
    <w:rsid w:val="007B2BBD"/>
    <w:rsid w:val="007B3174"/>
    <w:rsid w:val="007B6F0E"/>
    <w:rsid w:val="007C72EA"/>
    <w:rsid w:val="007D473B"/>
    <w:rsid w:val="007E1480"/>
    <w:rsid w:val="007F045C"/>
    <w:rsid w:val="007F31C5"/>
    <w:rsid w:val="007F38A4"/>
    <w:rsid w:val="007F516D"/>
    <w:rsid w:val="007F57D9"/>
    <w:rsid w:val="008018B7"/>
    <w:rsid w:val="008024EE"/>
    <w:rsid w:val="00811D8D"/>
    <w:rsid w:val="00821EE1"/>
    <w:rsid w:val="0083547E"/>
    <w:rsid w:val="0084702E"/>
    <w:rsid w:val="00854DE8"/>
    <w:rsid w:val="00862E71"/>
    <w:rsid w:val="00863D92"/>
    <w:rsid w:val="008754ED"/>
    <w:rsid w:val="00880929"/>
    <w:rsid w:val="00883A5A"/>
    <w:rsid w:val="00884D8E"/>
    <w:rsid w:val="00886D56"/>
    <w:rsid w:val="00894AD9"/>
    <w:rsid w:val="008B4C1B"/>
    <w:rsid w:val="008C248A"/>
    <w:rsid w:val="008E174B"/>
    <w:rsid w:val="008E3514"/>
    <w:rsid w:val="00920D19"/>
    <w:rsid w:val="0092122F"/>
    <w:rsid w:val="009251EE"/>
    <w:rsid w:val="00952F27"/>
    <w:rsid w:val="00955CAA"/>
    <w:rsid w:val="009604D7"/>
    <w:rsid w:val="00960D77"/>
    <w:rsid w:val="00964DEE"/>
    <w:rsid w:val="009662EC"/>
    <w:rsid w:val="00971273"/>
    <w:rsid w:val="0097698A"/>
    <w:rsid w:val="00986797"/>
    <w:rsid w:val="00994E7E"/>
    <w:rsid w:val="009A16EA"/>
    <w:rsid w:val="009B0D0B"/>
    <w:rsid w:val="009C5B5E"/>
    <w:rsid w:val="009C5BB2"/>
    <w:rsid w:val="009D0215"/>
    <w:rsid w:val="009E4DC1"/>
    <w:rsid w:val="00A23B6C"/>
    <w:rsid w:val="00A32C79"/>
    <w:rsid w:val="00A33BA8"/>
    <w:rsid w:val="00A40C85"/>
    <w:rsid w:val="00A46750"/>
    <w:rsid w:val="00A47A5F"/>
    <w:rsid w:val="00A50DE4"/>
    <w:rsid w:val="00A50E98"/>
    <w:rsid w:val="00A530A4"/>
    <w:rsid w:val="00A547DE"/>
    <w:rsid w:val="00A55EE3"/>
    <w:rsid w:val="00A62D09"/>
    <w:rsid w:val="00A64FB8"/>
    <w:rsid w:val="00A6790F"/>
    <w:rsid w:val="00A67952"/>
    <w:rsid w:val="00A74405"/>
    <w:rsid w:val="00A74EC2"/>
    <w:rsid w:val="00A75228"/>
    <w:rsid w:val="00A81D97"/>
    <w:rsid w:val="00A8364D"/>
    <w:rsid w:val="00A84A81"/>
    <w:rsid w:val="00A94FB6"/>
    <w:rsid w:val="00AA360B"/>
    <w:rsid w:val="00AA3EBB"/>
    <w:rsid w:val="00AA7087"/>
    <w:rsid w:val="00AB26E3"/>
    <w:rsid w:val="00AB32E6"/>
    <w:rsid w:val="00AB4655"/>
    <w:rsid w:val="00AC221A"/>
    <w:rsid w:val="00AC3ABC"/>
    <w:rsid w:val="00AC710D"/>
    <w:rsid w:val="00AE614F"/>
    <w:rsid w:val="00AF05EA"/>
    <w:rsid w:val="00B02C74"/>
    <w:rsid w:val="00B15E09"/>
    <w:rsid w:val="00B2032F"/>
    <w:rsid w:val="00B22864"/>
    <w:rsid w:val="00B30755"/>
    <w:rsid w:val="00B31DE3"/>
    <w:rsid w:val="00B33B38"/>
    <w:rsid w:val="00B3684C"/>
    <w:rsid w:val="00B368EE"/>
    <w:rsid w:val="00B42267"/>
    <w:rsid w:val="00B45A07"/>
    <w:rsid w:val="00B46ABF"/>
    <w:rsid w:val="00B46EBD"/>
    <w:rsid w:val="00B50880"/>
    <w:rsid w:val="00B531E5"/>
    <w:rsid w:val="00B64938"/>
    <w:rsid w:val="00B702EC"/>
    <w:rsid w:val="00B74F1E"/>
    <w:rsid w:val="00B75508"/>
    <w:rsid w:val="00B81125"/>
    <w:rsid w:val="00B87E9A"/>
    <w:rsid w:val="00B93E50"/>
    <w:rsid w:val="00BB23F2"/>
    <w:rsid w:val="00BC13AF"/>
    <w:rsid w:val="00BC1DCE"/>
    <w:rsid w:val="00BC56A7"/>
    <w:rsid w:val="00BC75E1"/>
    <w:rsid w:val="00BD0379"/>
    <w:rsid w:val="00BD2D8D"/>
    <w:rsid w:val="00BD72B1"/>
    <w:rsid w:val="00BD7DB9"/>
    <w:rsid w:val="00BE1BF9"/>
    <w:rsid w:val="00BE53A0"/>
    <w:rsid w:val="00BE70A7"/>
    <w:rsid w:val="00BF3D09"/>
    <w:rsid w:val="00C00449"/>
    <w:rsid w:val="00C04D57"/>
    <w:rsid w:val="00C10913"/>
    <w:rsid w:val="00C10A0B"/>
    <w:rsid w:val="00C22C1A"/>
    <w:rsid w:val="00C23493"/>
    <w:rsid w:val="00C257F6"/>
    <w:rsid w:val="00C26483"/>
    <w:rsid w:val="00C37359"/>
    <w:rsid w:val="00C40454"/>
    <w:rsid w:val="00C46E76"/>
    <w:rsid w:val="00C51639"/>
    <w:rsid w:val="00C53F2E"/>
    <w:rsid w:val="00C55886"/>
    <w:rsid w:val="00C6025C"/>
    <w:rsid w:val="00C66042"/>
    <w:rsid w:val="00C749F6"/>
    <w:rsid w:val="00C81F03"/>
    <w:rsid w:val="00C86674"/>
    <w:rsid w:val="00C90167"/>
    <w:rsid w:val="00C91C26"/>
    <w:rsid w:val="00C92275"/>
    <w:rsid w:val="00C92F55"/>
    <w:rsid w:val="00C936D0"/>
    <w:rsid w:val="00CA27E6"/>
    <w:rsid w:val="00CA7AF9"/>
    <w:rsid w:val="00CB05E8"/>
    <w:rsid w:val="00CB0B9C"/>
    <w:rsid w:val="00CB1277"/>
    <w:rsid w:val="00CB1B98"/>
    <w:rsid w:val="00CC0E31"/>
    <w:rsid w:val="00CC15DC"/>
    <w:rsid w:val="00CE7805"/>
    <w:rsid w:val="00CF1733"/>
    <w:rsid w:val="00D1154F"/>
    <w:rsid w:val="00D1321A"/>
    <w:rsid w:val="00D14D6E"/>
    <w:rsid w:val="00D20FEB"/>
    <w:rsid w:val="00D21E7B"/>
    <w:rsid w:val="00D259CC"/>
    <w:rsid w:val="00D25CE4"/>
    <w:rsid w:val="00D34413"/>
    <w:rsid w:val="00D353F4"/>
    <w:rsid w:val="00D36D01"/>
    <w:rsid w:val="00D4756F"/>
    <w:rsid w:val="00D50C5C"/>
    <w:rsid w:val="00D50D46"/>
    <w:rsid w:val="00D51180"/>
    <w:rsid w:val="00D5396B"/>
    <w:rsid w:val="00D72A99"/>
    <w:rsid w:val="00D92D33"/>
    <w:rsid w:val="00D97CDA"/>
    <w:rsid w:val="00DA0A51"/>
    <w:rsid w:val="00DA15E9"/>
    <w:rsid w:val="00DA5428"/>
    <w:rsid w:val="00DB029B"/>
    <w:rsid w:val="00DB06B7"/>
    <w:rsid w:val="00DB22C5"/>
    <w:rsid w:val="00DB73BD"/>
    <w:rsid w:val="00DC249F"/>
    <w:rsid w:val="00DC47EA"/>
    <w:rsid w:val="00DC71E8"/>
    <w:rsid w:val="00DD7488"/>
    <w:rsid w:val="00DF1051"/>
    <w:rsid w:val="00DF2CD6"/>
    <w:rsid w:val="00E07995"/>
    <w:rsid w:val="00E14A18"/>
    <w:rsid w:val="00E14D03"/>
    <w:rsid w:val="00E20F99"/>
    <w:rsid w:val="00E21EB1"/>
    <w:rsid w:val="00E23F05"/>
    <w:rsid w:val="00E258D5"/>
    <w:rsid w:val="00E277D6"/>
    <w:rsid w:val="00E43A0D"/>
    <w:rsid w:val="00E4460A"/>
    <w:rsid w:val="00E44B45"/>
    <w:rsid w:val="00E46C5A"/>
    <w:rsid w:val="00E50253"/>
    <w:rsid w:val="00E61F50"/>
    <w:rsid w:val="00E62EC2"/>
    <w:rsid w:val="00E65A6E"/>
    <w:rsid w:val="00E67D8E"/>
    <w:rsid w:val="00E73DB0"/>
    <w:rsid w:val="00E816CF"/>
    <w:rsid w:val="00E8365F"/>
    <w:rsid w:val="00E86792"/>
    <w:rsid w:val="00E95351"/>
    <w:rsid w:val="00EA310A"/>
    <w:rsid w:val="00EA5D94"/>
    <w:rsid w:val="00EB4BAB"/>
    <w:rsid w:val="00ED2647"/>
    <w:rsid w:val="00ED6ED5"/>
    <w:rsid w:val="00ED7A80"/>
    <w:rsid w:val="00EE46DD"/>
    <w:rsid w:val="00EF0354"/>
    <w:rsid w:val="00EF3B75"/>
    <w:rsid w:val="00F01A49"/>
    <w:rsid w:val="00F03421"/>
    <w:rsid w:val="00F117C9"/>
    <w:rsid w:val="00F246A6"/>
    <w:rsid w:val="00F4154F"/>
    <w:rsid w:val="00F41684"/>
    <w:rsid w:val="00F612A8"/>
    <w:rsid w:val="00F64295"/>
    <w:rsid w:val="00F77CB8"/>
    <w:rsid w:val="00F8294B"/>
    <w:rsid w:val="00F850F2"/>
    <w:rsid w:val="00F85DA1"/>
    <w:rsid w:val="00F878BB"/>
    <w:rsid w:val="00F9280C"/>
    <w:rsid w:val="00F93142"/>
    <w:rsid w:val="00F97BE4"/>
    <w:rsid w:val="00FA7ACC"/>
    <w:rsid w:val="00FC4CDC"/>
    <w:rsid w:val="00FD026E"/>
    <w:rsid w:val="00FE1E56"/>
    <w:rsid w:val="00FE543C"/>
    <w:rsid w:val="00FF0616"/>
    <w:rsid w:val="00FF19B2"/>
    <w:rsid w:val="00FF4706"/>
    <w:rsid w:val="01195115"/>
    <w:rsid w:val="0138470C"/>
    <w:rsid w:val="013F25C7"/>
    <w:rsid w:val="0153640C"/>
    <w:rsid w:val="01636B35"/>
    <w:rsid w:val="0167474D"/>
    <w:rsid w:val="016C60B5"/>
    <w:rsid w:val="016E0602"/>
    <w:rsid w:val="01887F2B"/>
    <w:rsid w:val="01965A4B"/>
    <w:rsid w:val="01B6078E"/>
    <w:rsid w:val="01C50FF8"/>
    <w:rsid w:val="01D14E0A"/>
    <w:rsid w:val="01E150A5"/>
    <w:rsid w:val="01E82B1B"/>
    <w:rsid w:val="02001F2E"/>
    <w:rsid w:val="020255DA"/>
    <w:rsid w:val="02092538"/>
    <w:rsid w:val="02197333"/>
    <w:rsid w:val="02266E22"/>
    <w:rsid w:val="022C3496"/>
    <w:rsid w:val="02304E24"/>
    <w:rsid w:val="023A44CB"/>
    <w:rsid w:val="0258175D"/>
    <w:rsid w:val="025F0F6B"/>
    <w:rsid w:val="027013C9"/>
    <w:rsid w:val="02970F58"/>
    <w:rsid w:val="029757CA"/>
    <w:rsid w:val="02AA3107"/>
    <w:rsid w:val="02AA7150"/>
    <w:rsid w:val="02AB46C0"/>
    <w:rsid w:val="03130C9A"/>
    <w:rsid w:val="03151C1F"/>
    <w:rsid w:val="03254969"/>
    <w:rsid w:val="03292E3E"/>
    <w:rsid w:val="03723CB1"/>
    <w:rsid w:val="037F7134"/>
    <w:rsid w:val="03A96C0F"/>
    <w:rsid w:val="03B643E4"/>
    <w:rsid w:val="03BF5648"/>
    <w:rsid w:val="03D43A71"/>
    <w:rsid w:val="03DB4D3A"/>
    <w:rsid w:val="03E13BC2"/>
    <w:rsid w:val="03F4443A"/>
    <w:rsid w:val="0409621A"/>
    <w:rsid w:val="0430275A"/>
    <w:rsid w:val="04497FAD"/>
    <w:rsid w:val="046E329A"/>
    <w:rsid w:val="047622E3"/>
    <w:rsid w:val="048737A2"/>
    <w:rsid w:val="048760F2"/>
    <w:rsid w:val="048E537A"/>
    <w:rsid w:val="04B06941"/>
    <w:rsid w:val="04D20C76"/>
    <w:rsid w:val="04D32E79"/>
    <w:rsid w:val="04E0790E"/>
    <w:rsid w:val="04EC3902"/>
    <w:rsid w:val="04EF2009"/>
    <w:rsid w:val="04F57F32"/>
    <w:rsid w:val="05397078"/>
    <w:rsid w:val="054C72C4"/>
    <w:rsid w:val="0551189D"/>
    <w:rsid w:val="0553706D"/>
    <w:rsid w:val="055A60F1"/>
    <w:rsid w:val="0579132F"/>
    <w:rsid w:val="057E6334"/>
    <w:rsid w:val="058818B9"/>
    <w:rsid w:val="05AA3F4E"/>
    <w:rsid w:val="05C1766B"/>
    <w:rsid w:val="05CE4396"/>
    <w:rsid w:val="05E10B7E"/>
    <w:rsid w:val="05F101D8"/>
    <w:rsid w:val="06035A90"/>
    <w:rsid w:val="061202AD"/>
    <w:rsid w:val="062D7C32"/>
    <w:rsid w:val="06397ADB"/>
    <w:rsid w:val="063C25D5"/>
    <w:rsid w:val="063D3552"/>
    <w:rsid w:val="064424C6"/>
    <w:rsid w:val="06443B41"/>
    <w:rsid w:val="064B0465"/>
    <w:rsid w:val="06600355"/>
    <w:rsid w:val="068B1A94"/>
    <w:rsid w:val="06CB5047"/>
    <w:rsid w:val="06F07F7E"/>
    <w:rsid w:val="06F4424D"/>
    <w:rsid w:val="070A2A99"/>
    <w:rsid w:val="070B54D5"/>
    <w:rsid w:val="070C57E9"/>
    <w:rsid w:val="07131E10"/>
    <w:rsid w:val="07574F35"/>
    <w:rsid w:val="079C5332"/>
    <w:rsid w:val="07A94D38"/>
    <w:rsid w:val="07CE37FD"/>
    <w:rsid w:val="07DC5147"/>
    <w:rsid w:val="07DC6428"/>
    <w:rsid w:val="07EA21B7"/>
    <w:rsid w:val="07EC16B1"/>
    <w:rsid w:val="0811109E"/>
    <w:rsid w:val="081C209F"/>
    <w:rsid w:val="08284F9E"/>
    <w:rsid w:val="082E0815"/>
    <w:rsid w:val="08350B36"/>
    <w:rsid w:val="084C2FF4"/>
    <w:rsid w:val="086E2B49"/>
    <w:rsid w:val="088737C6"/>
    <w:rsid w:val="08A37AE0"/>
    <w:rsid w:val="08AB0D80"/>
    <w:rsid w:val="08B300C0"/>
    <w:rsid w:val="08B57A7A"/>
    <w:rsid w:val="08C133E1"/>
    <w:rsid w:val="08CA3CA3"/>
    <w:rsid w:val="08F51640"/>
    <w:rsid w:val="08FC358E"/>
    <w:rsid w:val="090A5A61"/>
    <w:rsid w:val="091A3AFD"/>
    <w:rsid w:val="091C798B"/>
    <w:rsid w:val="091F552B"/>
    <w:rsid w:val="092D692D"/>
    <w:rsid w:val="094A3E61"/>
    <w:rsid w:val="095D7A6A"/>
    <w:rsid w:val="09644B78"/>
    <w:rsid w:val="097919A5"/>
    <w:rsid w:val="098F3125"/>
    <w:rsid w:val="09A6393A"/>
    <w:rsid w:val="09AC4BEA"/>
    <w:rsid w:val="09BE5327"/>
    <w:rsid w:val="09C554D0"/>
    <w:rsid w:val="09DA419B"/>
    <w:rsid w:val="0A044F77"/>
    <w:rsid w:val="0A161861"/>
    <w:rsid w:val="0A1E5CFB"/>
    <w:rsid w:val="0A2A37A7"/>
    <w:rsid w:val="0A357F48"/>
    <w:rsid w:val="0A3C148B"/>
    <w:rsid w:val="0A3F4994"/>
    <w:rsid w:val="0A4235A0"/>
    <w:rsid w:val="0A44517C"/>
    <w:rsid w:val="0A4D0425"/>
    <w:rsid w:val="0A516FF5"/>
    <w:rsid w:val="0A6C76CF"/>
    <w:rsid w:val="0A7413A1"/>
    <w:rsid w:val="0AB5742B"/>
    <w:rsid w:val="0ADA7CC8"/>
    <w:rsid w:val="0B0635C2"/>
    <w:rsid w:val="0B0F3744"/>
    <w:rsid w:val="0B162099"/>
    <w:rsid w:val="0B2540B5"/>
    <w:rsid w:val="0B2D454B"/>
    <w:rsid w:val="0B3E1C82"/>
    <w:rsid w:val="0B47088F"/>
    <w:rsid w:val="0B594914"/>
    <w:rsid w:val="0B5B5331"/>
    <w:rsid w:val="0B702E2E"/>
    <w:rsid w:val="0B740B04"/>
    <w:rsid w:val="0B756FF7"/>
    <w:rsid w:val="0B774DA4"/>
    <w:rsid w:val="0B7C4D45"/>
    <w:rsid w:val="0B8E2F00"/>
    <w:rsid w:val="0B930144"/>
    <w:rsid w:val="0B9760C4"/>
    <w:rsid w:val="0BBC6F36"/>
    <w:rsid w:val="0BC123B6"/>
    <w:rsid w:val="0BD92D3C"/>
    <w:rsid w:val="0BE80418"/>
    <w:rsid w:val="0BE942DD"/>
    <w:rsid w:val="0BEF65FB"/>
    <w:rsid w:val="0BFF30A6"/>
    <w:rsid w:val="0C00071F"/>
    <w:rsid w:val="0C165631"/>
    <w:rsid w:val="0C235532"/>
    <w:rsid w:val="0C476233"/>
    <w:rsid w:val="0C521877"/>
    <w:rsid w:val="0C605AD8"/>
    <w:rsid w:val="0C680111"/>
    <w:rsid w:val="0C6D5843"/>
    <w:rsid w:val="0C8818AC"/>
    <w:rsid w:val="0C965FB3"/>
    <w:rsid w:val="0CA87258"/>
    <w:rsid w:val="0CC575DD"/>
    <w:rsid w:val="0CC66664"/>
    <w:rsid w:val="0CF523C9"/>
    <w:rsid w:val="0CFB3759"/>
    <w:rsid w:val="0D1D6F1E"/>
    <w:rsid w:val="0D5E59FB"/>
    <w:rsid w:val="0D64310B"/>
    <w:rsid w:val="0D9B6F5F"/>
    <w:rsid w:val="0DB255BA"/>
    <w:rsid w:val="0DBA1CEC"/>
    <w:rsid w:val="0DDB4AEA"/>
    <w:rsid w:val="0DE83D8F"/>
    <w:rsid w:val="0DEA6565"/>
    <w:rsid w:val="0DEC7EB9"/>
    <w:rsid w:val="0E1A5024"/>
    <w:rsid w:val="0E1D10FC"/>
    <w:rsid w:val="0E39519D"/>
    <w:rsid w:val="0E3C7F3B"/>
    <w:rsid w:val="0E3F4FB1"/>
    <w:rsid w:val="0E5B5840"/>
    <w:rsid w:val="0E7F57FF"/>
    <w:rsid w:val="0E862C5A"/>
    <w:rsid w:val="0E8F7926"/>
    <w:rsid w:val="0E9953A0"/>
    <w:rsid w:val="0ECB744A"/>
    <w:rsid w:val="0ECD1719"/>
    <w:rsid w:val="0EFC6E80"/>
    <w:rsid w:val="0F010373"/>
    <w:rsid w:val="0F134868"/>
    <w:rsid w:val="0F192CEB"/>
    <w:rsid w:val="0F3C1170"/>
    <w:rsid w:val="0F431F0F"/>
    <w:rsid w:val="0F4F61AB"/>
    <w:rsid w:val="0F536919"/>
    <w:rsid w:val="0F7C6998"/>
    <w:rsid w:val="0F7F040B"/>
    <w:rsid w:val="0F8B4CE8"/>
    <w:rsid w:val="0F905BE5"/>
    <w:rsid w:val="0F9C0B4F"/>
    <w:rsid w:val="0FA539F4"/>
    <w:rsid w:val="0FA554AB"/>
    <w:rsid w:val="0FAA6561"/>
    <w:rsid w:val="0FAC5A64"/>
    <w:rsid w:val="0FBF7D2B"/>
    <w:rsid w:val="0FD4506C"/>
    <w:rsid w:val="0FDB0F3A"/>
    <w:rsid w:val="10164FDE"/>
    <w:rsid w:val="103F7225"/>
    <w:rsid w:val="10544610"/>
    <w:rsid w:val="106B30AF"/>
    <w:rsid w:val="106B67F2"/>
    <w:rsid w:val="109F7C14"/>
    <w:rsid w:val="10AA22A1"/>
    <w:rsid w:val="10B028F0"/>
    <w:rsid w:val="10B0706C"/>
    <w:rsid w:val="10B5136F"/>
    <w:rsid w:val="10C04D2E"/>
    <w:rsid w:val="10C430FC"/>
    <w:rsid w:val="10C45267"/>
    <w:rsid w:val="10DA6BCE"/>
    <w:rsid w:val="10F01204"/>
    <w:rsid w:val="10FC5772"/>
    <w:rsid w:val="11231798"/>
    <w:rsid w:val="114F162F"/>
    <w:rsid w:val="11534C84"/>
    <w:rsid w:val="115D6290"/>
    <w:rsid w:val="116F1B95"/>
    <w:rsid w:val="116F6DEB"/>
    <w:rsid w:val="117400AF"/>
    <w:rsid w:val="118A5E6B"/>
    <w:rsid w:val="11933F5F"/>
    <w:rsid w:val="11964527"/>
    <w:rsid w:val="119918E6"/>
    <w:rsid w:val="11B6082D"/>
    <w:rsid w:val="11BD7527"/>
    <w:rsid w:val="11E4357A"/>
    <w:rsid w:val="11E903EC"/>
    <w:rsid w:val="11E90876"/>
    <w:rsid w:val="11FE287C"/>
    <w:rsid w:val="120B18A7"/>
    <w:rsid w:val="121D44ED"/>
    <w:rsid w:val="122B62BE"/>
    <w:rsid w:val="12486960"/>
    <w:rsid w:val="12522860"/>
    <w:rsid w:val="127D1619"/>
    <w:rsid w:val="12862017"/>
    <w:rsid w:val="128C0A28"/>
    <w:rsid w:val="12966A04"/>
    <w:rsid w:val="12A2531F"/>
    <w:rsid w:val="12B44556"/>
    <w:rsid w:val="12C26605"/>
    <w:rsid w:val="12D25FA9"/>
    <w:rsid w:val="13072BE3"/>
    <w:rsid w:val="132D5F44"/>
    <w:rsid w:val="133E5BB7"/>
    <w:rsid w:val="137D1AC1"/>
    <w:rsid w:val="138659D8"/>
    <w:rsid w:val="138F5528"/>
    <w:rsid w:val="13922B90"/>
    <w:rsid w:val="13B1357D"/>
    <w:rsid w:val="13B574EE"/>
    <w:rsid w:val="13D80B9E"/>
    <w:rsid w:val="13DA3215"/>
    <w:rsid w:val="13DC59C3"/>
    <w:rsid w:val="13DF4D1E"/>
    <w:rsid w:val="13E12D59"/>
    <w:rsid w:val="13FE2B7B"/>
    <w:rsid w:val="141D3750"/>
    <w:rsid w:val="142C592D"/>
    <w:rsid w:val="14403D48"/>
    <w:rsid w:val="14670E78"/>
    <w:rsid w:val="14776666"/>
    <w:rsid w:val="14796DAF"/>
    <w:rsid w:val="147B7088"/>
    <w:rsid w:val="14BE5168"/>
    <w:rsid w:val="14C33D59"/>
    <w:rsid w:val="14D01361"/>
    <w:rsid w:val="14E55919"/>
    <w:rsid w:val="14E634E0"/>
    <w:rsid w:val="1504629A"/>
    <w:rsid w:val="150B4413"/>
    <w:rsid w:val="15251B25"/>
    <w:rsid w:val="1542019D"/>
    <w:rsid w:val="1558064A"/>
    <w:rsid w:val="1571672E"/>
    <w:rsid w:val="15754EE7"/>
    <w:rsid w:val="159A2C83"/>
    <w:rsid w:val="159D40B4"/>
    <w:rsid w:val="15C14F1A"/>
    <w:rsid w:val="15C61E07"/>
    <w:rsid w:val="15CB4C40"/>
    <w:rsid w:val="15CD0C72"/>
    <w:rsid w:val="15DA768A"/>
    <w:rsid w:val="15E93E01"/>
    <w:rsid w:val="15EC1502"/>
    <w:rsid w:val="15EC2E5B"/>
    <w:rsid w:val="16072C0F"/>
    <w:rsid w:val="16226A14"/>
    <w:rsid w:val="16263E2D"/>
    <w:rsid w:val="162C5B6F"/>
    <w:rsid w:val="16334C35"/>
    <w:rsid w:val="16342B3F"/>
    <w:rsid w:val="164A4BE5"/>
    <w:rsid w:val="166879F2"/>
    <w:rsid w:val="16693B8D"/>
    <w:rsid w:val="16887D6F"/>
    <w:rsid w:val="168E2878"/>
    <w:rsid w:val="169A64BF"/>
    <w:rsid w:val="16D47282"/>
    <w:rsid w:val="16E70B11"/>
    <w:rsid w:val="17435337"/>
    <w:rsid w:val="17613CB4"/>
    <w:rsid w:val="178612A4"/>
    <w:rsid w:val="178C2AB6"/>
    <w:rsid w:val="17A3517E"/>
    <w:rsid w:val="17A45EC9"/>
    <w:rsid w:val="17AB6CB0"/>
    <w:rsid w:val="17B225CD"/>
    <w:rsid w:val="17B23101"/>
    <w:rsid w:val="17CA2A91"/>
    <w:rsid w:val="17CD529B"/>
    <w:rsid w:val="17E651DB"/>
    <w:rsid w:val="18370860"/>
    <w:rsid w:val="184E381D"/>
    <w:rsid w:val="18641916"/>
    <w:rsid w:val="186516C5"/>
    <w:rsid w:val="186B5F65"/>
    <w:rsid w:val="186D2A69"/>
    <w:rsid w:val="187D137A"/>
    <w:rsid w:val="18937F04"/>
    <w:rsid w:val="189C231E"/>
    <w:rsid w:val="18A31EE7"/>
    <w:rsid w:val="18B83CD4"/>
    <w:rsid w:val="18CC2219"/>
    <w:rsid w:val="18F6074A"/>
    <w:rsid w:val="18FF0F19"/>
    <w:rsid w:val="19075544"/>
    <w:rsid w:val="190C0572"/>
    <w:rsid w:val="195456E0"/>
    <w:rsid w:val="196B30A0"/>
    <w:rsid w:val="197D13A1"/>
    <w:rsid w:val="19950D78"/>
    <w:rsid w:val="19B12CD5"/>
    <w:rsid w:val="19BA6E5F"/>
    <w:rsid w:val="19BD5FB9"/>
    <w:rsid w:val="19C427F0"/>
    <w:rsid w:val="19D4580A"/>
    <w:rsid w:val="19ED09AA"/>
    <w:rsid w:val="19FF0EEC"/>
    <w:rsid w:val="1A046ABA"/>
    <w:rsid w:val="1A0D1395"/>
    <w:rsid w:val="1A176CA1"/>
    <w:rsid w:val="1A1E584A"/>
    <w:rsid w:val="1A28594B"/>
    <w:rsid w:val="1A296B24"/>
    <w:rsid w:val="1A4B52AF"/>
    <w:rsid w:val="1A772262"/>
    <w:rsid w:val="1A7B1B11"/>
    <w:rsid w:val="1AA401B8"/>
    <w:rsid w:val="1ACA1B7F"/>
    <w:rsid w:val="1AED3ED3"/>
    <w:rsid w:val="1AF73D90"/>
    <w:rsid w:val="1AFB5096"/>
    <w:rsid w:val="1B11713D"/>
    <w:rsid w:val="1B17308F"/>
    <w:rsid w:val="1B343987"/>
    <w:rsid w:val="1B531365"/>
    <w:rsid w:val="1B5C6781"/>
    <w:rsid w:val="1B6A4E47"/>
    <w:rsid w:val="1B7A15EF"/>
    <w:rsid w:val="1B7F21B4"/>
    <w:rsid w:val="1B87156F"/>
    <w:rsid w:val="1B922213"/>
    <w:rsid w:val="1BAB1D35"/>
    <w:rsid w:val="1BAF7941"/>
    <w:rsid w:val="1BBB37FD"/>
    <w:rsid w:val="1BD14C5E"/>
    <w:rsid w:val="1BD67142"/>
    <w:rsid w:val="1BDD658A"/>
    <w:rsid w:val="1BE00529"/>
    <w:rsid w:val="1BE2143A"/>
    <w:rsid w:val="1BE22BE9"/>
    <w:rsid w:val="1BF0122B"/>
    <w:rsid w:val="1C360224"/>
    <w:rsid w:val="1C4A0C85"/>
    <w:rsid w:val="1C644D63"/>
    <w:rsid w:val="1C9C37D3"/>
    <w:rsid w:val="1CA76536"/>
    <w:rsid w:val="1CAA6093"/>
    <w:rsid w:val="1CAD18BE"/>
    <w:rsid w:val="1CB07866"/>
    <w:rsid w:val="1CC3562D"/>
    <w:rsid w:val="1CC85D58"/>
    <w:rsid w:val="1CDA2F65"/>
    <w:rsid w:val="1CE60643"/>
    <w:rsid w:val="1CF27B0C"/>
    <w:rsid w:val="1D022EE7"/>
    <w:rsid w:val="1D1735EF"/>
    <w:rsid w:val="1D261D85"/>
    <w:rsid w:val="1D262EE7"/>
    <w:rsid w:val="1D291E03"/>
    <w:rsid w:val="1D2E5610"/>
    <w:rsid w:val="1D307617"/>
    <w:rsid w:val="1D335ADC"/>
    <w:rsid w:val="1D4C74D5"/>
    <w:rsid w:val="1D5466EF"/>
    <w:rsid w:val="1D8D17AC"/>
    <w:rsid w:val="1D8D3444"/>
    <w:rsid w:val="1D9F7D74"/>
    <w:rsid w:val="1DAB2FFA"/>
    <w:rsid w:val="1DAD0464"/>
    <w:rsid w:val="1DBE0F23"/>
    <w:rsid w:val="1DC314ED"/>
    <w:rsid w:val="1DCF32D8"/>
    <w:rsid w:val="1DD44802"/>
    <w:rsid w:val="1DEA2EF7"/>
    <w:rsid w:val="1DED3227"/>
    <w:rsid w:val="1DF05686"/>
    <w:rsid w:val="1E0E6FDF"/>
    <w:rsid w:val="1E170FFC"/>
    <w:rsid w:val="1E253F37"/>
    <w:rsid w:val="1E291E69"/>
    <w:rsid w:val="1E387138"/>
    <w:rsid w:val="1E424C3B"/>
    <w:rsid w:val="1E460C58"/>
    <w:rsid w:val="1E58467D"/>
    <w:rsid w:val="1E5E7ECB"/>
    <w:rsid w:val="1E703ABD"/>
    <w:rsid w:val="1E781C68"/>
    <w:rsid w:val="1E88042F"/>
    <w:rsid w:val="1E9C2A8F"/>
    <w:rsid w:val="1E9E4FC6"/>
    <w:rsid w:val="1EA232D7"/>
    <w:rsid w:val="1EB6422C"/>
    <w:rsid w:val="1EE04CB7"/>
    <w:rsid w:val="1EEA2BD6"/>
    <w:rsid w:val="1EFA6D3C"/>
    <w:rsid w:val="1EFF4DFE"/>
    <w:rsid w:val="1F020DAC"/>
    <w:rsid w:val="1F0B7BF4"/>
    <w:rsid w:val="1F197A4B"/>
    <w:rsid w:val="1F2D14E7"/>
    <w:rsid w:val="1F2D59DC"/>
    <w:rsid w:val="1F304505"/>
    <w:rsid w:val="1F307C62"/>
    <w:rsid w:val="1F433155"/>
    <w:rsid w:val="1F684C3C"/>
    <w:rsid w:val="1F694156"/>
    <w:rsid w:val="1F6E3E1F"/>
    <w:rsid w:val="1F7929AE"/>
    <w:rsid w:val="1F842450"/>
    <w:rsid w:val="1F8A098B"/>
    <w:rsid w:val="1FBB2F09"/>
    <w:rsid w:val="1FC12553"/>
    <w:rsid w:val="1FD4298F"/>
    <w:rsid w:val="1FD430C8"/>
    <w:rsid w:val="1FFC4498"/>
    <w:rsid w:val="201138F2"/>
    <w:rsid w:val="20152456"/>
    <w:rsid w:val="20176742"/>
    <w:rsid w:val="201D4051"/>
    <w:rsid w:val="20255F24"/>
    <w:rsid w:val="206936FD"/>
    <w:rsid w:val="206B3C66"/>
    <w:rsid w:val="2074194C"/>
    <w:rsid w:val="208E0A7A"/>
    <w:rsid w:val="20A20F73"/>
    <w:rsid w:val="20A24733"/>
    <w:rsid w:val="20A3526B"/>
    <w:rsid w:val="20C650C9"/>
    <w:rsid w:val="20D01CB2"/>
    <w:rsid w:val="20D23DFC"/>
    <w:rsid w:val="20D9465A"/>
    <w:rsid w:val="20F0371E"/>
    <w:rsid w:val="20F21939"/>
    <w:rsid w:val="21054C70"/>
    <w:rsid w:val="21194658"/>
    <w:rsid w:val="213C3112"/>
    <w:rsid w:val="21465528"/>
    <w:rsid w:val="21477613"/>
    <w:rsid w:val="214A1B76"/>
    <w:rsid w:val="215D0590"/>
    <w:rsid w:val="215E451D"/>
    <w:rsid w:val="2187004C"/>
    <w:rsid w:val="21A02767"/>
    <w:rsid w:val="21A71548"/>
    <w:rsid w:val="21CE2BD9"/>
    <w:rsid w:val="21DD731A"/>
    <w:rsid w:val="220A77E8"/>
    <w:rsid w:val="22154920"/>
    <w:rsid w:val="22295B1A"/>
    <w:rsid w:val="222D2C40"/>
    <w:rsid w:val="22354D72"/>
    <w:rsid w:val="22370151"/>
    <w:rsid w:val="22517ACF"/>
    <w:rsid w:val="225D5309"/>
    <w:rsid w:val="225D585D"/>
    <w:rsid w:val="225D726E"/>
    <w:rsid w:val="22650AF6"/>
    <w:rsid w:val="22BB4CA6"/>
    <w:rsid w:val="22D92D22"/>
    <w:rsid w:val="22F00FBF"/>
    <w:rsid w:val="230378D3"/>
    <w:rsid w:val="231703A5"/>
    <w:rsid w:val="23227BE7"/>
    <w:rsid w:val="232D08B9"/>
    <w:rsid w:val="233F30E4"/>
    <w:rsid w:val="23515CD3"/>
    <w:rsid w:val="235F437F"/>
    <w:rsid w:val="236A192E"/>
    <w:rsid w:val="238E43D0"/>
    <w:rsid w:val="23BC0AC6"/>
    <w:rsid w:val="23BE6ACB"/>
    <w:rsid w:val="23D778D2"/>
    <w:rsid w:val="23F12957"/>
    <w:rsid w:val="243E1982"/>
    <w:rsid w:val="2459006F"/>
    <w:rsid w:val="24656F5B"/>
    <w:rsid w:val="247300D6"/>
    <w:rsid w:val="247C59B7"/>
    <w:rsid w:val="247F2F33"/>
    <w:rsid w:val="24830913"/>
    <w:rsid w:val="249157D4"/>
    <w:rsid w:val="24936AC4"/>
    <w:rsid w:val="24956C90"/>
    <w:rsid w:val="24985EE0"/>
    <w:rsid w:val="24BD304E"/>
    <w:rsid w:val="24C209A7"/>
    <w:rsid w:val="24C945B1"/>
    <w:rsid w:val="24CF2892"/>
    <w:rsid w:val="24DE5462"/>
    <w:rsid w:val="24E454AF"/>
    <w:rsid w:val="24E4707F"/>
    <w:rsid w:val="25001747"/>
    <w:rsid w:val="25131EE2"/>
    <w:rsid w:val="251552B5"/>
    <w:rsid w:val="251B525F"/>
    <w:rsid w:val="252B3B89"/>
    <w:rsid w:val="253027D3"/>
    <w:rsid w:val="253F3E39"/>
    <w:rsid w:val="25780405"/>
    <w:rsid w:val="258A19A4"/>
    <w:rsid w:val="258C0F3A"/>
    <w:rsid w:val="25A5738C"/>
    <w:rsid w:val="25CE780C"/>
    <w:rsid w:val="25DA0611"/>
    <w:rsid w:val="25E77926"/>
    <w:rsid w:val="25E87FC5"/>
    <w:rsid w:val="25F429FF"/>
    <w:rsid w:val="25FB6FBB"/>
    <w:rsid w:val="25FD102F"/>
    <w:rsid w:val="26105E59"/>
    <w:rsid w:val="262504D5"/>
    <w:rsid w:val="262D5AE2"/>
    <w:rsid w:val="263018E1"/>
    <w:rsid w:val="26405C4F"/>
    <w:rsid w:val="264505C9"/>
    <w:rsid w:val="264F27C7"/>
    <w:rsid w:val="26565955"/>
    <w:rsid w:val="265F1366"/>
    <w:rsid w:val="266A5D36"/>
    <w:rsid w:val="26733689"/>
    <w:rsid w:val="267465E4"/>
    <w:rsid w:val="268C06AA"/>
    <w:rsid w:val="268D310C"/>
    <w:rsid w:val="269152E5"/>
    <w:rsid w:val="26A86578"/>
    <w:rsid w:val="26B1284F"/>
    <w:rsid w:val="26C32603"/>
    <w:rsid w:val="26E17320"/>
    <w:rsid w:val="26E30CE5"/>
    <w:rsid w:val="26EC6868"/>
    <w:rsid w:val="26ED5784"/>
    <w:rsid w:val="26FC6002"/>
    <w:rsid w:val="26FD745E"/>
    <w:rsid w:val="2703598D"/>
    <w:rsid w:val="270E7B47"/>
    <w:rsid w:val="27125B70"/>
    <w:rsid w:val="27302F11"/>
    <w:rsid w:val="2757246A"/>
    <w:rsid w:val="275C6F53"/>
    <w:rsid w:val="27602ECA"/>
    <w:rsid w:val="276D47AB"/>
    <w:rsid w:val="276E3252"/>
    <w:rsid w:val="278D6548"/>
    <w:rsid w:val="27A21B17"/>
    <w:rsid w:val="27A92CE9"/>
    <w:rsid w:val="27B078D8"/>
    <w:rsid w:val="27D43AE7"/>
    <w:rsid w:val="27E0373F"/>
    <w:rsid w:val="27EA42EF"/>
    <w:rsid w:val="27F415C9"/>
    <w:rsid w:val="2806316A"/>
    <w:rsid w:val="283065FE"/>
    <w:rsid w:val="28443519"/>
    <w:rsid w:val="28506864"/>
    <w:rsid w:val="28670377"/>
    <w:rsid w:val="287154F8"/>
    <w:rsid w:val="28857E66"/>
    <w:rsid w:val="28991B90"/>
    <w:rsid w:val="28CF22DD"/>
    <w:rsid w:val="28D03DC8"/>
    <w:rsid w:val="28D263B5"/>
    <w:rsid w:val="28EB1F4A"/>
    <w:rsid w:val="28ED190A"/>
    <w:rsid w:val="29265141"/>
    <w:rsid w:val="294013D5"/>
    <w:rsid w:val="29483952"/>
    <w:rsid w:val="29613368"/>
    <w:rsid w:val="297D6E4B"/>
    <w:rsid w:val="29921C4F"/>
    <w:rsid w:val="29976D14"/>
    <w:rsid w:val="29A62FCF"/>
    <w:rsid w:val="29B7635B"/>
    <w:rsid w:val="29CA0CF1"/>
    <w:rsid w:val="29F0732E"/>
    <w:rsid w:val="29F1695C"/>
    <w:rsid w:val="2A177709"/>
    <w:rsid w:val="2A2226EB"/>
    <w:rsid w:val="2A3C5566"/>
    <w:rsid w:val="2A5336D9"/>
    <w:rsid w:val="2A654F26"/>
    <w:rsid w:val="2A6A7F53"/>
    <w:rsid w:val="2A8022CD"/>
    <w:rsid w:val="2A8D3298"/>
    <w:rsid w:val="2A9A42BF"/>
    <w:rsid w:val="2AB4151D"/>
    <w:rsid w:val="2ACC4C23"/>
    <w:rsid w:val="2AE46C6D"/>
    <w:rsid w:val="2AE6186C"/>
    <w:rsid w:val="2AF33D13"/>
    <w:rsid w:val="2B187A42"/>
    <w:rsid w:val="2B2B09EA"/>
    <w:rsid w:val="2B2D7144"/>
    <w:rsid w:val="2B3F74FC"/>
    <w:rsid w:val="2B5661DE"/>
    <w:rsid w:val="2B64197D"/>
    <w:rsid w:val="2B762959"/>
    <w:rsid w:val="2B9C5678"/>
    <w:rsid w:val="2BA116B3"/>
    <w:rsid w:val="2BB91157"/>
    <w:rsid w:val="2BBE4560"/>
    <w:rsid w:val="2BF746D7"/>
    <w:rsid w:val="2C00108E"/>
    <w:rsid w:val="2C200325"/>
    <w:rsid w:val="2C2657FB"/>
    <w:rsid w:val="2C7C350C"/>
    <w:rsid w:val="2CAA7C89"/>
    <w:rsid w:val="2CAF46E7"/>
    <w:rsid w:val="2CC40E14"/>
    <w:rsid w:val="2CDE41BC"/>
    <w:rsid w:val="2CFD7918"/>
    <w:rsid w:val="2D11017C"/>
    <w:rsid w:val="2D194F16"/>
    <w:rsid w:val="2D200C02"/>
    <w:rsid w:val="2D220828"/>
    <w:rsid w:val="2D29102E"/>
    <w:rsid w:val="2D4906D5"/>
    <w:rsid w:val="2D4C3F21"/>
    <w:rsid w:val="2D566915"/>
    <w:rsid w:val="2D724D1D"/>
    <w:rsid w:val="2D730E7A"/>
    <w:rsid w:val="2D99206E"/>
    <w:rsid w:val="2D9E6C52"/>
    <w:rsid w:val="2DA214B5"/>
    <w:rsid w:val="2DBE3A21"/>
    <w:rsid w:val="2DC105D7"/>
    <w:rsid w:val="2DD24E3D"/>
    <w:rsid w:val="2DD558A5"/>
    <w:rsid w:val="2DDB6917"/>
    <w:rsid w:val="2DF40666"/>
    <w:rsid w:val="2DFC784B"/>
    <w:rsid w:val="2E1A1846"/>
    <w:rsid w:val="2E2C2801"/>
    <w:rsid w:val="2E462B80"/>
    <w:rsid w:val="2E612427"/>
    <w:rsid w:val="2E6672F1"/>
    <w:rsid w:val="2EB340C3"/>
    <w:rsid w:val="2EB8312E"/>
    <w:rsid w:val="2EBE5975"/>
    <w:rsid w:val="2EE36365"/>
    <w:rsid w:val="2F0631DD"/>
    <w:rsid w:val="2F141A52"/>
    <w:rsid w:val="2F183A37"/>
    <w:rsid w:val="2F2A0A48"/>
    <w:rsid w:val="2F32147B"/>
    <w:rsid w:val="2F3F7C72"/>
    <w:rsid w:val="2F416018"/>
    <w:rsid w:val="2F4B0931"/>
    <w:rsid w:val="2F5561D1"/>
    <w:rsid w:val="2F656F7A"/>
    <w:rsid w:val="2F7271DA"/>
    <w:rsid w:val="2F742080"/>
    <w:rsid w:val="2F754040"/>
    <w:rsid w:val="2F75787F"/>
    <w:rsid w:val="2F786609"/>
    <w:rsid w:val="2F816A87"/>
    <w:rsid w:val="2F9821B7"/>
    <w:rsid w:val="2FBB395D"/>
    <w:rsid w:val="2FC17A65"/>
    <w:rsid w:val="2FC20B21"/>
    <w:rsid w:val="2FC815B1"/>
    <w:rsid w:val="2FF3366F"/>
    <w:rsid w:val="30075BD3"/>
    <w:rsid w:val="30347DA4"/>
    <w:rsid w:val="30437365"/>
    <w:rsid w:val="304661A7"/>
    <w:rsid w:val="30542275"/>
    <w:rsid w:val="306E796E"/>
    <w:rsid w:val="30747D51"/>
    <w:rsid w:val="3081052D"/>
    <w:rsid w:val="30850E88"/>
    <w:rsid w:val="30AC63F7"/>
    <w:rsid w:val="30B7658C"/>
    <w:rsid w:val="30C2647C"/>
    <w:rsid w:val="30C7433F"/>
    <w:rsid w:val="30CF6EF2"/>
    <w:rsid w:val="30D75B88"/>
    <w:rsid w:val="30E35E96"/>
    <w:rsid w:val="30E952E5"/>
    <w:rsid w:val="31144557"/>
    <w:rsid w:val="311D2552"/>
    <w:rsid w:val="31243781"/>
    <w:rsid w:val="314C61B4"/>
    <w:rsid w:val="314F5B9C"/>
    <w:rsid w:val="31523B47"/>
    <w:rsid w:val="31591F40"/>
    <w:rsid w:val="3170507B"/>
    <w:rsid w:val="31744984"/>
    <w:rsid w:val="317815C9"/>
    <w:rsid w:val="318C7267"/>
    <w:rsid w:val="31A12A51"/>
    <w:rsid w:val="31D2661E"/>
    <w:rsid w:val="31F51BBD"/>
    <w:rsid w:val="322921B9"/>
    <w:rsid w:val="322D5960"/>
    <w:rsid w:val="322E33E2"/>
    <w:rsid w:val="323826EF"/>
    <w:rsid w:val="32395543"/>
    <w:rsid w:val="32551F95"/>
    <w:rsid w:val="325548AF"/>
    <w:rsid w:val="325C17E3"/>
    <w:rsid w:val="325C5FF4"/>
    <w:rsid w:val="328323AD"/>
    <w:rsid w:val="328E5E97"/>
    <w:rsid w:val="32973866"/>
    <w:rsid w:val="32AC2021"/>
    <w:rsid w:val="32C6485A"/>
    <w:rsid w:val="32CB0571"/>
    <w:rsid w:val="32DE0865"/>
    <w:rsid w:val="32E028CB"/>
    <w:rsid w:val="32E26388"/>
    <w:rsid w:val="32F65BDA"/>
    <w:rsid w:val="32F83D10"/>
    <w:rsid w:val="334764F4"/>
    <w:rsid w:val="334B65FC"/>
    <w:rsid w:val="336F39EE"/>
    <w:rsid w:val="338964DC"/>
    <w:rsid w:val="339C7D4F"/>
    <w:rsid w:val="33A44248"/>
    <w:rsid w:val="33BC2E62"/>
    <w:rsid w:val="33C521FE"/>
    <w:rsid w:val="33CF5F86"/>
    <w:rsid w:val="33D8527D"/>
    <w:rsid w:val="33DB357D"/>
    <w:rsid w:val="33DF260C"/>
    <w:rsid w:val="3414288A"/>
    <w:rsid w:val="341A12FA"/>
    <w:rsid w:val="34305E4D"/>
    <w:rsid w:val="34454CA6"/>
    <w:rsid w:val="344A5AB1"/>
    <w:rsid w:val="345E4478"/>
    <w:rsid w:val="346160AB"/>
    <w:rsid w:val="34695A44"/>
    <w:rsid w:val="346E0B94"/>
    <w:rsid w:val="347A459C"/>
    <w:rsid w:val="347D25A2"/>
    <w:rsid w:val="347E2175"/>
    <w:rsid w:val="34804B13"/>
    <w:rsid w:val="348B3E93"/>
    <w:rsid w:val="34916F74"/>
    <w:rsid w:val="34B12305"/>
    <w:rsid w:val="34BB2136"/>
    <w:rsid w:val="34CE2F00"/>
    <w:rsid w:val="34D431D7"/>
    <w:rsid w:val="34DF0F8C"/>
    <w:rsid w:val="35081045"/>
    <w:rsid w:val="3517711D"/>
    <w:rsid w:val="35193E12"/>
    <w:rsid w:val="351A3B61"/>
    <w:rsid w:val="35201CCF"/>
    <w:rsid w:val="352D2D84"/>
    <w:rsid w:val="35313B65"/>
    <w:rsid w:val="35345F42"/>
    <w:rsid w:val="355E5BE4"/>
    <w:rsid w:val="356339F7"/>
    <w:rsid w:val="3564581D"/>
    <w:rsid w:val="356D2CF1"/>
    <w:rsid w:val="356F6697"/>
    <w:rsid w:val="3575621C"/>
    <w:rsid w:val="3595208D"/>
    <w:rsid w:val="35971961"/>
    <w:rsid w:val="35A04FF3"/>
    <w:rsid w:val="35AE4166"/>
    <w:rsid w:val="35B65B88"/>
    <w:rsid w:val="35B8053A"/>
    <w:rsid w:val="35CE07F2"/>
    <w:rsid w:val="35CE5279"/>
    <w:rsid w:val="35D963E6"/>
    <w:rsid w:val="35FD7FB4"/>
    <w:rsid w:val="36002172"/>
    <w:rsid w:val="3618201D"/>
    <w:rsid w:val="3621177A"/>
    <w:rsid w:val="363A666D"/>
    <w:rsid w:val="36537469"/>
    <w:rsid w:val="367D6EF4"/>
    <w:rsid w:val="368F622C"/>
    <w:rsid w:val="369601B0"/>
    <w:rsid w:val="36A9681E"/>
    <w:rsid w:val="36AA46B4"/>
    <w:rsid w:val="36BA5D2F"/>
    <w:rsid w:val="36D9503C"/>
    <w:rsid w:val="36F445B4"/>
    <w:rsid w:val="36FA2E4F"/>
    <w:rsid w:val="37120A40"/>
    <w:rsid w:val="37122CEA"/>
    <w:rsid w:val="372100FB"/>
    <w:rsid w:val="37290099"/>
    <w:rsid w:val="3735652B"/>
    <w:rsid w:val="3736667B"/>
    <w:rsid w:val="374128DC"/>
    <w:rsid w:val="375D3FE8"/>
    <w:rsid w:val="376318CF"/>
    <w:rsid w:val="37645B6D"/>
    <w:rsid w:val="3770383D"/>
    <w:rsid w:val="37715C85"/>
    <w:rsid w:val="377C1322"/>
    <w:rsid w:val="377D713B"/>
    <w:rsid w:val="3784212C"/>
    <w:rsid w:val="37CA63A8"/>
    <w:rsid w:val="37CC1D08"/>
    <w:rsid w:val="37CF6641"/>
    <w:rsid w:val="37E454DB"/>
    <w:rsid w:val="37E61372"/>
    <w:rsid w:val="37E8710D"/>
    <w:rsid w:val="37F05CC2"/>
    <w:rsid w:val="37F1507A"/>
    <w:rsid w:val="37F95AC6"/>
    <w:rsid w:val="37FE1923"/>
    <w:rsid w:val="380A0D58"/>
    <w:rsid w:val="3811361F"/>
    <w:rsid w:val="385A7756"/>
    <w:rsid w:val="38674967"/>
    <w:rsid w:val="38761876"/>
    <w:rsid w:val="38954EDE"/>
    <w:rsid w:val="38965107"/>
    <w:rsid w:val="389C5924"/>
    <w:rsid w:val="38B555A0"/>
    <w:rsid w:val="38D7100F"/>
    <w:rsid w:val="38DF3DE3"/>
    <w:rsid w:val="38EE2019"/>
    <w:rsid w:val="38F17DC5"/>
    <w:rsid w:val="38F41FC3"/>
    <w:rsid w:val="39040C3C"/>
    <w:rsid w:val="390F1C37"/>
    <w:rsid w:val="392751D2"/>
    <w:rsid w:val="39367E81"/>
    <w:rsid w:val="393F1547"/>
    <w:rsid w:val="39402A7A"/>
    <w:rsid w:val="397067A2"/>
    <w:rsid w:val="39724613"/>
    <w:rsid w:val="39750524"/>
    <w:rsid w:val="39900A8A"/>
    <w:rsid w:val="39AD0599"/>
    <w:rsid w:val="39AE0BC1"/>
    <w:rsid w:val="39AE37C3"/>
    <w:rsid w:val="39B1253B"/>
    <w:rsid w:val="39C64155"/>
    <w:rsid w:val="39E343BD"/>
    <w:rsid w:val="39EF3582"/>
    <w:rsid w:val="39FC3F2E"/>
    <w:rsid w:val="3A33152C"/>
    <w:rsid w:val="3A4438A4"/>
    <w:rsid w:val="3A5E652C"/>
    <w:rsid w:val="3A6C6C36"/>
    <w:rsid w:val="3A7E2DD8"/>
    <w:rsid w:val="3A822F78"/>
    <w:rsid w:val="3A9E5013"/>
    <w:rsid w:val="3AA577AD"/>
    <w:rsid w:val="3AAE3A20"/>
    <w:rsid w:val="3AB31168"/>
    <w:rsid w:val="3ABC7F53"/>
    <w:rsid w:val="3AE93F0E"/>
    <w:rsid w:val="3B02386C"/>
    <w:rsid w:val="3B057EC0"/>
    <w:rsid w:val="3B1A783A"/>
    <w:rsid w:val="3B294ECC"/>
    <w:rsid w:val="3B302C5A"/>
    <w:rsid w:val="3B351BE9"/>
    <w:rsid w:val="3B381D36"/>
    <w:rsid w:val="3B43560E"/>
    <w:rsid w:val="3B4E0C94"/>
    <w:rsid w:val="3B6873DC"/>
    <w:rsid w:val="3B6E4208"/>
    <w:rsid w:val="3B7A2016"/>
    <w:rsid w:val="3B842468"/>
    <w:rsid w:val="3B8628B6"/>
    <w:rsid w:val="3B8714D8"/>
    <w:rsid w:val="3B8C75C1"/>
    <w:rsid w:val="3B950066"/>
    <w:rsid w:val="3BA702A9"/>
    <w:rsid w:val="3BBA302C"/>
    <w:rsid w:val="3BFB12B0"/>
    <w:rsid w:val="3BFD3C51"/>
    <w:rsid w:val="3BFF19E6"/>
    <w:rsid w:val="3BFF56EF"/>
    <w:rsid w:val="3C0E11C2"/>
    <w:rsid w:val="3C103A8C"/>
    <w:rsid w:val="3C184615"/>
    <w:rsid w:val="3C2E1A68"/>
    <w:rsid w:val="3C400A64"/>
    <w:rsid w:val="3C5A58BF"/>
    <w:rsid w:val="3C8223E2"/>
    <w:rsid w:val="3C8D6E0D"/>
    <w:rsid w:val="3C9E7CD6"/>
    <w:rsid w:val="3CAC7699"/>
    <w:rsid w:val="3CAF0B19"/>
    <w:rsid w:val="3CB205DA"/>
    <w:rsid w:val="3CB333DC"/>
    <w:rsid w:val="3CBC3258"/>
    <w:rsid w:val="3CD11E57"/>
    <w:rsid w:val="3CD24E59"/>
    <w:rsid w:val="3CDF5BC3"/>
    <w:rsid w:val="3D015E38"/>
    <w:rsid w:val="3D127F47"/>
    <w:rsid w:val="3D140A86"/>
    <w:rsid w:val="3D151D1E"/>
    <w:rsid w:val="3D284A64"/>
    <w:rsid w:val="3D3F74B7"/>
    <w:rsid w:val="3D4804B5"/>
    <w:rsid w:val="3D784BEF"/>
    <w:rsid w:val="3D7C44EE"/>
    <w:rsid w:val="3D7E7A0D"/>
    <w:rsid w:val="3D970F85"/>
    <w:rsid w:val="3D99103B"/>
    <w:rsid w:val="3D9D0E19"/>
    <w:rsid w:val="3DB9490C"/>
    <w:rsid w:val="3DBE5EDC"/>
    <w:rsid w:val="3DC441B8"/>
    <w:rsid w:val="3DDE500C"/>
    <w:rsid w:val="3DEF3B09"/>
    <w:rsid w:val="3E0455FE"/>
    <w:rsid w:val="3E1705DF"/>
    <w:rsid w:val="3E2942C5"/>
    <w:rsid w:val="3E334C0C"/>
    <w:rsid w:val="3E604AC8"/>
    <w:rsid w:val="3E796A31"/>
    <w:rsid w:val="3E9073D2"/>
    <w:rsid w:val="3E9F1FB9"/>
    <w:rsid w:val="3EA76343"/>
    <w:rsid w:val="3EB3067A"/>
    <w:rsid w:val="3EDF1E0E"/>
    <w:rsid w:val="3EE364AF"/>
    <w:rsid w:val="3F0439F8"/>
    <w:rsid w:val="3F3219B7"/>
    <w:rsid w:val="3F374504"/>
    <w:rsid w:val="3F71218F"/>
    <w:rsid w:val="3F7E3E67"/>
    <w:rsid w:val="3F930040"/>
    <w:rsid w:val="3F970197"/>
    <w:rsid w:val="3FAB074A"/>
    <w:rsid w:val="3FAE05D5"/>
    <w:rsid w:val="3FB05648"/>
    <w:rsid w:val="3FB23B59"/>
    <w:rsid w:val="3FCD4DB1"/>
    <w:rsid w:val="3FD56411"/>
    <w:rsid w:val="3FDC22B0"/>
    <w:rsid w:val="3FE632B6"/>
    <w:rsid w:val="3FFB35DB"/>
    <w:rsid w:val="403F088D"/>
    <w:rsid w:val="406859AA"/>
    <w:rsid w:val="406B6564"/>
    <w:rsid w:val="408F4BD8"/>
    <w:rsid w:val="40A91A34"/>
    <w:rsid w:val="40AD437E"/>
    <w:rsid w:val="40B10260"/>
    <w:rsid w:val="40B735A6"/>
    <w:rsid w:val="40BB4F3F"/>
    <w:rsid w:val="40D3739D"/>
    <w:rsid w:val="41026C78"/>
    <w:rsid w:val="41473CFD"/>
    <w:rsid w:val="414E437B"/>
    <w:rsid w:val="419C457A"/>
    <w:rsid w:val="41AB242F"/>
    <w:rsid w:val="41C9544D"/>
    <w:rsid w:val="41CD68AE"/>
    <w:rsid w:val="41D4257B"/>
    <w:rsid w:val="41D473E0"/>
    <w:rsid w:val="41DE5FC0"/>
    <w:rsid w:val="41F4595F"/>
    <w:rsid w:val="420610DF"/>
    <w:rsid w:val="42137B03"/>
    <w:rsid w:val="421C6B06"/>
    <w:rsid w:val="421D4014"/>
    <w:rsid w:val="42692609"/>
    <w:rsid w:val="426E7C3A"/>
    <w:rsid w:val="42726CB0"/>
    <w:rsid w:val="427C76F8"/>
    <w:rsid w:val="42812D23"/>
    <w:rsid w:val="42A5477E"/>
    <w:rsid w:val="42A55765"/>
    <w:rsid w:val="42BA3DC5"/>
    <w:rsid w:val="42D302E3"/>
    <w:rsid w:val="42E56005"/>
    <w:rsid w:val="4302728F"/>
    <w:rsid w:val="431E0EF6"/>
    <w:rsid w:val="43220649"/>
    <w:rsid w:val="432B3440"/>
    <w:rsid w:val="432B64ED"/>
    <w:rsid w:val="433779DA"/>
    <w:rsid w:val="43453B8E"/>
    <w:rsid w:val="434A5217"/>
    <w:rsid w:val="43743944"/>
    <w:rsid w:val="43750529"/>
    <w:rsid w:val="438422EA"/>
    <w:rsid w:val="43946DB2"/>
    <w:rsid w:val="43C50111"/>
    <w:rsid w:val="43C5432B"/>
    <w:rsid w:val="43CF4A53"/>
    <w:rsid w:val="43D973AE"/>
    <w:rsid w:val="43DA5363"/>
    <w:rsid w:val="44071554"/>
    <w:rsid w:val="440A5BB7"/>
    <w:rsid w:val="44370561"/>
    <w:rsid w:val="444B3D71"/>
    <w:rsid w:val="444E2882"/>
    <w:rsid w:val="444F2BED"/>
    <w:rsid w:val="44770A1B"/>
    <w:rsid w:val="44803F86"/>
    <w:rsid w:val="448076B8"/>
    <w:rsid w:val="448A17EB"/>
    <w:rsid w:val="448D4B91"/>
    <w:rsid w:val="44A66B5E"/>
    <w:rsid w:val="44AD7DE0"/>
    <w:rsid w:val="44B04F3E"/>
    <w:rsid w:val="44B479E6"/>
    <w:rsid w:val="44B76A8F"/>
    <w:rsid w:val="44BA5299"/>
    <w:rsid w:val="44BC304C"/>
    <w:rsid w:val="44BC4363"/>
    <w:rsid w:val="44E10458"/>
    <w:rsid w:val="44F0157A"/>
    <w:rsid w:val="44F66A57"/>
    <w:rsid w:val="44FD0056"/>
    <w:rsid w:val="44FF12E5"/>
    <w:rsid w:val="44FF2593"/>
    <w:rsid w:val="452D4F61"/>
    <w:rsid w:val="4541211C"/>
    <w:rsid w:val="45581245"/>
    <w:rsid w:val="45733286"/>
    <w:rsid w:val="458E64C7"/>
    <w:rsid w:val="45931230"/>
    <w:rsid w:val="45B116AC"/>
    <w:rsid w:val="45C21DFF"/>
    <w:rsid w:val="45C52D84"/>
    <w:rsid w:val="45D60C14"/>
    <w:rsid w:val="45D97854"/>
    <w:rsid w:val="45E51499"/>
    <w:rsid w:val="45EA25A2"/>
    <w:rsid w:val="45FA4BA3"/>
    <w:rsid w:val="46910894"/>
    <w:rsid w:val="46A31066"/>
    <w:rsid w:val="46A71014"/>
    <w:rsid w:val="46B9036E"/>
    <w:rsid w:val="46C0201F"/>
    <w:rsid w:val="46C47020"/>
    <w:rsid w:val="46C64492"/>
    <w:rsid w:val="46CB2A55"/>
    <w:rsid w:val="46D10FC6"/>
    <w:rsid w:val="46EA3DEB"/>
    <w:rsid w:val="46FE4EC3"/>
    <w:rsid w:val="46FF0485"/>
    <w:rsid w:val="47003C13"/>
    <w:rsid w:val="470A593E"/>
    <w:rsid w:val="471F5E7E"/>
    <w:rsid w:val="47213D2E"/>
    <w:rsid w:val="472623C2"/>
    <w:rsid w:val="472B72DF"/>
    <w:rsid w:val="47446A78"/>
    <w:rsid w:val="474C3E84"/>
    <w:rsid w:val="47593359"/>
    <w:rsid w:val="4765181F"/>
    <w:rsid w:val="477C7BD2"/>
    <w:rsid w:val="478D1966"/>
    <w:rsid w:val="479F4A96"/>
    <w:rsid w:val="47B2337B"/>
    <w:rsid w:val="47C83F3F"/>
    <w:rsid w:val="47DD1B2A"/>
    <w:rsid w:val="47E02324"/>
    <w:rsid w:val="47F02C32"/>
    <w:rsid w:val="48073AB4"/>
    <w:rsid w:val="480C15F7"/>
    <w:rsid w:val="4832024E"/>
    <w:rsid w:val="48343FA3"/>
    <w:rsid w:val="48552390"/>
    <w:rsid w:val="48756BE8"/>
    <w:rsid w:val="48760C91"/>
    <w:rsid w:val="48904C82"/>
    <w:rsid w:val="48A83582"/>
    <w:rsid w:val="48BD400F"/>
    <w:rsid w:val="48C449C9"/>
    <w:rsid w:val="48D07FFD"/>
    <w:rsid w:val="48D10C0B"/>
    <w:rsid w:val="48DE60F7"/>
    <w:rsid w:val="48E413E1"/>
    <w:rsid w:val="490A0DEA"/>
    <w:rsid w:val="491B122F"/>
    <w:rsid w:val="493D7EB8"/>
    <w:rsid w:val="494B3B9E"/>
    <w:rsid w:val="496B4F6A"/>
    <w:rsid w:val="499F6B75"/>
    <w:rsid w:val="49A405C8"/>
    <w:rsid w:val="49A5263E"/>
    <w:rsid w:val="49AC10A5"/>
    <w:rsid w:val="49DB1B45"/>
    <w:rsid w:val="49EF154C"/>
    <w:rsid w:val="49F4158E"/>
    <w:rsid w:val="49FA4C17"/>
    <w:rsid w:val="4A0839B1"/>
    <w:rsid w:val="4A1B1AA4"/>
    <w:rsid w:val="4A1C4C73"/>
    <w:rsid w:val="4A283338"/>
    <w:rsid w:val="4A3C1AA5"/>
    <w:rsid w:val="4A521F7E"/>
    <w:rsid w:val="4A8536B5"/>
    <w:rsid w:val="4AA7235D"/>
    <w:rsid w:val="4AAC5F59"/>
    <w:rsid w:val="4ABE1CF5"/>
    <w:rsid w:val="4AC46C7E"/>
    <w:rsid w:val="4ADC3E7B"/>
    <w:rsid w:val="4AE53D06"/>
    <w:rsid w:val="4B0B474B"/>
    <w:rsid w:val="4B111698"/>
    <w:rsid w:val="4B1B7C93"/>
    <w:rsid w:val="4B5538D6"/>
    <w:rsid w:val="4B562118"/>
    <w:rsid w:val="4B8A3B03"/>
    <w:rsid w:val="4B8D1702"/>
    <w:rsid w:val="4B917ACD"/>
    <w:rsid w:val="4BA662B7"/>
    <w:rsid w:val="4BAF2348"/>
    <w:rsid w:val="4BB50541"/>
    <w:rsid w:val="4BB71ED8"/>
    <w:rsid w:val="4BB7706A"/>
    <w:rsid w:val="4BC476AE"/>
    <w:rsid w:val="4BC615E0"/>
    <w:rsid w:val="4BD73577"/>
    <w:rsid w:val="4BF26011"/>
    <w:rsid w:val="4BF35865"/>
    <w:rsid w:val="4C0C559F"/>
    <w:rsid w:val="4C144ACD"/>
    <w:rsid w:val="4C1771EA"/>
    <w:rsid w:val="4C352F0F"/>
    <w:rsid w:val="4C4654F4"/>
    <w:rsid w:val="4C483829"/>
    <w:rsid w:val="4C4F1F93"/>
    <w:rsid w:val="4C671669"/>
    <w:rsid w:val="4C6A2590"/>
    <w:rsid w:val="4C931474"/>
    <w:rsid w:val="4CA31BB6"/>
    <w:rsid w:val="4CC277A8"/>
    <w:rsid w:val="4CC479A7"/>
    <w:rsid w:val="4CCF783C"/>
    <w:rsid w:val="4CDF5E46"/>
    <w:rsid w:val="4CF47ABE"/>
    <w:rsid w:val="4CF8003E"/>
    <w:rsid w:val="4D216A72"/>
    <w:rsid w:val="4D335F3C"/>
    <w:rsid w:val="4D376DB8"/>
    <w:rsid w:val="4D605276"/>
    <w:rsid w:val="4D737560"/>
    <w:rsid w:val="4D8B0354"/>
    <w:rsid w:val="4D9D08D6"/>
    <w:rsid w:val="4D9D3991"/>
    <w:rsid w:val="4DE12D32"/>
    <w:rsid w:val="4DE719FF"/>
    <w:rsid w:val="4DF961D6"/>
    <w:rsid w:val="4E0D3458"/>
    <w:rsid w:val="4E230CD5"/>
    <w:rsid w:val="4E26281C"/>
    <w:rsid w:val="4E5B696D"/>
    <w:rsid w:val="4E697143"/>
    <w:rsid w:val="4E7F6455"/>
    <w:rsid w:val="4E824463"/>
    <w:rsid w:val="4E8274C9"/>
    <w:rsid w:val="4E961FE5"/>
    <w:rsid w:val="4E966963"/>
    <w:rsid w:val="4E9F797F"/>
    <w:rsid w:val="4EA758A0"/>
    <w:rsid w:val="4EB237AC"/>
    <w:rsid w:val="4EB25BCA"/>
    <w:rsid w:val="4EBE1C5E"/>
    <w:rsid w:val="4ECA2111"/>
    <w:rsid w:val="4ECA3741"/>
    <w:rsid w:val="4ED421A3"/>
    <w:rsid w:val="4EDF7809"/>
    <w:rsid w:val="4EE32B4E"/>
    <w:rsid w:val="4EE95F0C"/>
    <w:rsid w:val="4EFB0083"/>
    <w:rsid w:val="4F207DA3"/>
    <w:rsid w:val="4F2A5885"/>
    <w:rsid w:val="4F2F7AE8"/>
    <w:rsid w:val="4F4F37F6"/>
    <w:rsid w:val="4F637D4D"/>
    <w:rsid w:val="4F896EA8"/>
    <w:rsid w:val="4F9D6469"/>
    <w:rsid w:val="4FB22261"/>
    <w:rsid w:val="4FBB465F"/>
    <w:rsid w:val="4FE171EE"/>
    <w:rsid w:val="4FE57021"/>
    <w:rsid w:val="4FF327A1"/>
    <w:rsid w:val="4FF81043"/>
    <w:rsid w:val="4FF84471"/>
    <w:rsid w:val="500409C1"/>
    <w:rsid w:val="500F03EB"/>
    <w:rsid w:val="501A175A"/>
    <w:rsid w:val="501F47AB"/>
    <w:rsid w:val="50455289"/>
    <w:rsid w:val="50466582"/>
    <w:rsid w:val="505320EA"/>
    <w:rsid w:val="5059740D"/>
    <w:rsid w:val="506F5870"/>
    <w:rsid w:val="507A615C"/>
    <w:rsid w:val="50AD1EDC"/>
    <w:rsid w:val="50B35257"/>
    <w:rsid w:val="50B61B5E"/>
    <w:rsid w:val="50C8456B"/>
    <w:rsid w:val="50DC569F"/>
    <w:rsid w:val="50EE7DEE"/>
    <w:rsid w:val="50F674E3"/>
    <w:rsid w:val="510D6384"/>
    <w:rsid w:val="510F4A1B"/>
    <w:rsid w:val="51556929"/>
    <w:rsid w:val="51577CEB"/>
    <w:rsid w:val="51661317"/>
    <w:rsid w:val="518565C1"/>
    <w:rsid w:val="519570C5"/>
    <w:rsid w:val="519A7E33"/>
    <w:rsid w:val="51A5780A"/>
    <w:rsid w:val="51AA27D4"/>
    <w:rsid w:val="51B44081"/>
    <w:rsid w:val="51FD7691"/>
    <w:rsid w:val="52101703"/>
    <w:rsid w:val="52154429"/>
    <w:rsid w:val="521C7F46"/>
    <w:rsid w:val="5243576F"/>
    <w:rsid w:val="526251AB"/>
    <w:rsid w:val="52644339"/>
    <w:rsid w:val="5269648E"/>
    <w:rsid w:val="528E6069"/>
    <w:rsid w:val="52985C28"/>
    <w:rsid w:val="52996442"/>
    <w:rsid w:val="52A50359"/>
    <w:rsid w:val="52B54238"/>
    <w:rsid w:val="52BE4DE4"/>
    <w:rsid w:val="52D13A46"/>
    <w:rsid w:val="52E03BD9"/>
    <w:rsid w:val="52EB1898"/>
    <w:rsid w:val="52EE281C"/>
    <w:rsid w:val="52F32050"/>
    <w:rsid w:val="530A715D"/>
    <w:rsid w:val="532A33A7"/>
    <w:rsid w:val="53331C8C"/>
    <w:rsid w:val="533C6CE9"/>
    <w:rsid w:val="537476BA"/>
    <w:rsid w:val="537E5F29"/>
    <w:rsid w:val="53810E86"/>
    <w:rsid w:val="538E6623"/>
    <w:rsid w:val="53A8033B"/>
    <w:rsid w:val="53C03FDD"/>
    <w:rsid w:val="53C82F43"/>
    <w:rsid w:val="53D04FC1"/>
    <w:rsid w:val="53FB1860"/>
    <w:rsid w:val="54244E11"/>
    <w:rsid w:val="543F0EC5"/>
    <w:rsid w:val="544710C4"/>
    <w:rsid w:val="544D79D3"/>
    <w:rsid w:val="5459515B"/>
    <w:rsid w:val="545D78A2"/>
    <w:rsid w:val="546C508A"/>
    <w:rsid w:val="54717794"/>
    <w:rsid w:val="54722F1F"/>
    <w:rsid w:val="54901E4B"/>
    <w:rsid w:val="549036D4"/>
    <w:rsid w:val="54AB0E2D"/>
    <w:rsid w:val="54AE3A89"/>
    <w:rsid w:val="54B001F8"/>
    <w:rsid w:val="54BB0223"/>
    <w:rsid w:val="54CF2358"/>
    <w:rsid w:val="54F30967"/>
    <w:rsid w:val="55026268"/>
    <w:rsid w:val="55414801"/>
    <w:rsid w:val="555F413C"/>
    <w:rsid w:val="5560481F"/>
    <w:rsid w:val="556F3D5A"/>
    <w:rsid w:val="558B6968"/>
    <w:rsid w:val="55D66EF1"/>
    <w:rsid w:val="55DF3413"/>
    <w:rsid w:val="55E36F91"/>
    <w:rsid w:val="55F65E8A"/>
    <w:rsid w:val="56062F0D"/>
    <w:rsid w:val="561E521B"/>
    <w:rsid w:val="564F4750"/>
    <w:rsid w:val="569B164C"/>
    <w:rsid w:val="56AA234E"/>
    <w:rsid w:val="56CB143A"/>
    <w:rsid w:val="56CB72F5"/>
    <w:rsid w:val="56E011F8"/>
    <w:rsid w:val="56F25F93"/>
    <w:rsid w:val="572041C0"/>
    <w:rsid w:val="57204800"/>
    <w:rsid w:val="572E2D99"/>
    <w:rsid w:val="5730040A"/>
    <w:rsid w:val="574A49E8"/>
    <w:rsid w:val="575B068B"/>
    <w:rsid w:val="575B3FBC"/>
    <w:rsid w:val="576C258B"/>
    <w:rsid w:val="57716CCD"/>
    <w:rsid w:val="57735182"/>
    <w:rsid w:val="57751526"/>
    <w:rsid w:val="579B08C7"/>
    <w:rsid w:val="57AB18EA"/>
    <w:rsid w:val="57B3735D"/>
    <w:rsid w:val="57BB50C4"/>
    <w:rsid w:val="57C33B05"/>
    <w:rsid w:val="57D56E06"/>
    <w:rsid w:val="57DB23C3"/>
    <w:rsid w:val="57F17694"/>
    <w:rsid w:val="57F32080"/>
    <w:rsid w:val="57FD6781"/>
    <w:rsid w:val="57FD6C35"/>
    <w:rsid w:val="580A72D4"/>
    <w:rsid w:val="580B3C50"/>
    <w:rsid w:val="580F0885"/>
    <w:rsid w:val="581D0210"/>
    <w:rsid w:val="582330AF"/>
    <w:rsid w:val="582C4DA8"/>
    <w:rsid w:val="583D7A77"/>
    <w:rsid w:val="585C61AD"/>
    <w:rsid w:val="58691DD2"/>
    <w:rsid w:val="58704C02"/>
    <w:rsid w:val="589929B0"/>
    <w:rsid w:val="58C73470"/>
    <w:rsid w:val="58CC49B7"/>
    <w:rsid w:val="58E81DA5"/>
    <w:rsid w:val="58F74C00"/>
    <w:rsid w:val="58FF4DD0"/>
    <w:rsid w:val="590565DD"/>
    <w:rsid w:val="590D65AA"/>
    <w:rsid w:val="591F1503"/>
    <w:rsid w:val="593F23D9"/>
    <w:rsid w:val="59442E81"/>
    <w:rsid w:val="595906FF"/>
    <w:rsid w:val="59626D11"/>
    <w:rsid w:val="596843EB"/>
    <w:rsid w:val="59691F20"/>
    <w:rsid w:val="596F1821"/>
    <w:rsid w:val="59767E28"/>
    <w:rsid w:val="597C45F6"/>
    <w:rsid w:val="59A1101C"/>
    <w:rsid w:val="59A56172"/>
    <w:rsid w:val="59C14D53"/>
    <w:rsid w:val="59E41EA4"/>
    <w:rsid w:val="59ED52F7"/>
    <w:rsid w:val="5A122F98"/>
    <w:rsid w:val="5A2E4507"/>
    <w:rsid w:val="5A382623"/>
    <w:rsid w:val="5A537E7D"/>
    <w:rsid w:val="5A7C3AD1"/>
    <w:rsid w:val="5A7D6A4C"/>
    <w:rsid w:val="5A8824C6"/>
    <w:rsid w:val="5A9A7B75"/>
    <w:rsid w:val="5AAF3A46"/>
    <w:rsid w:val="5AC323F8"/>
    <w:rsid w:val="5ACA60CD"/>
    <w:rsid w:val="5ADC61E7"/>
    <w:rsid w:val="5ADF46A7"/>
    <w:rsid w:val="5ADF5DB8"/>
    <w:rsid w:val="5AE070F5"/>
    <w:rsid w:val="5AE209FF"/>
    <w:rsid w:val="5AE93C40"/>
    <w:rsid w:val="5AEF12A9"/>
    <w:rsid w:val="5AFC7FD4"/>
    <w:rsid w:val="5AFE5426"/>
    <w:rsid w:val="5B03795E"/>
    <w:rsid w:val="5B064F30"/>
    <w:rsid w:val="5B13314E"/>
    <w:rsid w:val="5B1470B0"/>
    <w:rsid w:val="5B1D7119"/>
    <w:rsid w:val="5B3B38C5"/>
    <w:rsid w:val="5B4A4E4E"/>
    <w:rsid w:val="5B4B4D7D"/>
    <w:rsid w:val="5B5A5585"/>
    <w:rsid w:val="5B8E1E30"/>
    <w:rsid w:val="5B9B31C7"/>
    <w:rsid w:val="5BAC751A"/>
    <w:rsid w:val="5BB278A2"/>
    <w:rsid w:val="5BBB12BE"/>
    <w:rsid w:val="5BFA507C"/>
    <w:rsid w:val="5BFD61C4"/>
    <w:rsid w:val="5C1C0027"/>
    <w:rsid w:val="5C2B565C"/>
    <w:rsid w:val="5C2D0A9F"/>
    <w:rsid w:val="5C3125CF"/>
    <w:rsid w:val="5C32331D"/>
    <w:rsid w:val="5C3459A9"/>
    <w:rsid w:val="5C3645AB"/>
    <w:rsid w:val="5C426D97"/>
    <w:rsid w:val="5C595A86"/>
    <w:rsid w:val="5C622536"/>
    <w:rsid w:val="5C6D21E8"/>
    <w:rsid w:val="5C700FAE"/>
    <w:rsid w:val="5C8445D7"/>
    <w:rsid w:val="5C852841"/>
    <w:rsid w:val="5CCD16C7"/>
    <w:rsid w:val="5CCD1830"/>
    <w:rsid w:val="5CE871FF"/>
    <w:rsid w:val="5CEA6416"/>
    <w:rsid w:val="5CF67230"/>
    <w:rsid w:val="5D0D049B"/>
    <w:rsid w:val="5D347A66"/>
    <w:rsid w:val="5D67524E"/>
    <w:rsid w:val="5D6A385A"/>
    <w:rsid w:val="5D7D0BFB"/>
    <w:rsid w:val="5D9403CA"/>
    <w:rsid w:val="5DA9446A"/>
    <w:rsid w:val="5DB062C3"/>
    <w:rsid w:val="5DBC4738"/>
    <w:rsid w:val="5DD919B1"/>
    <w:rsid w:val="5DE241A0"/>
    <w:rsid w:val="5DE63370"/>
    <w:rsid w:val="5DE759E6"/>
    <w:rsid w:val="5DEC1351"/>
    <w:rsid w:val="5DF3265A"/>
    <w:rsid w:val="5E0302CC"/>
    <w:rsid w:val="5E0910FB"/>
    <w:rsid w:val="5E51004B"/>
    <w:rsid w:val="5E5D5FA5"/>
    <w:rsid w:val="5E784247"/>
    <w:rsid w:val="5E7B1DC2"/>
    <w:rsid w:val="5E7D032A"/>
    <w:rsid w:val="5E7F4BE8"/>
    <w:rsid w:val="5E877BD0"/>
    <w:rsid w:val="5E8D3C23"/>
    <w:rsid w:val="5E95783A"/>
    <w:rsid w:val="5EA56727"/>
    <w:rsid w:val="5EB61D6A"/>
    <w:rsid w:val="5EBB6329"/>
    <w:rsid w:val="5EE830B2"/>
    <w:rsid w:val="5F51623C"/>
    <w:rsid w:val="5F7F75DC"/>
    <w:rsid w:val="5FB34BFF"/>
    <w:rsid w:val="5FB90798"/>
    <w:rsid w:val="5FBA757E"/>
    <w:rsid w:val="5FBF3937"/>
    <w:rsid w:val="5FC80BBB"/>
    <w:rsid w:val="5FD45180"/>
    <w:rsid w:val="5FD732AB"/>
    <w:rsid w:val="5FDA71D8"/>
    <w:rsid w:val="5FDD4B1F"/>
    <w:rsid w:val="5FEC09BD"/>
    <w:rsid w:val="5FFD03EA"/>
    <w:rsid w:val="6005545D"/>
    <w:rsid w:val="60204DC3"/>
    <w:rsid w:val="60236A1F"/>
    <w:rsid w:val="602D5426"/>
    <w:rsid w:val="6049293E"/>
    <w:rsid w:val="604D7716"/>
    <w:rsid w:val="605B1C53"/>
    <w:rsid w:val="607A44BC"/>
    <w:rsid w:val="60A7716C"/>
    <w:rsid w:val="60B32919"/>
    <w:rsid w:val="60B66CB8"/>
    <w:rsid w:val="60BD5F46"/>
    <w:rsid w:val="60C37D16"/>
    <w:rsid w:val="60D35DE4"/>
    <w:rsid w:val="614C799C"/>
    <w:rsid w:val="615C15E8"/>
    <w:rsid w:val="61623ECB"/>
    <w:rsid w:val="617B1622"/>
    <w:rsid w:val="618D2D9B"/>
    <w:rsid w:val="619B5F12"/>
    <w:rsid w:val="61AC77D8"/>
    <w:rsid w:val="61AD47C8"/>
    <w:rsid w:val="61B60C84"/>
    <w:rsid w:val="61C11DF3"/>
    <w:rsid w:val="61C828CE"/>
    <w:rsid w:val="6200516C"/>
    <w:rsid w:val="62145AA4"/>
    <w:rsid w:val="624C3145"/>
    <w:rsid w:val="62614174"/>
    <w:rsid w:val="626B2979"/>
    <w:rsid w:val="62731D94"/>
    <w:rsid w:val="62803628"/>
    <w:rsid w:val="628A19AB"/>
    <w:rsid w:val="62AB2A53"/>
    <w:rsid w:val="62AF6ED5"/>
    <w:rsid w:val="62B54E86"/>
    <w:rsid w:val="62BA79E4"/>
    <w:rsid w:val="62BE273C"/>
    <w:rsid w:val="62C02DA9"/>
    <w:rsid w:val="62E4334D"/>
    <w:rsid w:val="62EC7661"/>
    <w:rsid w:val="62F217A5"/>
    <w:rsid w:val="62F36D04"/>
    <w:rsid w:val="62F62AA4"/>
    <w:rsid w:val="62F70DE2"/>
    <w:rsid w:val="63026180"/>
    <w:rsid w:val="63131DB4"/>
    <w:rsid w:val="63201A9F"/>
    <w:rsid w:val="634B1226"/>
    <w:rsid w:val="63677C80"/>
    <w:rsid w:val="63702476"/>
    <w:rsid w:val="637A7B55"/>
    <w:rsid w:val="637E01C1"/>
    <w:rsid w:val="637F704B"/>
    <w:rsid w:val="638C7C76"/>
    <w:rsid w:val="63A13700"/>
    <w:rsid w:val="63A3148B"/>
    <w:rsid w:val="63A7308B"/>
    <w:rsid w:val="63D54DC0"/>
    <w:rsid w:val="63DE4C70"/>
    <w:rsid w:val="63EE35EA"/>
    <w:rsid w:val="64111D9A"/>
    <w:rsid w:val="64156776"/>
    <w:rsid w:val="641965D6"/>
    <w:rsid w:val="64236A74"/>
    <w:rsid w:val="64255C43"/>
    <w:rsid w:val="64392C26"/>
    <w:rsid w:val="646A4B46"/>
    <w:rsid w:val="646D4AE4"/>
    <w:rsid w:val="64786C62"/>
    <w:rsid w:val="64945CAC"/>
    <w:rsid w:val="64980F63"/>
    <w:rsid w:val="649D7B29"/>
    <w:rsid w:val="64B9003C"/>
    <w:rsid w:val="64D05E99"/>
    <w:rsid w:val="650047A0"/>
    <w:rsid w:val="65056443"/>
    <w:rsid w:val="65275F31"/>
    <w:rsid w:val="653C6BAC"/>
    <w:rsid w:val="65572C69"/>
    <w:rsid w:val="65724231"/>
    <w:rsid w:val="657573B3"/>
    <w:rsid w:val="65923D0D"/>
    <w:rsid w:val="65A06B45"/>
    <w:rsid w:val="65A74E21"/>
    <w:rsid w:val="65B13FB0"/>
    <w:rsid w:val="66050721"/>
    <w:rsid w:val="660602A2"/>
    <w:rsid w:val="661974FA"/>
    <w:rsid w:val="661E7317"/>
    <w:rsid w:val="662D1E27"/>
    <w:rsid w:val="66442670"/>
    <w:rsid w:val="665529E5"/>
    <w:rsid w:val="66710D99"/>
    <w:rsid w:val="66846E2C"/>
    <w:rsid w:val="66871D34"/>
    <w:rsid w:val="66A04771"/>
    <w:rsid w:val="66A065CB"/>
    <w:rsid w:val="66C64AE8"/>
    <w:rsid w:val="66ED6E39"/>
    <w:rsid w:val="66F466BB"/>
    <w:rsid w:val="67132E4B"/>
    <w:rsid w:val="6714430B"/>
    <w:rsid w:val="674D2D5A"/>
    <w:rsid w:val="6781266E"/>
    <w:rsid w:val="678A6D47"/>
    <w:rsid w:val="678B3FB5"/>
    <w:rsid w:val="678C4424"/>
    <w:rsid w:val="67A830A5"/>
    <w:rsid w:val="67D850B3"/>
    <w:rsid w:val="67DA4CE8"/>
    <w:rsid w:val="67E72313"/>
    <w:rsid w:val="67F6140A"/>
    <w:rsid w:val="680359B2"/>
    <w:rsid w:val="680E3825"/>
    <w:rsid w:val="68103310"/>
    <w:rsid w:val="68350FD0"/>
    <w:rsid w:val="683A0574"/>
    <w:rsid w:val="68484987"/>
    <w:rsid w:val="68556A7C"/>
    <w:rsid w:val="685F18D0"/>
    <w:rsid w:val="68844C7B"/>
    <w:rsid w:val="68926074"/>
    <w:rsid w:val="68B17B21"/>
    <w:rsid w:val="68C058EC"/>
    <w:rsid w:val="68C42D09"/>
    <w:rsid w:val="68D11316"/>
    <w:rsid w:val="68D55C1E"/>
    <w:rsid w:val="68E5638C"/>
    <w:rsid w:val="68F954C6"/>
    <w:rsid w:val="691046D8"/>
    <w:rsid w:val="69175C24"/>
    <w:rsid w:val="692418AF"/>
    <w:rsid w:val="6945629C"/>
    <w:rsid w:val="69463492"/>
    <w:rsid w:val="69482CC7"/>
    <w:rsid w:val="694A056B"/>
    <w:rsid w:val="69556E49"/>
    <w:rsid w:val="69676431"/>
    <w:rsid w:val="697D4FE1"/>
    <w:rsid w:val="69887F53"/>
    <w:rsid w:val="698E123D"/>
    <w:rsid w:val="69A15146"/>
    <w:rsid w:val="69A739D5"/>
    <w:rsid w:val="69D8600F"/>
    <w:rsid w:val="69ED2991"/>
    <w:rsid w:val="6A034B0D"/>
    <w:rsid w:val="6A07482B"/>
    <w:rsid w:val="6A23364C"/>
    <w:rsid w:val="6A353B9C"/>
    <w:rsid w:val="6A5977AC"/>
    <w:rsid w:val="6A5D4367"/>
    <w:rsid w:val="6A9A0C5A"/>
    <w:rsid w:val="6A9F3611"/>
    <w:rsid w:val="6AA416A7"/>
    <w:rsid w:val="6ABC6A9F"/>
    <w:rsid w:val="6AC015B7"/>
    <w:rsid w:val="6ACC4F26"/>
    <w:rsid w:val="6AD519F0"/>
    <w:rsid w:val="6B2A24A5"/>
    <w:rsid w:val="6B2E2AA6"/>
    <w:rsid w:val="6B3E3B32"/>
    <w:rsid w:val="6B4109B7"/>
    <w:rsid w:val="6B532654"/>
    <w:rsid w:val="6B55792F"/>
    <w:rsid w:val="6B68504B"/>
    <w:rsid w:val="6B6A4ACD"/>
    <w:rsid w:val="6B746EDE"/>
    <w:rsid w:val="6B8A7727"/>
    <w:rsid w:val="6B8E4544"/>
    <w:rsid w:val="6BB5410E"/>
    <w:rsid w:val="6BE00672"/>
    <w:rsid w:val="6BF80BB4"/>
    <w:rsid w:val="6C110B01"/>
    <w:rsid w:val="6C1126EB"/>
    <w:rsid w:val="6C1523F4"/>
    <w:rsid w:val="6C4634E5"/>
    <w:rsid w:val="6C634279"/>
    <w:rsid w:val="6C635877"/>
    <w:rsid w:val="6C7A295B"/>
    <w:rsid w:val="6C7D20B2"/>
    <w:rsid w:val="6C7E2113"/>
    <w:rsid w:val="6C894E51"/>
    <w:rsid w:val="6C9C1328"/>
    <w:rsid w:val="6CCB4901"/>
    <w:rsid w:val="6CD948BF"/>
    <w:rsid w:val="6CDA35EE"/>
    <w:rsid w:val="6CFE6746"/>
    <w:rsid w:val="6D0F3940"/>
    <w:rsid w:val="6D2D712A"/>
    <w:rsid w:val="6D45301E"/>
    <w:rsid w:val="6D574834"/>
    <w:rsid w:val="6D675D52"/>
    <w:rsid w:val="6D841658"/>
    <w:rsid w:val="6DB93A9B"/>
    <w:rsid w:val="6DBD0F75"/>
    <w:rsid w:val="6DC2215E"/>
    <w:rsid w:val="6DD2455F"/>
    <w:rsid w:val="6DE64874"/>
    <w:rsid w:val="6DEB155E"/>
    <w:rsid w:val="6DF67E13"/>
    <w:rsid w:val="6E0472B5"/>
    <w:rsid w:val="6E0B5E26"/>
    <w:rsid w:val="6E4C7AD0"/>
    <w:rsid w:val="6E5E2D65"/>
    <w:rsid w:val="6E644912"/>
    <w:rsid w:val="6E725242"/>
    <w:rsid w:val="6E7B164C"/>
    <w:rsid w:val="6E7D120C"/>
    <w:rsid w:val="6E835021"/>
    <w:rsid w:val="6E836EB3"/>
    <w:rsid w:val="6E8E1857"/>
    <w:rsid w:val="6E91773F"/>
    <w:rsid w:val="6E954148"/>
    <w:rsid w:val="6EB63637"/>
    <w:rsid w:val="6EB92D9C"/>
    <w:rsid w:val="6EC75D71"/>
    <w:rsid w:val="6F5F77F5"/>
    <w:rsid w:val="6F670178"/>
    <w:rsid w:val="6F88103A"/>
    <w:rsid w:val="6F8844B8"/>
    <w:rsid w:val="6F92435F"/>
    <w:rsid w:val="6F95222C"/>
    <w:rsid w:val="6FA50F60"/>
    <w:rsid w:val="6FC71803"/>
    <w:rsid w:val="6FD00D71"/>
    <w:rsid w:val="6FD42998"/>
    <w:rsid w:val="6FFB66C9"/>
    <w:rsid w:val="6FFC4E63"/>
    <w:rsid w:val="702029FF"/>
    <w:rsid w:val="704B03BD"/>
    <w:rsid w:val="704D3AFB"/>
    <w:rsid w:val="70543291"/>
    <w:rsid w:val="70561373"/>
    <w:rsid w:val="705B0FDF"/>
    <w:rsid w:val="705C12DC"/>
    <w:rsid w:val="70825C27"/>
    <w:rsid w:val="70AA177F"/>
    <w:rsid w:val="70B87295"/>
    <w:rsid w:val="70D51BF1"/>
    <w:rsid w:val="71051856"/>
    <w:rsid w:val="71435060"/>
    <w:rsid w:val="715B34A8"/>
    <w:rsid w:val="71641F09"/>
    <w:rsid w:val="7188188F"/>
    <w:rsid w:val="71971267"/>
    <w:rsid w:val="719A4F6F"/>
    <w:rsid w:val="71A23F0C"/>
    <w:rsid w:val="71B879BC"/>
    <w:rsid w:val="71BF5D90"/>
    <w:rsid w:val="71CD6FF4"/>
    <w:rsid w:val="71FE2EA4"/>
    <w:rsid w:val="72056BA3"/>
    <w:rsid w:val="721C3BE1"/>
    <w:rsid w:val="7227263A"/>
    <w:rsid w:val="723C307A"/>
    <w:rsid w:val="72864668"/>
    <w:rsid w:val="72914BF4"/>
    <w:rsid w:val="72AC573C"/>
    <w:rsid w:val="72E52335"/>
    <w:rsid w:val="72EC1B99"/>
    <w:rsid w:val="72EC439A"/>
    <w:rsid w:val="72F40188"/>
    <w:rsid w:val="7308037E"/>
    <w:rsid w:val="73181763"/>
    <w:rsid w:val="731E580C"/>
    <w:rsid w:val="7327224B"/>
    <w:rsid w:val="732B2982"/>
    <w:rsid w:val="732C63EF"/>
    <w:rsid w:val="732C7E73"/>
    <w:rsid w:val="732D6BDA"/>
    <w:rsid w:val="734247D0"/>
    <w:rsid w:val="734E6022"/>
    <w:rsid w:val="73540D4F"/>
    <w:rsid w:val="73735617"/>
    <w:rsid w:val="7376114D"/>
    <w:rsid w:val="73773988"/>
    <w:rsid w:val="73C6480A"/>
    <w:rsid w:val="73D03363"/>
    <w:rsid w:val="73D16D93"/>
    <w:rsid w:val="73EC223C"/>
    <w:rsid w:val="74066DD9"/>
    <w:rsid w:val="74186055"/>
    <w:rsid w:val="7431442E"/>
    <w:rsid w:val="74410512"/>
    <w:rsid w:val="74413029"/>
    <w:rsid w:val="744C6C1B"/>
    <w:rsid w:val="747069A8"/>
    <w:rsid w:val="7478798B"/>
    <w:rsid w:val="747B1953"/>
    <w:rsid w:val="7486336E"/>
    <w:rsid w:val="74B16446"/>
    <w:rsid w:val="74DB6BAE"/>
    <w:rsid w:val="74F90F97"/>
    <w:rsid w:val="74FD067F"/>
    <w:rsid w:val="751452D7"/>
    <w:rsid w:val="75192409"/>
    <w:rsid w:val="754F2D09"/>
    <w:rsid w:val="755C79ED"/>
    <w:rsid w:val="75637276"/>
    <w:rsid w:val="75864047"/>
    <w:rsid w:val="75B46122"/>
    <w:rsid w:val="75B542EC"/>
    <w:rsid w:val="75B928D6"/>
    <w:rsid w:val="75F33131"/>
    <w:rsid w:val="760B2D61"/>
    <w:rsid w:val="76213CA4"/>
    <w:rsid w:val="76253093"/>
    <w:rsid w:val="762B780A"/>
    <w:rsid w:val="76597A15"/>
    <w:rsid w:val="766A2795"/>
    <w:rsid w:val="76716C5A"/>
    <w:rsid w:val="769D674E"/>
    <w:rsid w:val="76B85EE0"/>
    <w:rsid w:val="76C701A2"/>
    <w:rsid w:val="76D62D22"/>
    <w:rsid w:val="76F17334"/>
    <w:rsid w:val="77194228"/>
    <w:rsid w:val="77243DB5"/>
    <w:rsid w:val="77385410"/>
    <w:rsid w:val="773D6D75"/>
    <w:rsid w:val="776E49D3"/>
    <w:rsid w:val="77716201"/>
    <w:rsid w:val="77785E0B"/>
    <w:rsid w:val="778D492C"/>
    <w:rsid w:val="77A15136"/>
    <w:rsid w:val="77BA71F7"/>
    <w:rsid w:val="77CA541A"/>
    <w:rsid w:val="78181816"/>
    <w:rsid w:val="782F143B"/>
    <w:rsid w:val="783B0AD1"/>
    <w:rsid w:val="7842726F"/>
    <w:rsid w:val="78476AE2"/>
    <w:rsid w:val="78547B29"/>
    <w:rsid w:val="785758F9"/>
    <w:rsid w:val="7870288F"/>
    <w:rsid w:val="78832D42"/>
    <w:rsid w:val="788340D2"/>
    <w:rsid w:val="78872CBA"/>
    <w:rsid w:val="78B30EEB"/>
    <w:rsid w:val="78C806A2"/>
    <w:rsid w:val="78CD3C10"/>
    <w:rsid w:val="78DF3FB0"/>
    <w:rsid w:val="78EA5394"/>
    <w:rsid w:val="78EC5DDE"/>
    <w:rsid w:val="78F85150"/>
    <w:rsid w:val="79113BC5"/>
    <w:rsid w:val="7929741A"/>
    <w:rsid w:val="79314165"/>
    <w:rsid w:val="79613A23"/>
    <w:rsid w:val="796519DB"/>
    <w:rsid w:val="79824C21"/>
    <w:rsid w:val="79843134"/>
    <w:rsid w:val="798A3CD3"/>
    <w:rsid w:val="79A43C9C"/>
    <w:rsid w:val="79CD540B"/>
    <w:rsid w:val="7A0F4A17"/>
    <w:rsid w:val="7A3F3AEA"/>
    <w:rsid w:val="7A4E0939"/>
    <w:rsid w:val="7A5B3492"/>
    <w:rsid w:val="7A72081D"/>
    <w:rsid w:val="7A764D46"/>
    <w:rsid w:val="7A7A469C"/>
    <w:rsid w:val="7AAF686B"/>
    <w:rsid w:val="7AE93A6B"/>
    <w:rsid w:val="7AF81220"/>
    <w:rsid w:val="7B00436C"/>
    <w:rsid w:val="7B3439CA"/>
    <w:rsid w:val="7B45785E"/>
    <w:rsid w:val="7B462A30"/>
    <w:rsid w:val="7B496CFB"/>
    <w:rsid w:val="7B4D2511"/>
    <w:rsid w:val="7B5E4E7F"/>
    <w:rsid w:val="7B60752A"/>
    <w:rsid w:val="7B625E0D"/>
    <w:rsid w:val="7B664481"/>
    <w:rsid w:val="7B700614"/>
    <w:rsid w:val="7B88398F"/>
    <w:rsid w:val="7B9030C7"/>
    <w:rsid w:val="7BA6526A"/>
    <w:rsid w:val="7BA80613"/>
    <w:rsid w:val="7BA84CDA"/>
    <w:rsid w:val="7BDF66C9"/>
    <w:rsid w:val="7BFE1AFF"/>
    <w:rsid w:val="7C107EE5"/>
    <w:rsid w:val="7C152825"/>
    <w:rsid w:val="7C3206D2"/>
    <w:rsid w:val="7C3B6AB5"/>
    <w:rsid w:val="7C3C2D05"/>
    <w:rsid w:val="7C405C9C"/>
    <w:rsid w:val="7C6C77BB"/>
    <w:rsid w:val="7C791A6C"/>
    <w:rsid w:val="7C891A1B"/>
    <w:rsid w:val="7C8F751F"/>
    <w:rsid w:val="7C9533D9"/>
    <w:rsid w:val="7CA05A53"/>
    <w:rsid w:val="7CC92BB1"/>
    <w:rsid w:val="7CD014D5"/>
    <w:rsid w:val="7CDE08E7"/>
    <w:rsid w:val="7CEB3E11"/>
    <w:rsid w:val="7D1913C1"/>
    <w:rsid w:val="7D255A39"/>
    <w:rsid w:val="7D286897"/>
    <w:rsid w:val="7D450B5D"/>
    <w:rsid w:val="7D534CC0"/>
    <w:rsid w:val="7D57761A"/>
    <w:rsid w:val="7D7146C4"/>
    <w:rsid w:val="7D793E0D"/>
    <w:rsid w:val="7D7C2286"/>
    <w:rsid w:val="7D882F8C"/>
    <w:rsid w:val="7D953C89"/>
    <w:rsid w:val="7D981B52"/>
    <w:rsid w:val="7D9A6E5C"/>
    <w:rsid w:val="7D9F52F6"/>
    <w:rsid w:val="7DA20318"/>
    <w:rsid w:val="7DAB7D24"/>
    <w:rsid w:val="7DAE4B3D"/>
    <w:rsid w:val="7DBB24F9"/>
    <w:rsid w:val="7DD33D3D"/>
    <w:rsid w:val="7DD77944"/>
    <w:rsid w:val="7DEF465D"/>
    <w:rsid w:val="7DEF61D7"/>
    <w:rsid w:val="7E04471B"/>
    <w:rsid w:val="7E063AD0"/>
    <w:rsid w:val="7E091134"/>
    <w:rsid w:val="7E1A5F37"/>
    <w:rsid w:val="7E402BDC"/>
    <w:rsid w:val="7E4D2A03"/>
    <w:rsid w:val="7E670739"/>
    <w:rsid w:val="7E8722FD"/>
    <w:rsid w:val="7E887F74"/>
    <w:rsid w:val="7EA00490"/>
    <w:rsid w:val="7EA166B7"/>
    <w:rsid w:val="7EAE0A66"/>
    <w:rsid w:val="7ECD54A1"/>
    <w:rsid w:val="7ED036E3"/>
    <w:rsid w:val="7EE03C3A"/>
    <w:rsid w:val="7EE94FB5"/>
    <w:rsid w:val="7EEC2A64"/>
    <w:rsid w:val="7EFF8C42"/>
    <w:rsid w:val="7F0D6D33"/>
    <w:rsid w:val="7F0E2C35"/>
    <w:rsid w:val="7F155182"/>
    <w:rsid w:val="7F337AAF"/>
    <w:rsid w:val="7F343772"/>
    <w:rsid w:val="7F4C286A"/>
    <w:rsid w:val="7F821E07"/>
    <w:rsid w:val="7F8A165E"/>
    <w:rsid w:val="7F9F739A"/>
    <w:rsid w:val="7FAB7B64"/>
    <w:rsid w:val="7FBE3467"/>
    <w:rsid w:val="7FC9635C"/>
    <w:rsid w:val="7FD258E5"/>
    <w:rsid w:val="7FE00808"/>
    <w:rsid w:val="7FEB4BEA"/>
    <w:rsid w:val="7FF724D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iPriority="39" w:semiHidden="0" w:name="toc 3"/>
    <w:lsdException w:uiPriority="0" w:name="toc 4"/>
    <w:lsdException w:uiPriority="0" w:name="toc 5"/>
    <w:lsdException w:qFormat="1" w:uiPriority="0" w:semiHidden="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0" w:semiHidden="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qFormat="1"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qFormat="1" w:unhideWhenUsed="0" w:uiPriority="0" w:semiHidden="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1"/>
    <w:qFormat/>
    <w:uiPriority w:val="0"/>
    <w:pPr>
      <w:keepNext/>
      <w:jc w:val="center"/>
      <w:outlineLvl w:val="0"/>
    </w:pPr>
    <w:rPr>
      <w:rFonts w:ascii="长城仿宋" w:eastAsia="长城仿宋"/>
      <w:b/>
      <w:bCs/>
    </w:rPr>
  </w:style>
  <w:style w:type="paragraph" w:styleId="4">
    <w:name w:val="heading 2"/>
    <w:basedOn w:val="1"/>
    <w:next w:val="1"/>
    <w:link w:val="147"/>
    <w:qFormat/>
    <w:uiPriority w:val="9"/>
    <w:pPr>
      <w:keepNext/>
      <w:keepLines/>
      <w:spacing w:before="260" w:after="260" w:line="416" w:lineRule="auto"/>
      <w:outlineLvl w:val="1"/>
    </w:pPr>
    <w:rPr>
      <w:rFonts w:ascii="黑体" w:hAnsi="黑体" w:eastAsia="Tahoma"/>
      <w:b/>
      <w:bCs/>
      <w:sz w:val="32"/>
      <w:szCs w:val="32"/>
    </w:rPr>
  </w:style>
  <w:style w:type="paragraph" w:styleId="5">
    <w:name w:val="heading 3"/>
    <w:basedOn w:val="1"/>
    <w:next w:val="1"/>
    <w:link w:val="137"/>
    <w:qFormat/>
    <w:uiPriority w:val="9"/>
    <w:pPr>
      <w:keepNext/>
      <w:outlineLvl w:val="2"/>
    </w:pPr>
    <w:rPr>
      <w:b/>
      <w:sz w:val="28"/>
      <w:szCs w:val="20"/>
    </w:rPr>
  </w:style>
  <w:style w:type="paragraph" w:styleId="6">
    <w:name w:val="heading 4"/>
    <w:basedOn w:val="1"/>
    <w:next w:val="1"/>
    <w:link w:val="126"/>
    <w:qFormat/>
    <w:uiPriority w:val="0"/>
    <w:pPr>
      <w:keepNext/>
      <w:keepLines/>
      <w:spacing w:before="280" w:after="290" w:line="376" w:lineRule="auto"/>
      <w:outlineLvl w:val="3"/>
    </w:pPr>
    <w:rPr>
      <w:rFonts w:ascii="Cambria" w:hAnsi="Cambria"/>
      <w:b/>
      <w:bCs/>
      <w:sz w:val="28"/>
      <w:szCs w:val="28"/>
    </w:rPr>
  </w:style>
  <w:style w:type="character" w:default="1" w:styleId="33">
    <w:name w:val="Default Paragraph Font"/>
    <w:unhideWhenUsed/>
    <w:qFormat/>
    <w:uiPriority w:val="1"/>
  </w:style>
  <w:style w:type="table" w:default="1" w:styleId="31">
    <w:name w:val="Normal Table"/>
    <w:unhideWhenUsed/>
    <w:qFormat/>
    <w:uiPriority w:val="99"/>
    <w:tblPr>
      <w:tblCellMar>
        <w:top w:w="0" w:type="dxa"/>
        <w:left w:w="108" w:type="dxa"/>
        <w:bottom w:w="0" w:type="dxa"/>
        <w:right w:w="108" w:type="dxa"/>
      </w:tblCellMar>
    </w:tblPr>
  </w:style>
  <w:style w:type="paragraph" w:styleId="2">
    <w:name w:val="Normal Indent"/>
    <w:basedOn w:val="1"/>
    <w:next w:val="1"/>
    <w:link w:val="138"/>
    <w:qFormat/>
    <w:uiPriority w:val="0"/>
    <w:pPr>
      <w:adjustRightInd w:val="0"/>
      <w:spacing w:line="312" w:lineRule="atLeast"/>
      <w:ind w:firstLine="420"/>
      <w:textAlignment w:val="baseline"/>
    </w:pPr>
    <w:rPr>
      <w:rFonts w:eastAsia="Wingdings"/>
      <w:kern w:val="0"/>
      <w:szCs w:val="20"/>
    </w:rPr>
  </w:style>
  <w:style w:type="paragraph" w:styleId="7">
    <w:name w:val="Document Map"/>
    <w:basedOn w:val="1"/>
    <w:link w:val="123"/>
    <w:qFormat/>
    <w:uiPriority w:val="0"/>
    <w:rPr>
      <w:rFonts w:ascii="宋体"/>
      <w:sz w:val="18"/>
      <w:szCs w:val="18"/>
    </w:rPr>
  </w:style>
  <w:style w:type="paragraph" w:styleId="8">
    <w:name w:val="annotation text"/>
    <w:basedOn w:val="1"/>
    <w:qFormat/>
    <w:uiPriority w:val="0"/>
    <w:pPr>
      <w:jc w:val="left"/>
    </w:pPr>
  </w:style>
  <w:style w:type="paragraph" w:styleId="9">
    <w:name w:val="Body Text 3"/>
    <w:basedOn w:val="1"/>
    <w:qFormat/>
    <w:uiPriority w:val="0"/>
    <w:pPr>
      <w:spacing w:after="120"/>
    </w:pPr>
    <w:rPr>
      <w:color w:val="000000"/>
      <w:sz w:val="24"/>
      <w:szCs w:val="20"/>
    </w:rPr>
  </w:style>
  <w:style w:type="paragraph" w:styleId="10">
    <w:name w:val="Body Text"/>
    <w:basedOn w:val="1"/>
    <w:qFormat/>
    <w:uiPriority w:val="0"/>
    <w:pPr>
      <w:spacing w:after="120"/>
    </w:pPr>
  </w:style>
  <w:style w:type="paragraph" w:styleId="11">
    <w:name w:val="Body Text Indent"/>
    <w:basedOn w:val="1"/>
    <w:qFormat/>
    <w:uiPriority w:val="0"/>
    <w:pPr>
      <w:ind w:left="480" w:hanging="480" w:hangingChars="200"/>
    </w:pPr>
    <w:rPr>
      <w:sz w:val="24"/>
    </w:rPr>
  </w:style>
  <w:style w:type="paragraph" w:styleId="12">
    <w:name w:val="Block Text"/>
    <w:basedOn w:val="1"/>
    <w:unhideWhenUsed/>
    <w:qFormat/>
    <w:uiPriority w:val="0"/>
    <w:pPr>
      <w:spacing w:after="120"/>
      <w:ind w:left="1440" w:leftChars="700" w:right="1440" w:rightChars="700"/>
    </w:pPr>
    <w:rPr>
      <w:rFonts w:ascii="Calibri" w:hAnsi="Calibri"/>
      <w:szCs w:val="22"/>
    </w:rPr>
  </w:style>
  <w:style w:type="paragraph" w:styleId="13">
    <w:name w:val="toc 3"/>
    <w:basedOn w:val="1"/>
    <w:next w:val="1"/>
    <w:unhideWhenUsed/>
    <w:qFormat/>
    <w:uiPriority w:val="39"/>
    <w:pPr>
      <w:ind w:left="840" w:leftChars="400"/>
    </w:pPr>
    <w:rPr>
      <w:rFonts w:ascii="Calibri" w:hAnsi="Calibri"/>
      <w:szCs w:val="22"/>
    </w:rPr>
  </w:style>
  <w:style w:type="paragraph" w:styleId="14">
    <w:name w:val="Plain Text"/>
    <w:basedOn w:val="1"/>
    <w:link w:val="124"/>
    <w:qFormat/>
    <w:uiPriority w:val="0"/>
    <w:pPr>
      <w:widowControl/>
      <w:overflowPunct w:val="0"/>
      <w:autoSpaceDE w:val="0"/>
      <w:autoSpaceDN w:val="0"/>
      <w:adjustRightInd w:val="0"/>
      <w:jc w:val="left"/>
      <w:textAlignment w:val="baseline"/>
    </w:pPr>
    <w:rPr>
      <w:rFonts w:ascii="Wingdings" w:hAnsi="长城仿宋" w:eastAsia="Wingdings"/>
      <w:kern w:val="0"/>
      <w:szCs w:val="21"/>
    </w:rPr>
  </w:style>
  <w:style w:type="paragraph" w:styleId="15">
    <w:name w:val="Date"/>
    <w:basedOn w:val="1"/>
    <w:next w:val="1"/>
    <w:qFormat/>
    <w:uiPriority w:val="0"/>
    <w:pPr>
      <w:ind w:left="100" w:leftChars="2500"/>
    </w:pPr>
    <w:rPr>
      <w:szCs w:val="20"/>
    </w:rPr>
  </w:style>
  <w:style w:type="paragraph" w:styleId="16">
    <w:name w:val="Body Text Indent 2"/>
    <w:basedOn w:val="1"/>
    <w:qFormat/>
    <w:uiPriority w:val="0"/>
    <w:pPr>
      <w:spacing w:line="500" w:lineRule="exact"/>
      <w:ind w:firstLine="511" w:firstLineChars="213"/>
    </w:pPr>
    <w:rPr>
      <w:sz w:val="24"/>
    </w:rPr>
  </w:style>
  <w:style w:type="paragraph" w:styleId="17">
    <w:name w:val="Balloon Text"/>
    <w:basedOn w:val="1"/>
    <w:link w:val="140"/>
    <w:qFormat/>
    <w:uiPriority w:val="99"/>
    <w:rPr>
      <w:sz w:val="18"/>
      <w:szCs w:val="18"/>
    </w:rPr>
  </w:style>
  <w:style w:type="paragraph" w:styleId="18">
    <w:name w:val="footer"/>
    <w:basedOn w:val="1"/>
    <w:link w:val="127"/>
    <w:qFormat/>
    <w:uiPriority w:val="99"/>
    <w:pPr>
      <w:tabs>
        <w:tab w:val="center" w:pos="4153"/>
        <w:tab w:val="right" w:pos="8306"/>
      </w:tabs>
      <w:snapToGrid w:val="0"/>
      <w:jc w:val="left"/>
    </w:pPr>
    <w:rPr>
      <w:rFonts w:eastAsia="Wingdings"/>
      <w:sz w:val="18"/>
      <w:szCs w:val="18"/>
    </w:rPr>
  </w:style>
  <w:style w:type="paragraph" w:styleId="19">
    <w:name w:val="envelope return"/>
    <w:basedOn w:val="1"/>
    <w:unhideWhenUsed/>
    <w:qFormat/>
    <w:uiPriority w:val="0"/>
    <w:pPr>
      <w:snapToGrid w:val="0"/>
    </w:pPr>
    <w:rPr>
      <w:rFonts w:ascii="Arial" w:hAnsi="Arial" w:cs="Arial"/>
      <w:szCs w:val="21"/>
    </w:rPr>
  </w:style>
  <w:style w:type="paragraph" w:styleId="20">
    <w:name w:val="header"/>
    <w:basedOn w:val="1"/>
    <w:next w:val="1"/>
    <w:link w:val="146"/>
    <w:qFormat/>
    <w:uiPriority w:val="99"/>
    <w:pPr>
      <w:pBdr>
        <w:bottom w:val="single" w:color="auto" w:sz="6" w:space="1"/>
      </w:pBdr>
      <w:tabs>
        <w:tab w:val="center" w:pos="4153"/>
        <w:tab w:val="right" w:pos="8306"/>
      </w:tabs>
      <w:snapToGrid w:val="0"/>
      <w:jc w:val="center"/>
    </w:pPr>
    <w:rPr>
      <w:rFonts w:eastAsia="Wingdings"/>
      <w:sz w:val="18"/>
      <w:szCs w:val="18"/>
    </w:rPr>
  </w:style>
  <w:style w:type="paragraph" w:styleId="21">
    <w:name w:val="toc 1"/>
    <w:basedOn w:val="1"/>
    <w:next w:val="1"/>
    <w:qFormat/>
    <w:uiPriority w:val="39"/>
    <w:pPr>
      <w:tabs>
        <w:tab w:val="right" w:leader="dot" w:pos="9061"/>
      </w:tabs>
      <w:spacing w:line="480" w:lineRule="auto"/>
      <w:ind w:left="358" w:hanging="358" w:hangingChars="128"/>
    </w:pPr>
  </w:style>
  <w:style w:type="paragraph" w:styleId="22">
    <w:name w:val="toc 6"/>
    <w:basedOn w:val="1"/>
    <w:next w:val="1"/>
    <w:unhideWhenUsed/>
    <w:qFormat/>
    <w:uiPriority w:val="0"/>
    <w:pPr>
      <w:ind w:left="2100" w:leftChars="1000"/>
    </w:pPr>
    <w:rPr>
      <w:rFonts w:ascii="Calibri" w:hAnsi="Calibri"/>
      <w:szCs w:val="22"/>
    </w:rPr>
  </w:style>
  <w:style w:type="paragraph" w:styleId="23">
    <w:name w:val="Body Text Indent 3"/>
    <w:basedOn w:val="1"/>
    <w:qFormat/>
    <w:uiPriority w:val="0"/>
    <w:pPr>
      <w:spacing w:after="120"/>
      <w:ind w:left="420" w:leftChars="200"/>
    </w:pPr>
    <w:rPr>
      <w:sz w:val="16"/>
      <w:szCs w:val="16"/>
    </w:rPr>
  </w:style>
  <w:style w:type="paragraph" w:styleId="24">
    <w:name w:val="toc 2"/>
    <w:basedOn w:val="1"/>
    <w:next w:val="1"/>
    <w:qFormat/>
    <w:uiPriority w:val="39"/>
    <w:pPr>
      <w:ind w:left="420" w:leftChars="200"/>
    </w:pPr>
  </w:style>
  <w:style w:type="paragraph" w:styleId="25">
    <w:name w:val="Body Text 2"/>
    <w:basedOn w:val="1"/>
    <w:qFormat/>
    <w:uiPriority w:val="0"/>
    <w:pPr>
      <w:spacing w:line="400" w:lineRule="exact"/>
    </w:pPr>
    <w:rPr>
      <w:rFonts w:ascii="仿宋_GB2312" w:eastAsia="仿宋_GB2312"/>
      <w:sz w:val="28"/>
      <w:szCs w:val="28"/>
    </w:rPr>
  </w:style>
  <w:style w:type="paragraph" w:styleId="26">
    <w:name w:val="HTML Preformatted"/>
    <w:basedOn w:val="1"/>
    <w:link w:val="142"/>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7">
    <w:name w:val="Normal (Web)"/>
    <w:basedOn w:val="1"/>
    <w:qFormat/>
    <w:uiPriority w:val="99"/>
    <w:pPr>
      <w:widowControl/>
      <w:spacing w:before="100" w:beforeAutospacing="1" w:after="100" w:afterAutospacing="1"/>
      <w:jc w:val="left"/>
    </w:pPr>
    <w:rPr>
      <w:rFonts w:ascii="Wingdings" w:hAnsi="Wingdings" w:cs="Wingdings"/>
      <w:kern w:val="0"/>
      <w:sz w:val="24"/>
    </w:rPr>
  </w:style>
  <w:style w:type="paragraph" w:styleId="28">
    <w:name w:val="annotation subject"/>
    <w:basedOn w:val="8"/>
    <w:next w:val="8"/>
    <w:qFormat/>
    <w:uiPriority w:val="0"/>
    <w:rPr>
      <w:b/>
      <w:bCs/>
    </w:rPr>
  </w:style>
  <w:style w:type="paragraph" w:styleId="29">
    <w:name w:val="Body Text First Indent"/>
    <w:basedOn w:val="10"/>
    <w:link w:val="135"/>
    <w:qFormat/>
    <w:uiPriority w:val="0"/>
    <w:pPr>
      <w:ind w:firstLine="420" w:firstLineChars="100"/>
    </w:pPr>
    <w:rPr>
      <w:rFonts w:ascii="Arial" w:hAnsi="Arial"/>
    </w:rPr>
  </w:style>
  <w:style w:type="paragraph" w:styleId="30">
    <w:name w:val="Body Text First Indent 2"/>
    <w:basedOn w:val="11"/>
    <w:unhideWhenUsed/>
    <w:qFormat/>
    <w:uiPriority w:val="0"/>
    <w:pPr>
      <w:spacing w:after="120"/>
      <w:ind w:left="420" w:leftChars="200" w:firstLine="420" w:firstLineChars="200"/>
    </w:pPr>
    <w:rPr>
      <w:rFonts w:ascii="Tahoma" w:hAnsi="Tahoma" w:eastAsia="仿宋_GB2312" w:cs="Tahoma"/>
      <w:sz w:val="21"/>
    </w:rPr>
  </w:style>
  <w:style w:type="table" w:styleId="32">
    <w:name w:val="Table Grid"/>
    <w:basedOn w:val="3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4">
    <w:name w:val="Strong"/>
    <w:qFormat/>
    <w:uiPriority w:val="0"/>
    <w:rPr>
      <w:b/>
      <w:bCs/>
    </w:rPr>
  </w:style>
  <w:style w:type="character" w:styleId="35">
    <w:name w:val="page number"/>
    <w:qFormat/>
    <w:uiPriority w:val="0"/>
    <w:rPr>
      <w:rFonts w:ascii="Times New Roman" w:hAnsi="Times New Roman" w:cs="Times New Roman"/>
      <w:sz w:val="21"/>
      <w:szCs w:val="24"/>
    </w:rPr>
  </w:style>
  <w:style w:type="character" w:styleId="36">
    <w:name w:val="FollowedHyperlink"/>
    <w:qFormat/>
    <w:uiPriority w:val="0"/>
    <w:rPr>
      <w:color w:val="800080"/>
      <w:u w:val="single"/>
    </w:rPr>
  </w:style>
  <w:style w:type="character" w:styleId="37">
    <w:name w:val="Emphasis"/>
    <w:qFormat/>
    <w:uiPriority w:val="0"/>
    <w:rPr>
      <w:rFonts w:ascii="Times New Roman" w:hAnsi="Times New Roman" w:cs="Times New Roman"/>
      <w:color w:val="CC0000"/>
      <w:sz w:val="21"/>
      <w:szCs w:val="24"/>
    </w:rPr>
  </w:style>
  <w:style w:type="character" w:styleId="38">
    <w:name w:val="Hyperlink"/>
    <w:qFormat/>
    <w:uiPriority w:val="99"/>
    <w:rPr>
      <w:color w:val="0000FF"/>
      <w:u w:val="single"/>
    </w:rPr>
  </w:style>
  <w:style w:type="character" w:styleId="39">
    <w:name w:val="annotation reference"/>
    <w:qFormat/>
    <w:uiPriority w:val="0"/>
    <w:rPr>
      <w:sz w:val="21"/>
      <w:szCs w:val="21"/>
    </w:rPr>
  </w:style>
  <w:style w:type="character" w:styleId="40">
    <w:name w:val="HTML Cite"/>
    <w:qFormat/>
    <w:uiPriority w:val="0"/>
    <w:rPr>
      <w:rFonts w:ascii="Times New Roman" w:hAnsi="Times New Roman" w:cs="Times New Roman"/>
      <w:color w:val="008000"/>
      <w:sz w:val="21"/>
      <w:szCs w:val="24"/>
    </w:rPr>
  </w:style>
  <w:style w:type="character" w:customStyle="1" w:styleId="41">
    <w:name w:val="标题 3 字符"/>
    <w:link w:val="5"/>
    <w:qFormat/>
    <w:uiPriority w:val="0"/>
    <w:rPr>
      <w:b/>
      <w:bCs/>
      <w:sz w:val="24"/>
      <w:szCs w:val="32"/>
    </w:rPr>
  </w:style>
  <w:style w:type="paragraph" w:customStyle="1" w:styleId="42">
    <w:name w:val="Char Char Char"/>
    <w:basedOn w:val="1"/>
    <w:qFormat/>
    <w:uiPriority w:val="0"/>
    <w:rPr>
      <w:rFonts w:ascii="Courier New" w:hAnsi="Courier New" w:eastAsia="仿宋_GB2312" w:cs="Tahoma"/>
      <w:sz w:val="24"/>
      <w:szCs w:val="20"/>
    </w:rPr>
  </w:style>
  <w:style w:type="paragraph" w:customStyle="1" w:styleId="43">
    <w:name w:val="正文首行缩进1"/>
    <w:basedOn w:val="44"/>
    <w:qFormat/>
    <w:uiPriority w:val="99"/>
    <w:pPr>
      <w:ind w:firstLine="420"/>
    </w:pPr>
    <w:rPr>
      <w:rFonts w:ascii="Times New Roman" w:hAnsi="Times New Roman"/>
    </w:rPr>
  </w:style>
  <w:style w:type="paragraph" w:customStyle="1" w:styleId="44">
    <w:name w:val="引文目录标题1"/>
    <w:qFormat/>
    <w:uiPriority w:val="99"/>
    <w:pPr>
      <w:widowControl w:val="0"/>
      <w:pBdr>
        <w:top w:val="none" w:color="000000" w:sz="0" w:space="3"/>
        <w:left w:val="none" w:color="000000" w:sz="0" w:space="3"/>
        <w:bottom w:val="none" w:color="000000" w:sz="0" w:space="3"/>
        <w:right w:val="none" w:color="000000" w:sz="0" w:space="3"/>
        <w:between w:val="none" w:color="000000" w:sz="0" w:space="0"/>
      </w:pBdr>
      <w:spacing w:before="120"/>
      <w:jc w:val="both"/>
    </w:pPr>
    <w:rPr>
      <w:rFonts w:ascii="Arial" w:hAnsi="Arial" w:eastAsia="宋体" w:cs="Arial"/>
      <w:kern w:val="1"/>
      <w:sz w:val="24"/>
      <w:szCs w:val="22"/>
      <w:lang w:val="en-US" w:eastAsia="zh-CN" w:bidi="ar-SA"/>
    </w:rPr>
  </w:style>
  <w:style w:type="paragraph" w:customStyle="1" w:styleId="45">
    <w:name w:val="xl53"/>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line="100" w:lineRule="exact"/>
      <w:jc w:val="center"/>
    </w:pPr>
    <w:rPr>
      <w:rFonts w:ascii="宋体" w:hAnsi="宋体"/>
      <w:b/>
      <w:bCs/>
      <w:sz w:val="20"/>
    </w:rPr>
  </w:style>
  <w:style w:type="paragraph" w:customStyle="1" w:styleId="46">
    <w:name w:val="列出段落11"/>
    <w:basedOn w:val="1"/>
    <w:link w:val="143"/>
    <w:qFormat/>
    <w:uiPriority w:val="34"/>
    <w:pPr>
      <w:ind w:firstLine="420" w:firstLineChars="200"/>
    </w:pPr>
    <w:rPr>
      <w:rFonts w:ascii="Calibri" w:hAnsi="Calibri"/>
      <w:szCs w:val="22"/>
    </w:rPr>
  </w:style>
  <w:style w:type="paragraph" w:customStyle="1" w:styleId="47">
    <w:name w:val="段"/>
    <w:qFormat/>
    <w:uiPriority w:val="0"/>
    <w:pPr>
      <w:autoSpaceDE w:val="0"/>
      <w:autoSpaceDN w:val="0"/>
      <w:ind w:firstLine="200" w:firstLineChars="200"/>
      <w:jc w:val="both"/>
    </w:pPr>
    <w:rPr>
      <w:rFonts w:ascii="Wingdings" w:hAnsi="Times New Roman" w:eastAsia="宋体" w:cs="Times New Roman"/>
      <w:sz w:val="21"/>
      <w:lang w:val="en-US" w:eastAsia="zh-CN" w:bidi="ar-SA"/>
    </w:rPr>
  </w:style>
  <w:style w:type="paragraph" w:customStyle="1" w:styleId="48">
    <w:name w:val="自动更正"/>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Char Char1 Char Char Char Char Char Char Char Char Char Char Char Char"/>
    <w:basedOn w:val="1"/>
    <w:qFormat/>
    <w:uiPriority w:val="0"/>
  </w:style>
  <w:style w:type="paragraph" w:customStyle="1" w:styleId="5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51">
    <w:name w:val="列出段落1"/>
    <w:basedOn w:val="1"/>
    <w:qFormat/>
    <w:uiPriority w:val="0"/>
    <w:pPr>
      <w:ind w:firstLine="420" w:firstLineChars="200"/>
    </w:pPr>
    <w:rPr>
      <w:rFonts w:ascii="Courier New" w:hAnsi="Courier New" w:cs="Courier New"/>
      <w:szCs w:val="21"/>
    </w:rPr>
  </w:style>
  <w:style w:type="paragraph" w:customStyle="1" w:styleId="52">
    <w:name w:val="彩色列表1"/>
    <w:basedOn w:val="1"/>
    <w:qFormat/>
    <w:uiPriority w:val="0"/>
    <w:pPr>
      <w:spacing w:line="360" w:lineRule="auto"/>
      <w:ind w:firstLine="420" w:firstLineChars="200"/>
    </w:pPr>
    <w:rPr>
      <w:sz w:val="24"/>
    </w:rPr>
  </w:style>
  <w:style w:type="paragraph" w:customStyle="1" w:styleId="53">
    <w:name w:val="xl86"/>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54">
    <w:name w:val="xl85"/>
    <w:basedOn w:val="1"/>
    <w:qFormat/>
    <w:uiPriority w:val="0"/>
    <w:pPr>
      <w:widowControl/>
      <w:pBdr>
        <w:top w:val="single" w:color="auto" w:sz="4" w:space="0"/>
        <w:bottom w:val="single" w:color="auto" w:sz="4" w:space="0"/>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55">
    <w:name w:val="Char Char Char Char"/>
    <w:basedOn w:val="7"/>
    <w:qFormat/>
    <w:uiPriority w:val="0"/>
    <w:pPr>
      <w:shd w:val="clear" w:color="auto" w:fill="000080"/>
    </w:pPr>
    <w:rPr>
      <w:rFonts w:ascii="Times New Roman"/>
      <w:sz w:val="21"/>
      <w:szCs w:val="24"/>
    </w:rPr>
  </w:style>
  <w:style w:type="paragraph" w:customStyle="1" w:styleId="56">
    <w:name w:val="标题6"/>
    <w:basedOn w:val="1"/>
    <w:next w:val="3"/>
    <w:qFormat/>
    <w:uiPriority w:val="0"/>
    <w:pPr>
      <w:widowControl/>
      <w:snapToGrid w:val="0"/>
      <w:spacing w:beforeLines="50" w:afterLines="50" w:line="520" w:lineRule="atLeast"/>
      <w:ind w:firstLine="200" w:firstLineChars="200"/>
    </w:pPr>
    <w:rPr>
      <w:rFonts w:cs="黑体"/>
      <w:b/>
      <w:sz w:val="24"/>
    </w:rPr>
  </w:style>
  <w:style w:type="paragraph" w:customStyle="1" w:styleId="57">
    <w:name w:val="Char Char Char Char1 Char Char Char Char"/>
    <w:basedOn w:val="1"/>
    <w:qFormat/>
    <w:uiPriority w:val="0"/>
    <w:pPr>
      <w:widowControl/>
      <w:spacing w:after="160" w:line="240" w:lineRule="exact"/>
      <w:jc w:val="left"/>
    </w:pPr>
    <w:rPr>
      <w:szCs w:val="20"/>
    </w:rPr>
  </w:style>
  <w:style w:type="paragraph" w:customStyle="1" w:styleId="58">
    <w:name w:val="默认段落字体 Para Char Char Char Char"/>
    <w:basedOn w:val="1"/>
    <w:qFormat/>
    <w:uiPriority w:val="0"/>
    <w:rPr>
      <w:szCs w:val="20"/>
    </w:rPr>
  </w:style>
  <w:style w:type="paragraph" w:customStyle="1" w:styleId="59">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0"/>
      <w:szCs w:val="20"/>
    </w:rPr>
  </w:style>
  <w:style w:type="paragraph" w:customStyle="1" w:styleId="60">
    <w:name w:val="内文正文"/>
    <w:qFormat/>
    <w:uiPriority w:val="99"/>
    <w:pPr>
      <w:autoSpaceDE w:val="0"/>
      <w:autoSpaceDN w:val="0"/>
      <w:spacing w:line="400" w:lineRule="exact"/>
      <w:ind w:firstLine="200" w:firstLineChars="200"/>
      <w:jc w:val="both"/>
      <w:textAlignment w:val="bottom"/>
    </w:pPr>
    <w:rPr>
      <w:rFonts w:ascii="宋体" w:hAnsi="???|CS?o｡ﾀ?" w:eastAsia="宋体" w:cs="Times New Roman"/>
      <w:sz w:val="21"/>
      <w:szCs w:val="22"/>
      <w:lang w:val="en-US" w:eastAsia="zh-CN" w:bidi="ar-SA"/>
    </w:rPr>
  </w:style>
  <w:style w:type="paragraph" w:customStyle="1" w:styleId="61">
    <w:name w:val="font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62">
    <w:name w:val="Contents2"/>
    <w:basedOn w:val="1"/>
    <w:next w:val="1"/>
    <w:qFormat/>
    <w:uiPriority w:val="0"/>
    <w:pPr>
      <w:spacing w:before="60" w:after="60" w:line="360" w:lineRule="atLeast"/>
      <w:outlineLvl w:val="1"/>
    </w:pPr>
    <w:rPr>
      <w:rFonts w:eastAsia="Tahoma"/>
      <w:b/>
      <w:bCs/>
      <w:sz w:val="28"/>
    </w:rPr>
  </w:style>
  <w:style w:type="paragraph" w:customStyle="1" w:styleId="63">
    <w:name w:val="xl84"/>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64">
    <w:name w:val="Char Char Char Char1"/>
    <w:basedOn w:val="1"/>
    <w:qFormat/>
    <w:uiPriority w:val="0"/>
    <w:rPr>
      <w:kern w:val="0"/>
      <w:sz w:val="24"/>
      <w:szCs w:val="20"/>
    </w:rPr>
  </w:style>
  <w:style w:type="paragraph" w:customStyle="1" w:styleId="65">
    <w:name w:val="表头文本"/>
    <w:basedOn w:val="1"/>
    <w:qFormat/>
    <w:uiPriority w:val="0"/>
    <w:pPr>
      <w:autoSpaceDE w:val="0"/>
      <w:autoSpaceDN w:val="0"/>
      <w:adjustRightInd w:val="0"/>
      <w:jc w:val="center"/>
    </w:pPr>
    <w:rPr>
      <w:b/>
      <w:kern w:val="0"/>
      <w:sz w:val="24"/>
      <w:szCs w:val="20"/>
    </w:rPr>
  </w:style>
  <w:style w:type="paragraph" w:customStyle="1" w:styleId="66">
    <w:name w:val="Char Char Char Char Char Char Char Char Char1 Char"/>
    <w:basedOn w:val="1"/>
    <w:qFormat/>
    <w:uiPriority w:val="0"/>
  </w:style>
  <w:style w:type="paragraph" w:customStyle="1" w:styleId="67">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68">
    <w:name w:val="CM106"/>
    <w:basedOn w:val="69"/>
    <w:next w:val="69"/>
    <w:qFormat/>
    <w:uiPriority w:val="0"/>
    <w:rPr>
      <w:rFonts w:ascii="宋体" w:cs="Times New Roman"/>
      <w:color w:val="auto"/>
    </w:rPr>
  </w:style>
  <w:style w:type="paragraph" w:customStyle="1" w:styleId="69">
    <w:name w:val="Default"/>
    <w:qFormat/>
    <w:uiPriority w:val="0"/>
    <w:pPr>
      <w:widowControl w:val="0"/>
      <w:autoSpaceDE w:val="0"/>
      <w:autoSpaceDN w:val="0"/>
      <w:adjustRightInd w:val="0"/>
    </w:pPr>
    <w:rPr>
      <w:rFonts w:ascii="仿宋_GB2312" w:hAnsi="Times New Roman" w:eastAsia="宋体" w:cs="仿宋_GB2312"/>
      <w:color w:val="000000"/>
      <w:sz w:val="24"/>
      <w:szCs w:val="24"/>
      <w:lang w:val="en-US" w:eastAsia="zh-CN" w:bidi="ar-SA"/>
    </w:rPr>
  </w:style>
  <w:style w:type="paragraph" w:customStyle="1" w:styleId="70">
    <w:name w:val="招标文件－标准正文"/>
    <w:basedOn w:val="14"/>
    <w:qFormat/>
    <w:uiPriority w:val="0"/>
    <w:pPr>
      <w:spacing w:line="360" w:lineRule="auto"/>
    </w:pPr>
    <w:rPr>
      <w:rFonts w:ascii="Times New Roman" w:hAnsi="Times New Roman" w:eastAsia="宋体" w:cs="宋体"/>
      <w:color w:val="000000"/>
      <w:sz w:val="24"/>
      <w:szCs w:val="20"/>
    </w:rPr>
  </w:style>
  <w:style w:type="paragraph" w:customStyle="1" w:styleId="71">
    <w:name w:val="报告正文 Char1"/>
    <w:basedOn w:val="1"/>
    <w:qFormat/>
    <w:uiPriority w:val="0"/>
    <w:pPr>
      <w:spacing w:line="480" w:lineRule="exact"/>
      <w:ind w:firstLine="200" w:firstLineChars="200"/>
    </w:pPr>
    <w:rPr>
      <w:rFonts w:ascii="宋体" w:cs="宋体"/>
      <w:color w:val="0000FF"/>
      <w:sz w:val="28"/>
      <w:szCs w:val="28"/>
    </w:rPr>
  </w:style>
  <w:style w:type="paragraph" w:customStyle="1" w:styleId="72">
    <w:name w:val="~body text"/>
    <w:basedOn w:val="1"/>
    <w:qFormat/>
    <w:uiPriority w:val="0"/>
    <w:pPr>
      <w:widowControl/>
      <w:spacing w:before="240" w:after="60"/>
      <w:ind w:left="720"/>
      <w:jc w:val="left"/>
    </w:pPr>
    <w:rPr>
      <w:rFonts w:ascii="Arial" w:hAnsi="Arial"/>
      <w:spacing w:val="-2"/>
      <w:kern w:val="28"/>
      <w:sz w:val="22"/>
      <w:szCs w:val="20"/>
      <w:lang w:eastAsia="en-US"/>
    </w:rPr>
  </w:style>
  <w:style w:type="paragraph" w:customStyle="1" w:styleId="73">
    <w:name w:val="正文1"/>
    <w:basedOn w:val="1"/>
    <w:qFormat/>
    <w:uiPriority w:val="0"/>
    <w:pPr>
      <w:spacing w:line="500" w:lineRule="exact"/>
    </w:pPr>
    <w:rPr>
      <w:rFonts w:ascii="黑体" w:hAnsi="黑体"/>
      <w:sz w:val="24"/>
      <w:szCs w:val="20"/>
    </w:rPr>
  </w:style>
  <w:style w:type="paragraph" w:customStyle="1" w:styleId="74">
    <w:name w:val="~indent1"/>
    <w:basedOn w:val="1"/>
    <w:qFormat/>
    <w:uiPriority w:val="0"/>
    <w:pPr>
      <w:widowControl/>
      <w:spacing w:before="60" w:after="60"/>
      <w:ind w:left="1080"/>
      <w:jc w:val="left"/>
    </w:pPr>
    <w:rPr>
      <w:rFonts w:ascii="Arial" w:hAnsi="Arial"/>
      <w:kern w:val="0"/>
      <w:sz w:val="22"/>
      <w:szCs w:val="20"/>
    </w:rPr>
  </w:style>
  <w:style w:type="paragraph" w:customStyle="1" w:styleId="75">
    <w:name w:val="Char Char"/>
    <w:basedOn w:val="1"/>
    <w:qFormat/>
    <w:uiPriority w:val="0"/>
  </w:style>
  <w:style w:type="paragraph" w:customStyle="1" w:styleId="76">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77">
    <w:name w:val="font9"/>
    <w:basedOn w:val="1"/>
    <w:qFormat/>
    <w:uiPriority w:val="0"/>
    <w:pPr>
      <w:widowControl/>
      <w:spacing w:before="100" w:beforeAutospacing="1" w:after="100" w:afterAutospacing="1"/>
      <w:jc w:val="left"/>
    </w:pPr>
    <w:rPr>
      <w:rFonts w:ascii="宋体" w:hAnsi="宋体" w:cs="宋体"/>
      <w:b/>
      <w:bCs/>
      <w:kern w:val="0"/>
      <w:sz w:val="20"/>
      <w:szCs w:val="20"/>
      <w:u w:val="single"/>
    </w:rPr>
  </w:style>
  <w:style w:type="paragraph" w:customStyle="1" w:styleId="78">
    <w:name w:val="xl88"/>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79">
    <w:name w:val="Char Char Char Char Char Char Char Char Char Char Char Char Char"/>
    <w:basedOn w:val="1"/>
    <w:qFormat/>
    <w:uiPriority w:val="0"/>
    <w:rPr>
      <w:rFonts w:ascii="Univers LT Std 57 Cn" w:hAnsi="Univers LT Std 57 Cn"/>
      <w:sz w:val="24"/>
      <w:szCs w:val="20"/>
    </w:rPr>
  </w:style>
  <w:style w:type="paragraph" w:customStyle="1" w:styleId="80">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81">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szCs w:val="20"/>
      <w:u w:val="single"/>
    </w:rPr>
  </w:style>
  <w:style w:type="paragraph" w:customStyle="1" w:styleId="82">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83">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84">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85">
    <w:name w:val="无间隔1"/>
    <w:qFormat/>
    <w:uiPriority w:val="0"/>
    <w:pPr>
      <w:widowControl w:val="0"/>
      <w:jc w:val="both"/>
    </w:pPr>
    <w:rPr>
      <w:rFonts w:ascii="Courier New" w:hAnsi="Courier New" w:eastAsia="宋体" w:cs="Courier New"/>
      <w:kern w:val="2"/>
      <w:sz w:val="21"/>
      <w:szCs w:val="21"/>
      <w:lang w:val="en-US" w:eastAsia="zh-CN" w:bidi="ar-SA"/>
    </w:rPr>
  </w:style>
  <w:style w:type="paragraph" w:customStyle="1" w:styleId="86">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0"/>
      <w:szCs w:val="20"/>
    </w:rPr>
  </w:style>
  <w:style w:type="paragraph" w:customStyle="1" w:styleId="87">
    <w:name w:val="xl89"/>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88">
    <w:name w:val="Char Char Char Char Char Char Char"/>
    <w:basedOn w:val="1"/>
    <w:qFormat/>
    <w:uiPriority w:val="0"/>
  </w:style>
  <w:style w:type="paragraph" w:customStyle="1" w:styleId="89">
    <w:name w:val="font7"/>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90">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91">
    <w:name w:val="样式 宋体 小四 首行缩进:  0.93 厘米 段前: 11.15 磅 段后: 11.15 磅1"/>
    <w:basedOn w:val="1"/>
    <w:qFormat/>
    <w:uiPriority w:val="0"/>
    <w:pPr>
      <w:adjustRightInd w:val="0"/>
      <w:snapToGrid w:val="0"/>
      <w:ind w:left="200" w:leftChars="200"/>
    </w:pPr>
    <w:rPr>
      <w:rFonts w:ascii="宋体" w:cs="宋体"/>
      <w:sz w:val="24"/>
      <w:szCs w:val="20"/>
    </w:rPr>
  </w:style>
  <w:style w:type="paragraph" w:customStyle="1" w:styleId="92">
    <w:name w:val="表内文字"/>
    <w:basedOn w:val="1"/>
    <w:qFormat/>
    <w:uiPriority w:val="0"/>
    <w:pPr>
      <w:adjustRightInd w:val="0"/>
      <w:snapToGrid w:val="0"/>
      <w:spacing w:line="500" w:lineRule="atLeast"/>
      <w:jc w:val="center"/>
    </w:pPr>
    <w:rPr>
      <w:rFonts w:ascii="黑体" w:hAnsi="黑体" w:eastAsia="长城仿宋" w:cs="黑体"/>
      <w:sz w:val="24"/>
    </w:rPr>
  </w:style>
  <w:style w:type="paragraph" w:customStyle="1" w:styleId="93">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94">
    <w:name w:val="Char Char2 Char"/>
    <w:basedOn w:val="1"/>
    <w:qFormat/>
    <w:uiPriority w:val="0"/>
    <w:pPr>
      <w:keepNext/>
      <w:keepLines/>
      <w:pageBreakBefore/>
      <w:tabs>
        <w:tab w:val="left" w:pos="845"/>
      </w:tabs>
      <w:ind w:left="845" w:hanging="420"/>
    </w:pPr>
    <w:rPr>
      <w:szCs w:val="20"/>
    </w:rPr>
  </w:style>
  <w:style w:type="paragraph" w:customStyle="1" w:styleId="95">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0"/>
      <w:szCs w:val="20"/>
    </w:rPr>
  </w:style>
  <w:style w:type="paragraph" w:customStyle="1" w:styleId="96">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szCs w:val="20"/>
      <w:u w:val="single"/>
    </w:rPr>
  </w:style>
  <w:style w:type="paragraph" w:customStyle="1" w:styleId="97">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98">
    <w:name w:val="xl87"/>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99">
    <w:name w:val="xl7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20"/>
      <w:szCs w:val="20"/>
    </w:rPr>
  </w:style>
  <w:style w:type="paragraph" w:customStyle="1" w:styleId="100">
    <w:name w:val="列表段落1"/>
    <w:basedOn w:val="1"/>
    <w:qFormat/>
    <w:uiPriority w:val="99"/>
    <w:pPr>
      <w:ind w:firstLine="420" w:firstLineChars="200"/>
    </w:pPr>
  </w:style>
  <w:style w:type="paragraph" w:customStyle="1" w:styleId="101">
    <w:name w:val="font8"/>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02">
    <w:name w:val="Sublisttext"/>
    <w:next w:val="103"/>
    <w:qFormat/>
    <w:uiPriority w:val="0"/>
    <w:pPr>
      <w:spacing w:before="80" w:after="80" w:line="240" w:lineRule="atLeast"/>
      <w:ind w:left="958"/>
    </w:pPr>
    <w:rPr>
      <w:rFonts w:ascii="Times New Roman" w:hAnsi="Times New Roman" w:eastAsia="宋体" w:cs="Times New Roman"/>
      <w:kern w:val="2"/>
      <w:sz w:val="21"/>
      <w:szCs w:val="24"/>
      <w:lang w:val="en-US" w:eastAsia="zh-CN" w:bidi="ar-SA"/>
    </w:rPr>
  </w:style>
  <w:style w:type="paragraph" w:customStyle="1" w:styleId="103">
    <w:name w:val="Sublist"/>
    <w:qFormat/>
    <w:uiPriority w:val="0"/>
    <w:pPr>
      <w:tabs>
        <w:tab w:val="left" w:pos="391"/>
      </w:tabs>
      <w:spacing w:before="80" w:after="80" w:line="240" w:lineRule="atLeast"/>
      <w:ind w:left="391" w:hanging="391"/>
    </w:pPr>
    <w:rPr>
      <w:rFonts w:ascii="Times New Roman" w:hAnsi="Times New Roman" w:eastAsia="宋体" w:cs="Times New Roman"/>
      <w:kern w:val="2"/>
      <w:sz w:val="21"/>
      <w:szCs w:val="24"/>
      <w:lang w:val="en-US" w:eastAsia="zh-CN" w:bidi="ar-SA"/>
    </w:rPr>
  </w:style>
  <w:style w:type="paragraph" w:customStyle="1" w:styleId="104">
    <w:name w:val="修订1"/>
    <w:unhideWhenUsed/>
    <w:qFormat/>
    <w:uiPriority w:val="99"/>
    <w:rPr>
      <w:rFonts w:ascii="Times New Roman" w:hAnsi="Times New Roman" w:eastAsia="宋体" w:cs="Times New Roman"/>
      <w:kern w:val="2"/>
      <w:sz w:val="21"/>
      <w:szCs w:val="24"/>
      <w:lang w:val="en-US" w:eastAsia="zh-CN" w:bidi="ar-SA"/>
    </w:rPr>
  </w:style>
  <w:style w:type="paragraph" w:customStyle="1" w:styleId="105">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06">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07">
    <w:name w:val="Char"/>
    <w:basedOn w:val="1"/>
    <w:qFormat/>
    <w:uiPriority w:val="0"/>
    <w:rPr>
      <w:rFonts w:ascii="仿宋_GB2312" w:eastAsia="仿宋_GB2312"/>
      <w:b/>
      <w:sz w:val="32"/>
      <w:szCs w:val="32"/>
    </w:rPr>
  </w:style>
  <w:style w:type="paragraph" w:customStyle="1" w:styleId="108">
    <w:name w:val="xl65"/>
    <w:basedOn w:val="1"/>
    <w:qFormat/>
    <w:uiPriority w:val="0"/>
    <w:pPr>
      <w:widowControl/>
      <w:spacing w:before="100" w:beforeAutospacing="1" w:after="100" w:afterAutospacing="1"/>
      <w:jc w:val="center"/>
    </w:pPr>
    <w:rPr>
      <w:rFonts w:ascii="宋体" w:hAnsi="宋体" w:cs="宋体"/>
      <w:kern w:val="0"/>
      <w:sz w:val="24"/>
    </w:rPr>
  </w:style>
  <w:style w:type="paragraph" w:customStyle="1" w:styleId="109">
    <w:name w:val="font10"/>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10">
    <w:name w:val="保留正文"/>
    <w:basedOn w:val="10"/>
    <w:qFormat/>
    <w:uiPriority w:val="0"/>
    <w:pPr>
      <w:keepNext/>
      <w:spacing w:after="160"/>
    </w:pPr>
    <w:rPr>
      <w:rFonts w:ascii="黑体" w:hAnsi="黑体" w:eastAsia="Wingdings" w:cs="黑体"/>
    </w:rPr>
  </w:style>
  <w:style w:type="paragraph" w:customStyle="1" w:styleId="111">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 w:val="24"/>
    </w:rPr>
  </w:style>
  <w:style w:type="paragraph" w:customStyle="1" w:styleId="112">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13">
    <w:name w:val="缺省文本"/>
    <w:basedOn w:val="1"/>
    <w:qFormat/>
    <w:uiPriority w:val="0"/>
    <w:pPr>
      <w:autoSpaceDE w:val="0"/>
      <w:autoSpaceDN w:val="0"/>
      <w:adjustRightInd w:val="0"/>
      <w:jc w:val="left"/>
    </w:pPr>
    <w:rPr>
      <w:kern w:val="0"/>
      <w:sz w:val="24"/>
    </w:rPr>
  </w:style>
  <w:style w:type="paragraph" w:customStyle="1" w:styleId="114">
    <w:name w:val="_Style 5"/>
    <w:basedOn w:val="7"/>
    <w:qFormat/>
    <w:uiPriority w:val="0"/>
    <w:pPr>
      <w:shd w:val="clear" w:color="auto" w:fill="000080"/>
    </w:pPr>
    <w:rPr>
      <w:rFonts w:ascii="Times New Roman"/>
      <w:sz w:val="21"/>
      <w:szCs w:val="24"/>
    </w:rPr>
  </w:style>
  <w:style w:type="paragraph" w:customStyle="1" w:styleId="115">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16">
    <w:name w:val="1"/>
    <w:basedOn w:val="10"/>
    <w:next w:val="29"/>
    <w:link w:val="148"/>
    <w:qFormat/>
    <w:uiPriority w:val="0"/>
    <w:pPr>
      <w:ind w:firstLine="420" w:firstLineChars="100"/>
    </w:pPr>
    <w:rPr>
      <w:rFonts w:ascii="Arial" w:hAnsi="Arial"/>
    </w:rPr>
  </w:style>
  <w:style w:type="paragraph" w:customStyle="1" w:styleId="117">
    <w:name w:val="Table Paragraph"/>
    <w:qFormat/>
    <w:uiPriority w:val="1"/>
    <w:rPr>
      <w:rFonts w:ascii="宋体" w:hAnsi="宋体" w:eastAsia="宋体" w:cs="宋体"/>
      <w:lang w:val="en-US" w:eastAsia="zh-CN" w:bidi="ar-SA"/>
    </w:rPr>
  </w:style>
  <w:style w:type="paragraph" w:customStyle="1" w:styleId="118">
    <w:name w:val="规章1级标题"/>
    <w:qFormat/>
    <w:uiPriority w:val="0"/>
    <w:pPr>
      <w:pBdr>
        <w:top w:val="none" w:color="000000" w:sz="0" w:space="3"/>
        <w:left w:val="none" w:color="000000" w:sz="0" w:space="3"/>
        <w:bottom w:val="none" w:color="000000" w:sz="0" w:space="3"/>
        <w:right w:val="none" w:color="000000" w:sz="0" w:space="3"/>
        <w:between w:val="none" w:color="000000" w:sz="0" w:space="0"/>
      </w:pBdr>
      <w:spacing w:line="400" w:lineRule="exact"/>
      <w:jc w:val="both"/>
      <w:outlineLvl w:val="0"/>
    </w:pPr>
    <w:rPr>
      <w:rFonts w:ascii="黑体" w:hAnsi="黑体" w:eastAsia="宋体" w:cs="Times New Roman"/>
      <w:b/>
      <w:kern w:val="1"/>
      <w:sz w:val="28"/>
      <w:szCs w:val="21"/>
      <w:lang w:val="en-US" w:eastAsia="zh-CN" w:bidi="ar-SA"/>
    </w:rPr>
  </w:style>
  <w:style w:type="paragraph" w:customStyle="1" w:styleId="119">
    <w:name w:val="彩色列表 - 强调文字颜色 11"/>
    <w:basedOn w:val="1"/>
    <w:qFormat/>
    <w:uiPriority w:val="0"/>
    <w:pPr>
      <w:ind w:firstLine="420" w:firstLineChars="200"/>
    </w:pPr>
  </w:style>
  <w:style w:type="paragraph" w:customStyle="1" w:styleId="120">
    <w:name w:val="wsy标题3"/>
    <w:basedOn w:val="1"/>
    <w:qFormat/>
    <w:uiPriority w:val="0"/>
    <w:pPr>
      <w:spacing w:line="360" w:lineRule="auto"/>
      <w:outlineLvl w:val="2"/>
    </w:pPr>
    <w:rPr>
      <w:b/>
      <w:szCs w:val="21"/>
    </w:rPr>
  </w:style>
  <w:style w:type="paragraph" w:customStyle="1" w:styleId="121">
    <w:name w:val="修订2"/>
    <w:hidden/>
    <w:semiHidden/>
    <w:qFormat/>
    <w:uiPriority w:val="99"/>
    <w:rPr>
      <w:rFonts w:ascii="Times New Roman" w:hAnsi="Times New Roman" w:eastAsia="宋体" w:cs="Times New Roman"/>
      <w:kern w:val="2"/>
      <w:sz w:val="21"/>
      <w:szCs w:val="24"/>
      <w:lang w:val="en-US" w:eastAsia="zh-CN" w:bidi="ar-SA"/>
    </w:rPr>
  </w:style>
  <w:style w:type="character" w:customStyle="1" w:styleId="122">
    <w:name w:val="font51"/>
    <w:qFormat/>
    <w:uiPriority w:val="0"/>
    <w:rPr>
      <w:rFonts w:hint="default" w:ascii="Times New Roman" w:hAnsi="Times New Roman" w:cs="Times New Roman"/>
      <w:color w:val="000000"/>
      <w:sz w:val="24"/>
      <w:szCs w:val="24"/>
      <w:u w:val="none"/>
    </w:rPr>
  </w:style>
  <w:style w:type="character" w:customStyle="1" w:styleId="123">
    <w:name w:val="文档结构图 Char"/>
    <w:link w:val="7"/>
    <w:qFormat/>
    <w:uiPriority w:val="0"/>
    <w:rPr>
      <w:rFonts w:ascii="宋体"/>
      <w:kern w:val="2"/>
      <w:sz w:val="18"/>
      <w:szCs w:val="18"/>
    </w:rPr>
  </w:style>
  <w:style w:type="character" w:customStyle="1" w:styleId="124">
    <w:name w:val="纯文本 Char"/>
    <w:link w:val="14"/>
    <w:qFormat/>
    <w:uiPriority w:val="0"/>
    <w:rPr>
      <w:rFonts w:ascii="Wingdings" w:hAnsi="长城仿宋" w:eastAsia="Wingdings"/>
      <w:sz w:val="21"/>
      <w:szCs w:val="21"/>
      <w:lang w:val="en-US" w:eastAsia="zh-CN" w:bidi="ar-SA"/>
    </w:rPr>
  </w:style>
  <w:style w:type="character" w:customStyle="1" w:styleId="125">
    <w:name w:val="chs1"/>
    <w:qFormat/>
    <w:uiPriority w:val="0"/>
    <w:rPr>
      <w:rFonts w:hint="default" w:cs="Times New Roman"/>
      <w:sz w:val="18"/>
      <w:szCs w:val="18"/>
    </w:rPr>
  </w:style>
  <w:style w:type="character" w:customStyle="1" w:styleId="126">
    <w:name w:val="标题 4 Char"/>
    <w:link w:val="6"/>
    <w:semiHidden/>
    <w:qFormat/>
    <w:uiPriority w:val="0"/>
    <w:rPr>
      <w:rFonts w:ascii="Cambria" w:hAnsi="Cambria" w:eastAsia="宋体" w:cs="Times New Roman"/>
      <w:b/>
      <w:bCs/>
      <w:kern w:val="2"/>
      <w:sz w:val="28"/>
      <w:szCs w:val="28"/>
    </w:rPr>
  </w:style>
  <w:style w:type="character" w:customStyle="1" w:styleId="127">
    <w:name w:val="页脚 Char"/>
    <w:link w:val="18"/>
    <w:qFormat/>
    <w:uiPriority w:val="99"/>
    <w:rPr>
      <w:rFonts w:eastAsia="Wingdings"/>
      <w:kern w:val="2"/>
      <w:sz w:val="18"/>
      <w:szCs w:val="18"/>
      <w:lang w:val="en-US" w:eastAsia="zh-CN" w:bidi="ar-SA"/>
    </w:rPr>
  </w:style>
  <w:style w:type="character" w:customStyle="1" w:styleId="128">
    <w:name w:val="纯文本 字符1"/>
    <w:qFormat/>
    <w:uiPriority w:val="0"/>
    <w:rPr>
      <w:rFonts w:ascii="Wingdings" w:hAnsi="长城仿宋" w:eastAsia="Wingdings"/>
      <w:kern w:val="2"/>
      <w:sz w:val="21"/>
      <w:szCs w:val="21"/>
    </w:rPr>
  </w:style>
  <w:style w:type="character" w:customStyle="1" w:styleId="129">
    <w:name w:val="font01"/>
    <w:qFormat/>
    <w:uiPriority w:val="0"/>
    <w:rPr>
      <w:rFonts w:hint="eastAsia" w:ascii="宋体" w:hAnsi="宋体" w:eastAsia="宋体" w:cs="宋体"/>
      <w:color w:val="FF0000"/>
      <w:sz w:val="24"/>
      <w:szCs w:val="24"/>
      <w:u w:val="none"/>
    </w:rPr>
  </w:style>
  <w:style w:type="character" w:customStyle="1" w:styleId="130">
    <w:name w:val="正文缩进 Char"/>
    <w:qFormat/>
    <w:uiPriority w:val="0"/>
    <w:rPr>
      <w:rFonts w:eastAsia="Wingdings"/>
      <w:sz w:val="21"/>
      <w:lang w:val="en-US" w:eastAsia="zh-CN" w:bidi="ar-SA"/>
    </w:rPr>
  </w:style>
  <w:style w:type="character" w:customStyle="1" w:styleId="131">
    <w:name w:val="标题 1 Char"/>
    <w:link w:val="3"/>
    <w:qFormat/>
    <w:uiPriority w:val="0"/>
    <w:rPr>
      <w:rFonts w:ascii="长城仿宋" w:hAnsi="Times New Roman" w:eastAsia="长城仿宋" w:cs="Times New Roman"/>
      <w:b/>
      <w:bCs/>
      <w:kern w:val="2"/>
      <w:sz w:val="21"/>
      <w:szCs w:val="24"/>
    </w:rPr>
  </w:style>
  <w:style w:type="character" w:customStyle="1" w:styleId="132">
    <w:name w:val="署名 Char"/>
    <w:qFormat/>
    <w:uiPriority w:val="0"/>
    <w:rPr>
      <w:rFonts w:eastAsia="宋体"/>
      <w:kern w:val="28"/>
      <w:sz w:val="28"/>
      <w:lang w:val="en-US" w:eastAsia="zh-CN" w:bidi="ar-SA"/>
    </w:rPr>
  </w:style>
  <w:style w:type="character" w:customStyle="1" w:styleId="133">
    <w:name w:val="op-map-singlepoint-info-right1"/>
    <w:qFormat/>
    <w:uiPriority w:val="0"/>
    <w:rPr>
      <w:rFonts w:ascii="Times New Roman" w:hAnsi="Times New Roman" w:cs="Times New Roman"/>
      <w:sz w:val="21"/>
      <w:szCs w:val="24"/>
    </w:rPr>
  </w:style>
  <w:style w:type="character" w:customStyle="1" w:styleId="134">
    <w:name w:val="font71"/>
    <w:qFormat/>
    <w:uiPriority w:val="0"/>
    <w:rPr>
      <w:rFonts w:hint="eastAsia" w:ascii="宋体" w:hAnsi="宋体" w:eastAsia="宋体" w:cs="宋体"/>
      <w:color w:val="000000"/>
      <w:sz w:val="24"/>
      <w:szCs w:val="24"/>
      <w:u w:val="none"/>
    </w:rPr>
  </w:style>
  <w:style w:type="character" w:customStyle="1" w:styleId="135">
    <w:name w:val="正文首行缩进 Char"/>
    <w:link w:val="29"/>
    <w:qFormat/>
    <w:uiPriority w:val="0"/>
    <w:rPr>
      <w:rFonts w:ascii="Arial" w:hAnsi="Arial"/>
      <w:kern w:val="2"/>
      <w:sz w:val="21"/>
      <w:szCs w:val="24"/>
    </w:rPr>
  </w:style>
  <w:style w:type="character" w:customStyle="1" w:styleId="136">
    <w:name w:val="dash6b63_6587__char"/>
    <w:qFormat/>
    <w:uiPriority w:val="0"/>
    <w:rPr>
      <w:rFonts w:ascii="Times New Roman" w:hAnsi="Times New Roman" w:cs="Times New Roman"/>
      <w:sz w:val="21"/>
      <w:szCs w:val="24"/>
    </w:rPr>
  </w:style>
  <w:style w:type="character" w:customStyle="1" w:styleId="137">
    <w:name w:val="标题 3 Char"/>
    <w:link w:val="5"/>
    <w:qFormat/>
    <w:uiPriority w:val="9"/>
    <w:rPr>
      <w:rFonts w:ascii="Times New Roman" w:hAnsi="Times New Roman" w:cs="Times New Roman"/>
      <w:b/>
      <w:kern w:val="2"/>
      <w:sz w:val="28"/>
      <w:szCs w:val="24"/>
    </w:rPr>
  </w:style>
  <w:style w:type="character" w:customStyle="1" w:styleId="138">
    <w:name w:val="正文缩进 Char1"/>
    <w:link w:val="2"/>
    <w:qFormat/>
    <w:uiPriority w:val="0"/>
    <w:rPr>
      <w:rFonts w:eastAsia="Wingdings"/>
      <w:sz w:val="21"/>
      <w:lang w:val="en-US" w:eastAsia="zh-CN" w:bidi="ar-SA"/>
    </w:rPr>
  </w:style>
  <w:style w:type="character" w:customStyle="1" w:styleId="139">
    <w:name w:val="纯文本 Char1"/>
    <w:qFormat/>
    <w:uiPriority w:val="99"/>
    <w:rPr>
      <w:rFonts w:ascii="宋体" w:hAnsi="Courier New"/>
      <w:kern w:val="2"/>
      <w:sz w:val="21"/>
      <w:szCs w:val="24"/>
    </w:rPr>
  </w:style>
  <w:style w:type="character" w:customStyle="1" w:styleId="140">
    <w:name w:val="批注框文本 Char"/>
    <w:link w:val="17"/>
    <w:qFormat/>
    <w:uiPriority w:val="99"/>
    <w:rPr>
      <w:rFonts w:ascii="Times New Roman" w:hAnsi="Times New Roman" w:cs="Times New Roman"/>
      <w:kern w:val="2"/>
      <w:sz w:val="18"/>
      <w:szCs w:val="18"/>
    </w:rPr>
  </w:style>
  <w:style w:type="character" w:customStyle="1" w:styleId="141">
    <w:name w:val="ändrad Char"/>
    <w:qFormat/>
    <w:uiPriority w:val="0"/>
    <w:rPr>
      <w:rFonts w:eastAsia="仿宋_GB2312"/>
      <w:kern w:val="2"/>
      <w:sz w:val="21"/>
      <w:szCs w:val="24"/>
      <w:lang w:val="en-US" w:eastAsia="zh-CN" w:bidi="ar-SA"/>
    </w:rPr>
  </w:style>
  <w:style w:type="character" w:customStyle="1" w:styleId="142">
    <w:name w:val="HTML 预设格式 Char"/>
    <w:link w:val="26"/>
    <w:qFormat/>
    <w:uiPriority w:val="99"/>
    <w:rPr>
      <w:rFonts w:ascii="宋体" w:hAnsi="宋体" w:cs="宋体"/>
      <w:sz w:val="24"/>
      <w:szCs w:val="24"/>
    </w:rPr>
  </w:style>
  <w:style w:type="character" w:customStyle="1" w:styleId="143">
    <w:name w:val="列出段落 Char"/>
    <w:link w:val="46"/>
    <w:qFormat/>
    <w:locked/>
    <w:uiPriority w:val="34"/>
    <w:rPr>
      <w:rFonts w:ascii="Calibri" w:hAnsi="Calibri" w:eastAsia="宋体" w:cs="Times New Roman"/>
      <w:kern w:val="2"/>
      <w:sz w:val="21"/>
      <w:szCs w:val="22"/>
    </w:rPr>
  </w:style>
  <w:style w:type="character" w:customStyle="1" w:styleId="144">
    <w:name w:val="style13"/>
    <w:qFormat/>
    <w:uiPriority w:val="0"/>
    <w:rPr>
      <w:rFonts w:ascii="Times New Roman" w:hAnsi="Times New Roman" w:cs="Times New Roman"/>
      <w:sz w:val="21"/>
      <w:szCs w:val="24"/>
    </w:rPr>
  </w:style>
  <w:style w:type="character" w:customStyle="1" w:styleId="145">
    <w:name w:val="Char Char7"/>
    <w:qFormat/>
    <w:uiPriority w:val="0"/>
    <w:rPr>
      <w:rFonts w:eastAsia="仿宋_GB2312"/>
      <w:sz w:val="21"/>
      <w:lang w:val="en-US" w:eastAsia="zh-CN" w:bidi="ar-SA"/>
    </w:rPr>
  </w:style>
  <w:style w:type="character" w:customStyle="1" w:styleId="146">
    <w:name w:val="页眉 Char"/>
    <w:link w:val="20"/>
    <w:qFormat/>
    <w:uiPriority w:val="99"/>
    <w:rPr>
      <w:rFonts w:eastAsia="Wingdings"/>
      <w:kern w:val="2"/>
      <w:sz w:val="18"/>
      <w:szCs w:val="18"/>
      <w:lang w:val="en-US" w:eastAsia="zh-CN" w:bidi="ar-SA"/>
    </w:rPr>
  </w:style>
  <w:style w:type="character" w:customStyle="1" w:styleId="147">
    <w:name w:val="标题 2 Char"/>
    <w:link w:val="4"/>
    <w:qFormat/>
    <w:uiPriority w:val="9"/>
    <w:rPr>
      <w:rFonts w:ascii="黑体" w:hAnsi="黑体" w:eastAsia="Tahoma" w:cs="Times New Roman"/>
      <w:b/>
      <w:bCs/>
      <w:kern w:val="2"/>
      <w:sz w:val="32"/>
      <w:szCs w:val="32"/>
    </w:rPr>
  </w:style>
  <w:style w:type="character" w:customStyle="1" w:styleId="148">
    <w:name w:val="正文文本首行缩进 字符"/>
    <w:link w:val="116"/>
    <w:qFormat/>
    <w:uiPriority w:val="0"/>
    <w:rPr>
      <w:rFonts w:ascii="Arial" w:hAnsi="Arial"/>
      <w:kern w:val="2"/>
      <w:sz w:val="21"/>
      <w:szCs w:val="24"/>
    </w:rPr>
  </w:style>
  <w:style w:type="character" w:customStyle="1" w:styleId="149">
    <w:name w:val="font21"/>
    <w:qFormat/>
    <w:uiPriority w:val="0"/>
    <w:rPr>
      <w:rFonts w:hint="eastAsia" w:ascii="宋体" w:hAnsi="宋体" w:eastAsia="宋体" w:cs="宋体"/>
      <w:color w:val="000000"/>
      <w:sz w:val="18"/>
      <w:szCs w:val="18"/>
      <w:u w:val="none"/>
    </w:rPr>
  </w:style>
  <w:style w:type="character" w:customStyle="1" w:styleId="150">
    <w:name w:val="font61"/>
    <w:qFormat/>
    <w:uiPriority w:val="0"/>
    <w:rPr>
      <w:rFonts w:hint="default" w:ascii="Times New Roman" w:hAnsi="Times New Roman" w:cs="Times New Roman"/>
      <w:color w:val="000000"/>
      <w:sz w:val="18"/>
      <w:szCs w:val="18"/>
      <w:u w:val="none"/>
    </w:rPr>
  </w:style>
  <w:style w:type="character" w:customStyle="1" w:styleId="151">
    <w:name w:val="font41"/>
    <w:qFormat/>
    <w:uiPriority w:val="0"/>
    <w:rPr>
      <w:rFonts w:hint="eastAsia" w:ascii="宋体" w:hAnsi="宋体" w:eastAsia="宋体" w:cs="宋体"/>
      <w:color w:val="000000"/>
      <w:sz w:val="18"/>
      <w:szCs w:val="18"/>
      <w:u w:val="none"/>
    </w:rPr>
  </w:style>
  <w:style w:type="character" w:customStyle="1" w:styleId="152">
    <w:name w:val="font31"/>
    <w:qFormat/>
    <w:uiPriority w:val="0"/>
    <w:rPr>
      <w:rFonts w:hint="default" w:ascii="Times New Roman" w:hAnsi="Times New Roman" w:cs="Times New Roman"/>
      <w:color w:val="000000"/>
      <w:sz w:val="18"/>
      <w:szCs w:val="18"/>
      <w:u w:val="none"/>
    </w:rPr>
  </w:style>
  <w:style w:type="character" w:customStyle="1" w:styleId="153">
    <w:name w:val="zbggmain style9"/>
    <w:qFormat/>
    <w:uiPriority w:val="0"/>
  </w:style>
  <w:style w:type="character" w:customStyle="1" w:styleId="154">
    <w:name w:val="Unresolved Mention"/>
    <w:unhideWhenUsed/>
    <w:qFormat/>
    <w:uiPriority w:val="99"/>
    <w:rPr>
      <w:color w:val="605E5C"/>
      <w:shd w:val="clear" w:color="auto" w:fill="E1DFDD"/>
    </w:rPr>
  </w:style>
  <w:style w:type="paragraph" w:customStyle="1" w:styleId="155">
    <w:name w:val="默认"/>
    <w:qFormat/>
    <w:uiPriority w:val="0"/>
    <w:pPr>
      <w:spacing w:before="160" w:line="288" w:lineRule="auto"/>
    </w:pPr>
    <w:rPr>
      <w:rFonts w:ascii="PingFang SC Regular" w:hAnsi="PingFang SC Regular" w:eastAsia="Arial Unicode MS" w:cs="Arial Unicode MS"/>
      <w:color w:val="000000"/>
      <w:sz w:val="24"/>
      <w:szCs w:val="24"/>
      <w:lang w:val="en-US" w:eastAsia="zh-CN" w:bidi="ar-SA"/>
    </w:rPr>
  </w:style>
  <w:style w:type="paragraph" w:customStyle="1" w:styleId="156">
    <w:name w:val="首行缩进正文"/>
    <w:qFormat/>
    <w:uiPriority w:val="0"/>
    <w:pPr>
      <w:widowControl w:val="0"/>
      <w:ind w:firstLine="720"/>
      <w:jc w:val="both"/>
    </w:pPr>
    <w:rPr>
      <w:rFonts w:ascii="Calibri" w:hAnsi="Calibri" w:eastAsia="宋体" w:cs="Times New Roman"/>
      <w:kern w:val="2"/>
      <w:sz w:val="24"/>
      <w:szCs w:val="24"/>
      <w:lang w:val="zh-CN" w:eastAsia="zh-CN" w:bidi="ar-SA"/>
    </w:rPr>
  </w:style>
  <w:style w:type="paragraph" w:customStyle="1" w:styleId="157">
    <w:name w:val="Plain Text"/>
    <w:basedOn w:val="158"/>
    <w:qFormat/>
    <w:uiPriority w:val="0"/>
    <w:pPr>
      <w:widowControl/>
      <w:jc w:val="left"/>
    </w:pPr>
    <w:rPr>
      <w:rFonts w:hint="eastAsia" w:ascii="宋体" w:hAnsi="Courier New"/>
      <w:szCs w:val="20"/>
    </w:rPr>
  </w:style>
  <w:style w:type="paragraph" w:customStyle="1" w:styleId="158">
    <w:name w:val="Normal"/>
    <w:qFormat/>
    <w:uiPriority w:val="0"/>
    <w:pPr>
      <w:widowControl w:val="0"/>
      <w:jc w:val="both"/>
    </w:pPr>
    <w:rPr>
      <w:rFonts w:hint="eastAsia" w:ascii="Calibri" w:hAnsi="Calibri" w:eastAsia="宋体" w:cs="Times New Roman"/>
      <w:kern w:val="2"/>
      <w:sz w:val="21"/>
      <w:lang w:val="en-US" w:eastAsia="zh-CN" w:bidi="ar-SA"/>
    </w:rPr>
  </w:style>
  <w:style w:type="paragraph" w:customStyle="1" w:styleId="159">
    <w:name w:val="BZ_二级标题"/>
    <w:basedOn w:val="4"/>
    <w:next w:val="160"/>
    <w:qFormat/>
    <w:uiPriority w:val="0"/>
    <w:pPr>
      <w:widowControl/>
      <w:spacing w:before="0" w:after="0" w:line="240" w:lineRule="auto"/>
      <w:ind w:left="431" w:hanging="431"/>
    </w:pPr>
    <w:rPr>
      <w:rFonts w:ascii="Times New Roman" w:hAnsi="Times New Roman" w:eastAsia="黑体" w:cs="Times New Roman"/>
    </w:rPr>
  </w:style>
  <w:style w:type="paragraph" w:customStyle="1" w:styleId="160">
    <w:name w:val="BZ_正文"/>
    <w:basedOn w:val="1"/>
    <w:qFormat/>
    <w:uiPriority w:val="0"/>
    <w:pPr>
      <w:widowControl/>
      <w:ind w:firstLine="200" w:firstLineChars="200"/>
    </w:pPr>
    <w:rPr>
      <w:rFonts w:ascii="Times New Roman" w:hAnsi="Times New Roman"/>
      <w:szCs w:val="24"/>
    </w:rPr>
  </w:style>
  <w:style w:type="paragraph" w:customStyle="1" w:styleId="161">
    <w:name w:val="BZ_三级标题"/>
    <w:basedOn w:val="5"/>
    <w:next w:val="160"/>
    <w:qFormat/>
    <w:uiPriority w:val="0"/>
    <w:pPr>
      <w:numPr>
        <w:ilvl w:val="2"/>
        <w:numId w:val="1"/>
      </w:numPr>
      <w:spacing w:before="100" w:after="100" w:line="240" w:lineRule="auto"/>
      <w:jc w:val="left"/>
    </w:pPr>
    <w:rPr>
      <w:rFonts w:ascii="Times New Roman" w:hAnsi="Times New Roman" w:eastAsia="黑体"/>
      <w:sz w:val="28"/>
      <w:szCs w:val="28"/>
    </w:rPr>
  </w:style>
  <w:style w:type="paragraph" w:customStyle="1" w:styleId="162">
    <w:name w:val="BZ_一级标题"/>
    <w:basedOn w:val="3"/>
    <w:next w:val="160"/>
    <w:qFormat/>
    <w:uiPriority w:val="0"/>
    <w:pPr>
      <w:widowControl/>
      <w:numPr>
        <w:ilvl w:val="0"/>
        <w:numId w:val="1"/>
      </w:numPr>
      <w:spacing w:beforeLines="50" w:afterLines="50" w:line="240" w:lineRule="auto"/>
    </w:pPr>
    <w:rPr>
      <w:rFonts w:ascii="Times New Roman" w:hAnsi="Times New Roman" w:eastAsia="黑体"/>
      <w:sz w:val="36"/>
      <w:szCs w:val="3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MSCD龙帝国技术社区 Htpp://Bbs.Mscode.Cc</Company>
  <Pages>75</Pages>
  <Words>9991</Words>
  <Characters>10695</Characters>
  <Lines>600</Lines>
  <Paragraphs>169</Paragraphs>
  <TotalTime>19</TotalTime>
  <ScaleCrop>false</ScaleCrop>
  <LinksUpToDate>false</LinksUpToDate>
  <CharactersWithSpaces>10798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2019-12-10T17:21:00Z</dcterms:created>
  <dc:creator>Ray</dc:creator>
  <cp:lastModifiedBy>邵海勇</cp:lastModifiedBy>
  <cp:lastPrinted>2022-07-26T22:59:00Z</cp:lastPrinted>
  <dcterms:modified xsi:type="dcterms:W3CDTF">2025-11-24T07:45:23Z</dcterms:modified>
  <dc:title>温州市政府分散采购</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991039E4E4CC4712BF1D195CC9D0A060_13</vt:lpwstr>
  </property>
  <property fmtid="{D5CDD505-2E9C-101B-9397-08002B2CF9AE}" pid="4" name="KSOTemplateDocerSaveRecord">
    <vt:lpwstr>eyJoZGlkIjoiMWI3MzBkNmUzNzc0NGM4NjE4OGY3MGM3OTRjZTk2MTkiLCJ1c2VySWQiOiIyMzY3MjI4MzcifQ==</vt:lpwstr>
  </property>
</Properties>
</file>