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utoSpaceDE w:val="0"/>
        <w:autoSpaceDN w:val="0"/>
        <w:spacing w:line="500" w:lineRule="atLeast"/>
        <w:jc w:val="center"/>
        <w:textAlignment w:val="bottom"/>
        <w:rPr>
          <w:rFonts w:hint="eastAsia" w:ascii="宋体" w:hAnsi="宋体" w:eastAsia="宋体" w:cs="宋体"/>
          <w:b/>
          <w:bCs/>
          <w:color w:val="auto"/>
          <w:spacing w:val="120"/>
          <w:sz w:val="72"/>
          <w:szCs w:val="72"/>
          <w:highlight w:val="none"/>
        </w:rPr>
      </w:pPr>
    </w:p>
    <w:p>
      <w:pPr>
        <w:autoSpaceDE w:val="0"/>
        <w:autoSpaceDN w:val="0"/>
        <w:spacing w:line="500" w:lineRule="atLeast"/>
        <w:jc w:val="center"/>
        <w:textAlignment w:val="bottom"/>
        <w:rPr>
          <w:rFonts w:hint="eastAsia" w:ascii="宋体" w:hAnsi="宋体" w:eastAsia="宋体" w:cs="宋体"/>
          <w:bCs/>
          <w:color w:val="auto"/>
          <w:sz w:val="72"/>
          <w:szCs w:val="72"/>
          <w:highlight w:val="none"/>
        </w:rPr>
      </w:pPr>
      <w:r>
        <w:rPr>
          <w:rFonts w:hint="eastAsia" w:ascii="宋体" w:hAnsi="宋体" w:eastAsia="宋体" w:cs="宋体"/>
          <w:b/>
          <w:bCs/>
          <w:color w:val="auto"/>
          <w:spacing w:val="120"/>
          <w:sz w:val="72"/>
          <w:szCs w:val="72"/>
          <w:highlight w:val="none"/>
        </w:rPr>
        <w:t>温州市国有企业采购</w:t>
      </w:r>
    </w:p>
    <w:p>
      <w:pPr>
        <w:spacing w:line="400" w:lineRule="atLeast"/>
        <w:jc w:val="center"/>
        <w:rPr>
          <w:rFonts w:hint="eastAsia" w:ascii="宋体" w:hAnsi="宋体" w:eastAsia="宋体" w:cs="宋体"/>
          <w:b/>
          <w:color w:val="auto"/>
          <w:sz w:val="52"/>
          <w:highlight w:val="none"/>
        </w:rPr>
      </w:pPr>
    </w:p>
    <w:p>
      <w:pPr>
        <w:spacing w:line="400" w:lineRule="atLeast"/>
        <w:rPr>
          <w:rFonts w:hint="eastAsia" w:ascii="宋体" w:hAnsi="宋体" w:eastAsia="宋体" w:cs="宋体"/>
          <w:b/>
          <w:color w:val="auto"/>
          <w:sz w:val="52"/>
          <w:highlight w:val="none"/>
        </w:rPr>
      </w:pPr>
    </w:p>
    <w:p>
      <w:pPr>
        <w:autoSpaceDE w:val="0"/>
        <w:autoSpaceDN w:val="0"/>
        <w:spacing w:line="500" w:lineRule="atLeast"/>
        <w:jc w:val="center"/>
        <w:textAlignment w:val="bottom"/>
        <w:rPr>
          <w:rFonts w:hint="eastAsia" w:ascii="宋体" w:hAnsi="宋体" w:eastAsia="宋体" w:cs="宋体"/>
          <w:b/>
          <w:color w:val="auto"/>
          <w:sz w:val="72"/>
          <w:szCs w:val="72"/>
          <w:highlight w:val="none"/>
        </w:rPr>
      </w:pPr>
      <w:r>
        <w:rPr>
          <w:rFonts w:hint="eastAsia" w:ascii="宋体" w:hAnsi="宋体" w:eastAsia="宋体" w:cs="宋体"/>
          <w:b/>
          <w:bCs/>
          <w:color w:val="auto"/>
          <w:sz w:val="72"/>
          <w:szCs w:val="72"/>
          <w:highlight w:val="none"/>
        </w:rPr>
        <w:t>招  标  文  件</w:t>
      </w: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30"/>
          <w:highlight w:val="none"/>
        </w:rPr>
      </w:pPr>
    </w:p>
    <w:p>
      <w:pPr>
        <w:spacing w:line="360" w:lineRule="auto"/>
        <w:rPr>
          <w:rFonts w:hint="eastAsia" w:ascii="宋体" w:hAnsi="宋体" w:eastAsia="宋体" w:cs="宋体"/>
          <w:color w:val="auto"/>
          <w:sz w:val="30"/>
          <w:highlight w:val="none"/>
        </w:rPr>
      </w:pPr>
    </w:p>
    <w:p>
      <w:pPr>
        <w:spacing w:line="360" w:lineRule="auto"/>
        <w:ind w:firstLine="1500" w:firstLineChars="500"/>
        <w:rPr>
          <w:rFonts w:hint="eastAsia" w:ascii="宋体" w:hAnsi="宋体" w:eastAsia="宋体" w:cs="宋体"/>
          <w:color w:val="auto"/>
          <w:sz w:val="30"/>
          <w:highlight w:val="none"/>
        </w:rPr>
      </w:pPr>
    </w:p>
    <w:p>
      <w:pPr>
        <w:autoSpaceDE w:val="0"/>
        <w:autoSpaceDN w:val="0"/>
        <w:spacing w:line="360" w:lineRule="auto"/>
        <w:ind w:left="1928" w:hanging="1928" w:hangingChars="600"/>
        <w:jc w:val="both"/>
        <w:textAlignment w:val="bottom"/>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rPr>
        <w:t>项 目</w:t>
      </w:r>
      <w:r>
        <w:rPr>
          <w:rFonts w:hint="eastAsia" w:ascii="宋体" w:hAnsi="宋体" w:eastAsia="宋体" w:cs="宋体"/>
          <w:b/>
          <w:color w:val="auto"/>
          <w:sz w:val="32"/>
          <w:szCs w:val="32"/>
          <w:highlight w:val="none"/>
          <w:lang w:val="en-US" w:eastAsia="zh-CN"/>
        </w:rPr>
        <w:t xml:space="preserve"> 名 称</w:t>
      </w:r>
      <w:r>
        <w:rPr>
          <w:rFonts w:hint="eastAsia" w:ascii="宋体" w:hAnsi="宋体" w:eastAsia="宋体" w:cs="宋体"/>
          <w:b/>
          <w:color w:val="auto"/>
          <w:sz w:val="32"/>
          <w:szCs w:val="32"/>
          <w:highlight w:val="none"/>
        </w:rPr>
        <w:t>：</w:t>
      </w:r>
      <w:r>
        <w:rPr>
          <w:rFonts w:hint="eastAsia" w:ascii="宋体" w:hAnsi="宋体" w:cs="宋体"/>
          <w:b/>
          <w:color w:val="auto"/>
          <w:sz w:val="32"/>
          <w:szCs w:val="32"/>
          <w:highlight w:val="none"/>
          <w:lang w:eastAsia="zh-CN"/>
        </w:rPr>
        <w:t>瓯窑产业化项目研发生产提效设备-陶艺工作室仪器设备</w:t>
      </w:r>
    </w:p>
    <w:p>
      <w:pPr>
        <w:autoSpaceDE w:val="0"/>
        <w:autoSpaceDN w:val="0"/>
        <w:spacing w:line="360" w:lineRule="auto"/>
        <w:jc w:val="both"/>
        <w:textAlignment w:val="bottom"/>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rPr>
        <w:t>项</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目</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编</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号：</w:t>
      </w:r>
      <w:r>
        <w:rPr>
          <w:rFonts w:hint="eastAsia" w:ascii="宋体" w:hAnsi="宋体" w:cs="宋体"/>
          <w:b/>
          <w:color w:val="auto"/>
          <w:sz w:val="32"/>
          <w:szCs w:val="32"/>
          <w:highlight w:val="none"/>
          <w:lang w:eastAsia="zh-CN"/>
        </w:rPr>
        <w:t>WGSS-GYNY-Z-2025018</w:t>
      </w:r>
    </w:p>
    <w:p>
      <w:pPr>
        <w:autoSpaceDE w:val="0"/>
        <w:autoSpaceDN w:val="0"/>
        <w:spacing w:line="360" w:lineRule="auto"/>
        <w:jc w:val="both"/>
        <w:textAlignment w:val="bottom"/>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采 购 方 式：公开招标</w:t>
      </w:r>
    </w:p>
    <w:p>
      <w:pPr>
        <w:spacing w:line="360" w:lineRule="auto"/>
        <w:rPr>
          <w:rFonts w:hint="eastAsia" w:ascii="宋体" w:hAnsi="宋体" w:eastAsia="宋体" w:cs="宋体"/>
          <w:color w:val="auto"/>
          <w:sz w:val="30"/>
          <w:highlight w:val="none"/>
        </w:rPr>
      </w:pPr>
      <w:r>
        <w:rPr>
          <w:rFonts w:hint="eastAsia" w:ascii="宋体" w:hAnsi="宋体" w:eastAsia="宋体" w:cs="宋体"/>
          <w:color w:val="auto"/>
          <w:sz w:val="30"/>
          <w:highlight w:val="none"/>
        </w:rPr>
        <w:t xml:space="preserve"> </w:t>
      </w:r>
    </w:p>
    <w:p>
      <w:pPr>
        <w:spacing w:line="360" w:lineRule="auto"/>
        <w:ind w:firstLine="1687" w:firstLineChars="600"/>
        <w:jc w:val="both"/>
        <w:rPr>
          <w:rFonts w:hint="eastAsia" w:ascii="宋体" w:hAnsi="宋体" w:eastAsia="宋体" w:cs="宋体"/>
          <w:b/>
          <w:color w:val="auto"/>
          <w:sz w:val="28"/>
          <w:highlight w:val="none"/>
        </w:rPr>
      </w:pPr>
    </w:p>
    <w:p>
      <w:pPr>
        <w:spacing w:line="360" w:lineRule="auto"/>
        <w:ind w:firstLine="0" w:firstLineChars="0"/>
        <w:jc w:val="both"/>
        <w:rPr>
          <w:rFonts w:hint="eastAsia" w:ascii="宋体" w:hAnsi="宋体" w:eastAsia="宋体" w:cs="宋体"/>
          <w:b/>
          <w:color w:val="auto"/>
          <w:sz w:val="28"/>
          <w:highlight w:val="none"/>
        </w:rPr>
      </w:pPr>
    </w:p>
    <w:p>
      <w:pPr>
        <w:spacing w:line="360" w:lineRule="auto"/>
        <w:ind w:firstLine="1687" w:firstLineChars="600"/>
        <w:jc w:val="both"/>
        <w:rPr>
          <w:rFonts w:hint="eastAsia" w:ascii="宋体" w:hAnsi="宋体" w:eastAsia="宋体" w:cs="宋体"/>
          <w:b/>
          <w:color w:val="auto"/>
          <w:sz w:val="28"/>
          <w:highlight w:val="none"/>
        </w:rPr>
      </w:pPr>
    </w:p>
    <w:p>
      <w:pPr>
        <w:spacing w:line="360" w:lineRule="auto"/>
        <w:ind w:firstLine="843" w:firstLineChars="300"/>
        <w:jc w:val="both"/>
        <w:rPr>
          <w:rFonts w:hint="eastAsia" w:ascii="宋体" w:hAnsi="宋体" w:eastAsia="宋体" w:cs="宋体"/>
          <w:b/>
          <w:color w:val="auto"/>
          <w:sz w:val="28"/>
          <w:highlight w:val="none"/>
          <w:lang w:val="en-US" w:eastAsia="zh-CN"/>
        </w:rPr>
      </w:pPr>
      <w:r>
        <w:rPr>
          <w:rFonts w:hint="eastAsia" w:ascii="宋体" w:hAnsi="宋体" w:eastAsia="宋体" w:cs="宋体"/>
          <w:b/>
          <w:color w:val="auto"/>
          <w:sz w:val="28"/>
          <w:highlight w:val="none"/>
          <w:lang w:eastAsia="zh-CN"/>
        </w:rPr>
        <w:t>采</w:t>
      </w:r>
      <w:r>
        <w:rPr>
          <w:rFonts w:hint="eastAsia" w:ascii="宋体" w:hAnsi="宋体" w:eastAsia="宋体" w:cs="宋体"/>
          <w:b/>
          <w:color w:val="auto"/>
          <w:sz w:val="28"/>
          <w:highlight w:val="none"/>
        </w:rPr>
        <w:t xml:space="preserve">   </w:t>
      </w:r>
      <w:r>
        <w:rPr>
          <w:rFonts w:hint="eastAsia" w:ascii="宋体" w:hAnsi="宋体" w:eastAsia="宋体" w:cs="宋体"/>
          <w:b/>
          <w:color w:val="auto"/>
          <w:sz w:val="28"/>
          <w:highlight w:val="none"/>
          <w:lang w:eastAsia="zh-CN"/>
        </w:rPr>
        <w:t>购</w:t>
      </w:r>
      <w:r>
        <w:rPr>
          <w:rFonts w:hint="eastAsia" w:ascii="宋体" w:hAnsi="宋体" w:eastAsia="宋体" w:cs="宋体"/>
          <w:b/>
          <w:color w:val="auto"/>
          <w:sz w:val="28"/>
          <w:highlight w:val="none"/>
        </w:rPr>
        <w:t xml:space="preserve">   人：</w:t>
      </w:r>
      <w:r>
        <w:rPr>
          <w:rFonts w:hint="eastAsia" w:ascii="宋体" w:hAnsi="宋体" w:eastAsia="宋体" w:cs="宋体"/>
          <w:b/>
          <w:color w:val="auto"/>
          <w:sz w:val="28"/>
          <w:highlight w:val="none"/>
          <w:lang w:eastAsia="zh-CN"/>
        </w:rPr>
        <w:t>温州瓯瓷产业发展有限公司</w:t>
      </w:r>
    </w:p>
    <w:p>
      <w:pPr>
        <w:spacing w:line="360" w:lineRule="auto"/>
        <w:jc w:val="center"/>
        <w:rPr>
          <w:rFonts w:hint="eastAsia" w:ascii="宋体" w:hAnsi="宋体" w:eastAsia="宋体" w:cs="宋体"/>
          <w:b/>
          <w:color w:val="auto"/>
          <w:sz w:val="28"/>
          <w:highlight w:val="none"/>
          <w:lang w:eastAsia="zh-CN"/>
        </w:rPr>
      </w:pPr>
      <w:r>
        <w:rPr>
          <w:rFonts w:hint="eastAsia" w:ascii="宋体" w:hAnsi="宋体" w:eastAsia="宋体" w:cs="宋体"/>
          <w:b/>
          <w:color w:val="auto"/>
          <w:sz w:val="28"/>
          <w:highlight w:val="none"/>
          <w:lang w:val="en-US" w:eastAsia="zh-CN"/>
        </w:rPr>
        <w:t xml:space="preserve">    </w:t>
      </w:r>
      <w:r>
        <w:rPr>
          <w:rFonts w:hint="eastAsia" w:ascii="宋体" w:hAnsi="宋体" w:eastAsia="宋体" w:cs="宋体"/>
          <w:b/>
          <w:color w:val="auto"/>
          <w:sz w:val="28"/>
          <w:highlight w:val="none"/>
        </w:rPr>
        <w:t>招标代理机构：</w:t>
      </w:r>
      <w:r>
        <w:rPr>
          <w:rFonts w:hint="eastAsia" w:ascii="宋体" w:hAnsi="宋体" w:eastAsia="宋体" w:cs="宋体"/>
          <w:b/>
          <w:color w:val="auto"/>
          <w:sz w:val="28"/>
          <w:highlight w:val="none"/>
          <w:lang w:eastAsia="zh-CN"/>
        </w:rPr>
        <w:t>温州市兴城工程造价审计咨询事务所（普通合伙）</w:t>
      </w:r>
    </w:p>
    <w:p>
      <w:pPr>
        <w:spacing w:line="360" w:lineRule="auto"/>
        <w:ind w:left="210" w:leftChars="100"/>
        <w:jc w:val="center"/>
        <w:rPr>
          <w:rFonts w:hint="eastAsia" w:ascii="宋体" w:hAnsi="宋体" w:eastAsia="宋体" w:cs="宋体"/>
          <w:b/>
          <w:color w:val="auto"/>
          <w:sz w:val="28"/>
          <w:highlight w:val="none"/>
        </w:rPr>
      </w:pPr>
    </w:p>
    <w:p>
      <w:pPr>
        <w:spacing w:line="360" w:lineRule="auto"/>
        <w:ind w:left="210" w:leftChars="100"/>
        <w:jc w:val="center"/>
        <w:rPr>
          <w:rFonts w:hint="eastAsia" w:ascii="宋体" w:hAnsi="宋体" w:eastAsia="宋体" w:cs="宋体"/>
          <w:b/>
          <w:color w:val="auto"/>
          <w:sz w:val="28"/>
          <w:highlight w:val="none"/>
        </w:rPr>
      </w:pPr>
      <w:r>
        <w:rPr>
          <w:rFonts w:hint="eastAsia" w:ascii="宋体" w:hAnsi="宋体" w:eastAsia="宋体" w:cs="宋体"/>
          <w:b/>
          <w:color w:val="auto"/>
          <w:sz w:val="28"/>
          <w:highlight w:val="none"/>
        </w:rPr>
        <w:t>二〇二</w:t>
      </w:r>
      <w:r>
        <w:rPr>
          <w:rFonts w:hint="eastAsia" w:ascii="宋体" w:hAnsi="宋体" w:eastAsia="宋体" w:cs="宋体"/>
          <w:b/>
          <w:color w:val="auto"/>
          <w:sz w:val="28"/>
          <w:highlight w:val="none"/>
          <w:lang w:val="en-US" w:eastAsia="zh-CN"/>
        </w:rPr>
        <w:t>五</w:t>
      </w:r>
      <w:r>
        <w:rPr>
          <w:rFonts w:hint="eastAsia" w:ascii="宋体" w:hAnsi="宋体" w:eastAsia="宋体" w:cs="宋体"/>
          <w:b/>
          <w:color w:val="auto"/>
          <w:sz w:val="28"/>
          <w:highlight w:val="none"/>
        </w:rPr>
        <w:t>年</w:t>
      </w:r>
      <w:r>
        <w:rPr>
          <w:rFonts w:hint="eastAsia" w:ascii="宋体" w:hAnsi="宋体" w:cs="宋体"/>
          <w:b/>
          <w:color w:val="auto"/>
          <w:sz w:val="28"/>
          <w:highlight w:val="none"/>
          <w:lang w:val="en-US" w:eastAsia="zh-CN"/>
        </w:rPr>
        <w:t>十一</w:t>
      </w:r>
      <w:r>
        <w:rPr>
          <w:rFonts w:hint="eastAsia" w:ascii="宋体" w:hAnsi="宋体" w:eastAsia="宋体" w:cs="宋体"/>
          <w:b/>
          <w:color w:val="auto"/>
          <w:sz w:val="28"/>
          <w:highlight w:val="none"/>
        </w:rPr>
        <w:t>月</w:t>
      </w:r>
    </w:p>
    <w:p>
      <w:pPr>
        <w:outlineLvl w:val="9"/>
        <w:rPr>
          <w:rFonts w:hint="eastAsia" w:ascii="宋体" w:hAnsi="宋体" w:eastAsia="宋体" w:cs="宋体"/>
          <w:b/>
          <w:color w:val="auto"/>
          <w:sz w:val="28"/>
          <w:highlight w:val="none"/>
        </w:rPr>
      </w:pPr>
    </w:p>
    <w:p>
      <w:pPr>
        <w:pStyle w:val="212"/>
        <w:jc w:val="center"/>
        <w:rPr>
          <w:rFonts w:hint="eastAsia" w:ascii="宋体" w:hAnsi="宋体" w:eastAsia="宋体" w:cs="宋体"/>
          <w:color w:val="auto"/>
          <w:sz w:val="48"/>
          <w:highlight w:val="none"/>
        </w:rPr>
      </w:pPr>
      <w:bookmarkStart w:id="0" w:name="_Toc9988"/>
      <w:bookmarkStart w:id="1" w:name="_Toc10553"/>
      <w:bookmarkStart w:id="2" w:name="_Toc25155"/>
      <w:bookmarkStart w:id="3" w:name="_Toc16577"/>
      <w:bookmarkStart w:id="4" w:name="_Toc25167"/>
      <w:bookmarkStart w:id="5" w:name="_Toc23405"/>
      <w:bookmarkStart w:id="6" w:name="_Toc5834"/>
      <w:bookmarkStart w:id="7" w:name="_Toc8521"/>
      <w:bookmarkStart w:id="8" w:name="_Toc13360"/>
      <w:bookmarkStart w:id="9" w:name="_Toc13592"/>
      <w:bookmarkStart w:id="10" w:name="_Toc20571"/>
      <w:r>
        <w:rPr>
          <w:rFonts w:hint="eastAsia" w:ascii="宋体" w:hAnsi="宋体" w:eastAsia="宋体" w:cs="宋体"/>
          <w:color w:val="auto"/>
          <w:sz w:val="48"/>
          <w:highlight w:val="none"/>
          <w:lang w:val="zh-CN"/>
        </w:rPr>
        <w:t xml:space="preserve">目 </w:t>
      </w:r>
      <w:r>
        <w:rPr>
          <w:rFonts w:hint="eastAsia" w:ascii="宋体" w:hAnsi="宋体" w:eastAsia="宋体" w:cs="宋体"/>
          <w:color w:val="auto"/>
          <w:sz w:val="48"/>
          <w:highlight w:val="none"/>
        </w:rPr>
        <w:t xml:space="preserve"> </w:t>
      </w:r>
      <w:r>
        <w:rPr>
          <w:rFonts w:hint="eastAsia" w:ascii="宋体" w:hAnsi="宋体" w:eastAsia="宋体" w:cs="宋体"/>
          <w:color w:val="auto"/>
          <w:sz w:val="48"/>
          <w:highlight w:val="none"/>
          <w:lang w:val="zh-CN"/>
        </w:rPr>
        <w:t>录</w:t>
      </w:r>
      <w:bookmarkEnd w:id="0"/>
      <w:bookmarkEnd w:id="1"/>
      <w:bookmarkEnd w:id="2"/>
      <w:bookmarkEnd w:id="3"/>
      <w:bookmarkEnd w:id="4"/>
      <w:bookmarkEnd w:id="5"/>
      <w:bookmarkEnd w:id="6"/>
      <w:bookmarkEnd w:id="7"/>
      <w:bookmarkEnd w:id="8"/>
      <w:bookmarkEnd w:id="9"/>
      <w:bookmarkEnd w:id="10"/>
    </w:p>
    <w:p>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TOC \o "1-3" \h \z \u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_Toc10553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zh-CN"/>
        </w:rPr>
        <w:t xml:space="preserve">目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zh-CN"/>
        </w:rPr>
        <w:t>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_Toc10553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_Toc23232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 xml:space="preserve">第一部分  </w:t>
      </w:r>
      <w:r>
        <w:rPr>
          <w:rFonts w:hint="eastAsia" w:ascii="宋体" w:hAnsi="宋体" w:eastAsia="宋体" w:cs="宋体"/>
          <w:bCs/>
          <w:color w:val="auto"/>
          <w:sz w:val="24"/>
          <w:szCs w:val="24"/>
          <w:highlight w:val="none"/>
          <w:lang w:eastAsia="zh-CN"/>
        </w:rPr>
        <w:t>采购公告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_Toc23232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_Toc13123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第二部分  投标须知及前附表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_Toc13123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_Toc11680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（一）投标须知前附表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_Toc11680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_Toc4426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（二）总 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_Toc4426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_Toc4791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（三）招标文件说明</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_Toc4791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_Toc23326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（四）投标文件的编制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_Toc23326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_Toc26132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（五）投标文件的递交</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_Toc26132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_Toc31268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（六）开标与评审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_Toc31268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_Toc15051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（七）授予合同</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_Toc15051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_Toc28483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第三部分  招标内容及技术要求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_Toc28483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_Toc31234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第四部分  合同条款及格式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_Toc31234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_Toc816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第五部分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_Toc816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34"/>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_Toc14616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第六部分  评标办法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_Toc14616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_Toc25226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（一）总则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_Toc25226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_Toc32262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（二）评标组织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_Toc32262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_Toc19981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（三）开、评标程序及办法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_Toc19981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40"/>
        <w:keepNext w:val="0"/>
        <w:keepLines w:val="0"/>
        <w:pageBreakBefore w:val="0"/>
        <w:widowControl w:val="0"/>
        <w:tabs>
          <w:tab w:val="right" w:leader="dot" w:pos="9071"/>
        </w:tabs>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_Toc30903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（四）评标细则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_Toc30903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30"/>
          <w:highlight w:val="none"/>
        </w:rPr>
      </w:pPr>
      <w:r>
        <w:rPr>
          <w:rFonts w:hint="eastAsia" w:ascii="宋体" w:hAnsi="宋体" w:eastAsia="宋体" w:cs="宋体"/>
          <w:color w:val="auto"/>
          <w:szCs w:val="21"/>
          <w:highlight w:val="none"/>
        </w:rPr>
        <w:fldChar w:fldCharType="end"/>
      </w:r>
    </w:p>
    <w:p>
      <w:pPr>
        <w:pStyle w:val="20"/>
        <w:keepNext w:val="0"/>
        <w:keepLines w:val="0"/>
        <w:pageBreakBefore w:val="0"/>
        <w:widowControl w:val="0"/>
        <w:kinsoku/>
        <w:wordWrap/>
        <w:overflowPunct/>
        <w:topLinePunct w:val="0"/>
        <w:autoSpaceDE/>
        <w:autoSpaceDN/>
        <w:bidi w:val="0"/>
        <w:adjustRightInd/>
        <w:snapToGrid/>
        <w:spacing w:after="50" w:line="360" w:lineRule="auto"/>
        <w:ind w:firstLine="0"/>
        <w:jc w:val="left"/>
        <w:textAlignment w:val="auto"/>
        <w:outlineLvl w:val="0"/>
        <w:rPr>
          <w:rFonts w:hint="eastAsia" w:ascii="宋体" w:hAnsi="宋体" w:eastAsia="宋体" w:cs="宋体"/>
          <w:b/>
          <w:bCs/>
          <w:color w:val="auto"/>
          <w:sz w:val="24"/>
          <w:szCs w:val="24"/>
          <w:highlight w:val="none"/>
        </w:rPr>
        <w:sectPr>
          <w:footerReference r:id="rId3" w:type="default"/>
          <w:pgSz w:w="11907" w:h="16834"/>
          <w:pgMar w:top="1134" w:right="1418" w:bottom="1134" w:left="1418" w:header="851" w:footer="680" w:gutter="0"/>
          <w:pgBorders>
            <w:top w:val="none" w:sz="0" w:space="0"/>
            <w:left w:val="none" w:sz="0" w:space="0"/>
            <w:bottom w:val="none" w:sz="0" w:space="0"/>
            <w:right w:val="none" w:sz="0" w:space="0"/>
          </w:pgBorders>
          <w:pgNumType w:fmt="decimal" w:start="1"/>
          <w:cols w:space="720" w:num="1"/>
          <w:docGrid w:linePitch="372" w:charSpace="6554"/>
        </w:sectPr>
      </w:pPr>
      <w:r>
        <w:rPr>
          <w:rFonts w:hint="eastAsia" w:ascii="宋体" w:hAnsi="宋体" w:eastAsia="宋体" w:cs="宋体"/>
          <w:b/>
          <w:bCs/>
          <w:color w:val="auto"/>
          <w:sz w:val="24"/>
          <w:szCs w:val="24"/>
          <w:highlight w:val="none"/>
        </w:rPr>
        <w:t>注：采购文件中部分加“▲”的条款，为采购的实质性要求和条件，着重提醒各投标人注意（不响应“▲”条款的作无效标处理），带有黑色字体加粗的，为采购文件的重要内容，请投标人审慎阅读；并认真查看采购文件中的每一个条款及要求，因误读采购文件而造成的后果，采购人概不负责。</w:t>
      </w:r>
    </w:p>
    <w:p>
      <w:pPr>
        <w:pStyle w:val="20"/>
        <w:spacing w:after="50" w:line="360" w:lineRule="auto"/>
        <w:ind w:firstLine="0"/>
        <w:jc w:val="center"/>
        <w:outlineLvl w:val="0"/>
        <w:rPr>
          <w:rFonts w:hint="eastAsia" w:ascii="宋体" w:hAnsi="宋体" w:eastAsia="宋体" w:cs="宋体"/>
          <w:b/>
          <w:bCs/>
          <w:color w:val="auto"/>
          <w:sz w:val="36"/>
          <w:highlight w:val="none"/>
          <w:lang w:eastAsia="zh-CN"/>
        </w:rPr>
      </w:pPr>
      <w:bookmarkStart w:id="11" w:name="_Toc2475"/>
      <w:bookmarkStart w:id="12" w:name="_Toc25459"/>
      <w:bookmarkStart w:id="13" w:name="_Toc23232"/>
      <w:bookmarkStart w:id="14" w:name="OLE_LINK15"/>
      <w:bookmarkStart w:id="15" w:name="OLE_LINK16"/>
      <w:r>
        <w:rPr>
          <w:rFonts w:hint="eastAsia" w:ascii="宋体" w:hAnsi="宋体" w:eastAsia="宋体" w:cs="宋体"/>
          <w:b/>
          <w:bCs/>
          <w:color w:val="auto"/>
          <w:spacing w:val="-6"/>
          <w:sz w:val="28"/>
          <w:szCs w:val="28"/>
          <w:highlight w:val="none"/>
          <w:lang w:eastAsia="zh-CN"/>
        </w:rPr>
        <w:t>温州市工业与能源集团</w:t>
      </w:r>
      <w:r>
        <w:rPr>
          <w:rFonts w:hint="eastAsia" w:ascii="宋体" w:hAnsi="宋体" w:eastAsia="宋体" w:cs="宋体"/>
          <w:b/>
          <w:bCs/>
          <w:color w:val="auto"/>
          <w:spacing w:val="-6"/>
          <w:sz w:val="28"/>
          <w:szCs w:val="28"/>
          <w:highlight w:val="none"/>
        </w:rPr>
        <w:t>所属</w:t>
      </w:r>
      <w:r>
        <w:rPr>
          <w:rFonts w:hint="eastAsia" w:ascii="宋体" w:hAnsi="宋体" w:eastAsia="宋体" w:cs="宋体"/>
          <w:b/>
          <w:bCs/>
          <w:color w:val="auto"/>
          <w:spacing w:val="-6"/>
          <w:sz w:val="28"/>
          <w:szCs w:val="28"/>
          <w:highlight w:val="none"/>
          <w:lang w:eastAsia="zh-CN"/>
        </w:rPr>
        <w:t>温州瓯瓷产业发展有限公司</w:t>
      </w:r>
      <w:r>
        <w:rPr>
          <w:rFonts w:hint="eastAsia" w:ascii="宋体" w:hAnsi="宋体" w:eastAsia="宋体" w:cs="宋体"/>
          <w:b/>
          <w:bCs/>
          <w:color w:val="auto"/>
          <w:spacing w:val="-6"/>
          <w:sz w:val="28"/>
          <w:szCs w:val="28"/>
          <w:highlight w:val="none"/>
        </w:rPr>
        <w:t>关于</w:t>
      </w:r>
      <w:bookmarkEnd w:id="11"/>
      <w:bookmarkEnd w:id="12"/>
      <w:bookmarkEnd w:id="13"/>
      <w:r>
        <w:rPr>
          <w:rFonts w:hint="eastAsia" w:hAnsi="宋体" w:cs="宋体"/>
          <w:b/>
          <w:bCs/>
          <w:color w:val="auto"/>
          <w:spacing w:val="-6"/>
          <w:sz w:val="28"/>
          <w:szCs w:val="28"/>
          <w:highlight w:val="none"/>
          <w:lang w:eastAsia="zh-CN"/>
        </w:rPr>
        <w:t>瓯窑产业化项目研发生产提效设备-陶艺工作室仪器设备（自主）的</w:t>
      </w:r>
      <w:r>
        <w:rPr>
          <w:rFonts w:hint="eastAsia" w:ascii="宋体" w:hAnsi="宋体" w:eastAsia="宋体" w:cs="宋体"/>
          <w:b/>
          <w:bCs/>
          <w:color w:val="auto"/>
          <w:spacing w:val="-6"/>
          <w:sz w:val="28"/>
          <w:szCs w:val="28"/>
          <w:highlight w:val="none"/>
          <w:lang w:eastAsia="zh-CN"/>
        </w:rPr>
        <w:t>采购公告</w:t>
      </w:r>
    </w:p>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440" w:firstLineChars="200"/>
        <w:jc w:val="both"/>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Cs/>
          <w:color w:val="auto"/>
          <w:kern w:val="0"/>
          <w:sz w:val="22"/>
          <w:szCs w:val="22"/>
          <w:highlight w:val="none"/>
          <w:lang w:val="en-US" w:eastAsia="zh-CN" w:bidi="ar-SA"/>
        </w:rPr>
        <w:t>根据《温州市市属国有企业采购管理办法》等有关法律、法规的规定，温州市兴城工程造价审计咨询事务所（普通合伙）受温州瓯瓷产业发展有限公司的委托，就温州瓯瓷产业发展有限公司采购的</w:t>
      </w:r>
      <w:r>
        <w:rPr>
          <w:rFonts w:hint="eastAsia" w:ascii="宋体" w:hAnsi="宋体" w:cs="宋体"/>
          <w:color w:val="auto"/>
          <w:sz w:val="22"/>
          <w:szCs w:val="22"/>
          <w:highlight w:val="none"/>
          <w:lang w:eastAsia="zh-CN"/>
        </w:rPr>
        <w:t>瓯窑产业化项目研发生产提效设备-陶艺工作室仪器设备</w:t>
      </w:r>
      <w:r>
        <w:rPr>
          <w:rFonts w:hint="eastAsia" w:ascii="宋体" w:hAnsi="宋体" w:eastAsia="宋体" w:cs="宋体"/>
          <w:bCs/>
          <w:color w:val="auto"/>
          <w:kern w:val="0"/>
          <w:sz w:val="22"/>
          <w:szCs w:val="22"/>
          <w:highlight w:val="none"/>
          <w:lang w:val="en-US" w:eastAsia="zh-CN" w:bidi="ar-SA"/>
        </w:rPr>
        <w:t>以公开招标方式进行采购，欢迎国内合格的投标</w:t>
      </w:r>
      <w:r>
        <w:rPr>
          <w:rFonts w:hint="eastAsia" w:ascii="宋体" w:hAnsi="宋体" w:eastAsia="宋体" w:cs="宋体"/>
          <w:b w:val="0"/>
          <w:bCs w:val="0"/>
          <w:color w:val="auto"/>
          <w:sz w:val="22"/>
          <w:szCs w:val="22"/>
          <w:highlight w:val="none"/>
          <w:lang w:val="en-US" w:eastAsia="zh-CN"/>
        </w:rPr>
        <w:t>供应商前来投标。</w:t>
      </w:r>
    </w:p>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一、公告类型：</w:t>
      </w:r>
      <w:r>
        <w:rPr>
          <w:rFonts w:hint="eastAsia" w:ascii="宋体" w:hAnsi="宋体" w:eastAsia="宋体" w:cs="宋体"/>
          <w:b w:val="0"/>
          <w:bCs w:val="0"/>
          <w:color w:val="auto"/>
          <w:sz w:val="22"/>
          <w:szCs w:val="22"/>
          <w:highlight w:val="none"/>
          <w:lang w:val="en-US" w:eastAsia="zh-CN"/>
        </w:rPr>
        <w:t>采购公告</w:t>
      </w:r>
    </w:p>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bCs/>
          <w:color w:val="auto"/>
          <w:sz w:val="22"/>
          <w:szCs w:val="22"/>
          <w:highlight w:val="none"/>
          <w:lang w:val="en-US" w:eastAsia="zh-CN"/>
        </w:rPr>
        <w:t>二、采购方式：</w:t>
      </w:r>
      <w:r>
        <w:rPr>
          <w:rFonts w:hint="eastAsia" w:ascii="宋体" w:hAnsi="宋体" w:eastAsia="宋体" w:cs="宋体"/>
          <w:b w:val="0"/>
          <w:bCs w:val="0"/>
          <w:color w:val="auto"/>
          <w:sz w:val="22"/>
          <w:szCs w:val="22"/>
          <w:highlight w:val="none"/>
          <w:lang w:val="en-US" w:eastAsia="zh-CN"/>
        </w:rPr>
        <w:t>公开招标</w:t>
      </w:r>
    </w:p>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color w:val="auto"/>
          <w:sz w:val="22"/>
          <w:szCs w:val="22"/>
          <w:highlight w:val="none"/>
          <w:lang w:val="en-US"/>
        </w:rPr>
      </w:pPr>
      <w:r>
        <w:rPr>
          <w:rFonts w:hint="eastAsia" w:ascii="宋体" w:hAnsi="宋体" w:eastAsia="宋体" w:cs="宋体"/>
          <w:b/>
          <w:bCs/>
          <w:color w:val="auto"/>
          <w:sz w:val="22"/>
          <w:szCs w:val="22"/>
          <w:highlight w:val="none"/>
          <w:lang w:val="en-US" w:eastAsia="zh-CN"/>
        </w:rPr>
        <w:t>三、项目编号：</w:t>
      </w:r>
      <w:r>
        <w:rPr>
          <w:rFonts w:hint="eastAsia" w:ascii="宋体" w:hAnsi="宋体" w:cs="宋体"/>
          <w:b/>
          <w:bCs/>
          <w:color w:val="auto"/>
          <w:sz w:val="22"/>
          <w:szCs w:val="22"/>
          <w:highlight w:val="none"/>
          <w:lang w:val="en-US" w:eastAsia="zh-CN"/>
        </w:rPr>
        <w:t>WGSS-GYNY-Z-2025018</w:t>
      </w:r>
    </w:p>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Fonts w:hint="eastAsia" w:ascii="宋体" w:hAnsi="宋体" w:eastAsia="宋体" w:cs="宋体"/>
          <w:i w:val="0"/>
          <w:iCs w:val="0"/>
          <w:caps w:val="0"/>
          <w:color w:val="auto"/>
          <w:spacing w:val="0"/>
          <w:sz w:val="22"/>
          <w:szCs w:val="22"/>
          <w:highlight w:val="none"/>
          <w:lang w:eastAsia="zh-CN"/>
        </w:rPr>
      </w:pPr>
      <w:r>
        <w:rPr>
          <w:rStyle w:val="52"/>
          <w:rFonts w:hint="eastAsia" w:ascii="宋体" w:hAnsi="宋体" w:eastAsia="宋体" w:cs="宋体"/>
          <w:i w:val="0"/>
          <w:iCs w:val="0"/>
          <w:caps w:val="0"/>
          <w:color w:val="auto"/>
          <w:spacing w:val="0"/>
          <w:sz w:val="22"/>
          <w:szCs w:val="22"/>
          <w:highlight w:val="none"/>
          <w:lang w:val="en-US" w:eastAsia="zh-CN"/>
        </w:rPr>
        <w:t>四、项目性质：</w:t>
      </w:r>
      <w:r>
        <w:rPr>
          <w:rFonts w:hint="eastAsia" w:ascii="宋体" w:hAnsi="宋体" w:eastAsia="宋体" w:cs="宋体"/>
          <w:i w:val="0"/>
          <w:iCs w:val="0"/>
          <w:caps w:val="0"/>
          <w:color w:val="auto"/>
          <w:spacing w:val="0"/>
          <w:sz w:val="22"/>
          <w:szCs w:val="22"/>
          <w:highlight w:val="none"/>
          <w:lang w:eastAsia="zh-CN"/>
        </w:rPr>
        <w:t>国企采购（非政府采购）</w:t>
      </w:r>
    </w:p>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both"/>
        <w:textAlignment w:val="auto"/>
        <w:rPr>
          <w:rStyle w:val="52"/>
          <w:rFonts w:hint="eastAsia" w:ascii="宋体" w:hAnsi="宋体" w:eastAsia="宋体" w:cs="宋体"/>
          <w:i w:val="0"/>
          <w:iCs w:val="0"/>
          <w:caps w:val="0"/>
          <w:color w:val="auto"/>
          <w:spacing w:val="0"/>
          <w:sz w:val="22"/>
          <w:szCs w:val="22"/>
          <w:highlight w:val="none"/>
          <w:lang w:val="en-US" w:eastAsia="zh-CN"/>
        </w:rPr>
      </w:pPr>
      <w:r>
        <w:rPr>
          <w:rStyle w:val="52"/>
          <w:rFonts w:hint="eastAsia" w:ascii="宋体" w:hAnsi="宋体" w:eastAsia="宋体" w:cs="宋体"/>
          <w:i w:val="0"/>
          <w:iCs w:val="0"/>
          <w:caps w:val="0"/>
          <w:color w:val="auto"/>
          <w:spacing w:val="0"/>
          <w:sz w:val="22"/>
          <w:szCs w:val="22"/>
          <w:highlight w:val="none"/>
          <w:lang w:val="en-US" w:eastAsia="zh-CN"/>
        </w:rPr>
        <w:t>五、采购内容（具体采购内容及要求见采购文件相关部分）：</w:t>
      </w:r>
    </w:p>
    <w:tbl>
      <w:tblPr>
        <w:tblStyle w:val="50"/>
        <w:tblW w:w="9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2655"/>
        <w:gridCol w:w="705"/>
        <w:gridCol w:w="660"/>
        <w:gridCol w:w="1695"/>
        <w:gridCol w:w="3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序号</w:t>
            </w:r>
          </w:p>
        </w:tc>
        <w:tc>
          <w:tcPr>
            <w:tcW w:w="2655" w:type="dxa"/>
            <w:vAlign w:val="center"/>
          </w:tcPr>
          <w:p>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标段名称</w:t>
            </w:r>
          </w:p>
        </w:tc>
        <w:tc>
          <w:tcPr>
            <w:tcW w:w="705" w:type="dxa"/>
            <w:vAlign w:val="center"/>
          </w:tcPr>
          <w:p>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数量</w:t>
            </w:r>
          </w:p>
        </w:tc>
        <w:tc>
          <w:tcPr>
            <w:tcW w:w="660" w:type="dxa"/>
            <w:vAlign w:val="center"/>
          </w:tcPr>
          <w:p>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单位</w:t>
            </w:r>
          </w:p>
        </w:tc>
        <w:tc>
          <w:tcPr>
            <w:tcW w:w="1695" w:type="dxa"/>
            <w:vAlign w:val="center"/>
          </w:tcPr>
          <w:p>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预算金额（</w:t>
            </w:r>
            <w:r>
              <w:rPr>
                <w:rFonts w:hint="eastAsia" w:ascii="宋体" w:hAnsi="宋体" w:eastAsia="宋体" w:cs="宋体"/>
                <w:b w:val="0"/>
                <w:bCs w:val="0"/>
                <w:caps w:val="0"/>
                <w:color w:val="auto"/>
                <w:spacing w:val="0"/>
                <w:sz w:val="22"/>
                <w:szCs w:val="22"/>
                <w:highlight w:val="none"/>
                <w:lang w:val="en-US" w:eastAsia="zh-CN"/>
              </w:rPr>
              <w:t>万</w:t>
            </w:r>
            <w:r>
              <w:rPr>
                <w:rFonts w:hint="eastAsia" w:ascii="宋体" w:hAnsi="宋体" w:eastAsia="宋体" w:cs="宋体"/>
                <w:b w:val="0"/>
                <w:bCs w:val="0"/>
                <w:caps w:val="0"/>
                <w:color w:val="auto"/>
                <w:spacing w:val="0"/>
                <w:sz w:val="22"/>
                <w:szCs w:val="22"/>
                <w:highlight w:val="none"/>
              </w:rPr>
              <w:t>元）</w:t>
            </w:r>
          </w:p>
        </w:tc>
        <w:tc>
          <w:tcPr>
            <w:tcW w:w="3220" w:type="dxa"/>
            <w:vAlign w:val="center"/>
          </w:tcPr>
          <w:p>
            <w:pPr>
              <w:pStyle w:val="44"/>
              <w:keepNext w:val="0"/>
              <w:keepLines w:val="0"/>
              <w:pageBreakBefore w:val="0"/>
              <w:widowControl/>
              <w:suppressLineNumbers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rPr>
            </w:pPr>
            <w:r>
              <w:rPr>
                <w:rFonts w:hint="eastAsia" w:ascii="宋体" w:hAnsi="宋体" w:eastAsia="宋体" w:cs="宋体"/>
                <w:b w:val="0"/>
                <w:bCs w:val="0"/>
                <w:caps w:val="0"/>
                <w:color w:val="auto"/>
                <w:spacing w:val="0"/>
                <w:sz w:val="22"/>
                <w:szCs w:val="22"/>
                <w:highlight w:val="none"/>
              </w:rPr>
              <w:t>简要技术要求、用途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6" w:type="dxa"/>
            <w:vAlign w:val="center"/>
          </w:tcPr>
          <w:p>
            <w:pPr>
              <w:pStyle w:val="4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400" w:lineRule="exact"/>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Fonts w:hint="eastAsia" w:ascii="宋体" w:hAnsi="宋体" w:eastAsia="宋体" w:cs="宋体"/>
                <w:color w:val="auto"/>
                <w:sz w:val="22"/>
                <w:szCs w:val="22"/>
                <w:highlight w:val="none"/>
                <w:lang w:val="en-US" w:eastAsia="zh-CN"/>
              </w:rPr>
              <w:t>1</w:t>
            </w:r>
          </w:p>
        </w:tc>
        <w:tc>
          <w:tcPr>
            <w:tcW w:w="2655" w:type="dxa"/>
            <w:vAlign w:val="center"/>
          </w:tcPr>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Fonts w:hint="eastAsia" w:ascii="宋体" w:hAnsi="宋体" w:cs="宋体"/>
                <w:color w:val="auto"/>
                <w:sz w:val="22"/>
                <w:szCs w:val="22"/>
                <w:highlight w:val="none"/>
                <w:lang w:eastAsia="zh-CN"/>
              </w:rPr>
              <w:t>瓯窑产业化项目研发生产提效设备-陶艺工作室仪器设备</w:t>
            </w:r>
          </w:p>
        </w:tc>
        <w:tc>
          <w:tcPr>
            <w:tcW w:w="705" w:type="dxa"/>
            <w:vAlign w:val="center"/>
          </w:tcPr>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1</w:t>
            </w:r>
          </w:p>
        </w:tc>
        <w:tc>
          <w:tcPr>
            <w:tcW w:w="660" w:type="dxa"/>
            <w:vAlign w:val="center"/>
          </w:tcPr>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项</w:t>
            </w:r>
          </w:p>
        </w:tc>
        <w:tc>
          <w:tcPr>
            <w:tcW w:w="1695" w:type="dxa"/>
            <w:vAlign w:val="center"/>
          </w:tcPr>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pP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96</w:t>
            </w:r>
            <w:r>
              <w:rPr>
                <w:rStyle w:val="52"/>
                <w:rFonts w:hint="eastAsia" w:ascii="宋体" w:hAnsi="宋体" w:cs="宋体"/>
                <w:b w:val="0"/>
                <w:bCs w:val="0"/>
                <w:i w:val="0"/>
                <w:iCs w:val="0"/>
                <w:caps w:val="0"/>
                <w:color w:val="auto"/>
                <w:spacing w:val="0"/>
                <w:sz w:val="22"/>
                <w:szCs w:val="22"/>
                <w:highlight w:val="none"/>
                <w:vertAlign w:val="baseline"/>
                <w:lang w:val="en-US" w:eastAsia="zh-CN"/>
              </w:rPr>
              <w:t>.</w:t>
            </w:r>
            <w:r>
              <w:rPr>
                <w:rStyle w:val="52"/>
                <w:rFonts w:hint="eastAsia" w:ascii="宋体" w:hAnsi="宋体" w:eastAsia="宋体" w:cs="宋体"/>
                <w:b w:val="0"/>
                <w:bCs w:val="0"/>
                <w:i w:val="0"/>
                <w:iCs w:val="0"/>
                <w:caps w:val="0"/>
                <w:color w:val="auto"/>
                <w:spacing w:val="0"/>
                <w:sz w:val="22"/>
                <w:szCs w:val="22"/>
                <w:highlight w:val="none"/>
                <w:vertAlign w:val="baseline"/>
                <w:lang w:val="en-US" w:eastAsia="zh-CN"/>
              </w:rPr>
              <w:t>29</w:t>
            </w:r>
          </w:p>
        </w:tc>
        <w:tc>
          <w:tcPr>
            <w:tcW w:w="3220" w:type="dxa"/>
            <w:vAlign w:val="center"/>
          </w:tcPr>
          <w:p>
            <w:pPr>
              <w:keepNext w:val="0"/>
              <w:keepLines w:val="0"/>
              <w:pageBreakBefore w:val="0"/>
              <w:widowControl w:val="0"/>
              <w:tabs>
                <w:tab w:val="left" w:pos="426"/>
              </w:tabs>
              <w:kinsoku/>
              <w:wordWrap/>
              <w:overflowPunct/>
              <w:topLinePunct w:val="0"/>
              <w:autoSpaceDE/>
              <w:autoSpaceDN/>
              <w:bidi w:val="0"/>
              <w:adjustRightInd/>
              <w:snapToGrid w:val="0"/>
              <w:spacing w:beforeAutospacing="0" w:afterAutospacing="0" w:line="400" w:lineRule="exact"/>
              <w:ind w:left="0" w:leftChars="0" w:firstLine="0" w:firstLineChars="0"/>
              <w:jc w:val="center"/>
              <w:textAlignment w:val="auto"/>
              <w:rPr>
                <w:rStyle w:val="52"/>
                <w:rFonts w:hint="eastAsia" w:ascii="宋体" w:hAnsi="宋体" w:eastAsia="宋体" w:cs="宋体"/>
                <w:b w:val="0"/>
                <w:bCs w:val="0"/>
                <w:i w:val="0"/>
                <w:iCs w:val="0"/>
                <w:caps w:val="0"/>
                <w:color w:val="auto"/>
                <w:spacing w:val="0"/>
                <w:sz w:val="22"/>
                <w:szCs w:val="22"/>
                <w:highlight w:val="none"/>
                <w:vertAlign w:val="baseline"/>
                <w:lang w:eastAsia="zh-CN"/>
              </w:rPr>
            </w:pPr>
            <w:r>
              <w:rPr>
                <w:rFonts w:hint="eastAsia" w:ascii="宋体" w:hAnsi="宋体" w:cs="宋体"/>
                <w:color w:val="auto"/>
                <w:sz w:val="22"/>
                <w:szCs w:val="22"/>
                <w:highlight w:val="none"/>
                <w:lang w:eastAsia="zh-CN"/>
              </w:rPr>
              <w:t>瓯窑产业化项目研发生产提效设备-陶艺工作室仪器设备</w:t>
            </w:r>
            <w:r>
              <w:rPr>
                <w:rFonts w:hint="eastAsia" w:ascii="宋体" w:hAnsi="宋体" w:eastAsia="宋体" w:cs="宋体"/>
                <w:color w:val="auto"/>
                <w:sz w:val="22"/>
                <w:szCs w:val="22"/>
                <w:highlight w:val="none"/>
              </w:rPr>
              <w:t>，详见本招标文件第三部分</w:t>
            </w:r>
          </w:p>
        </w:tc>
      </w:tr>
    </w:tbl>
    <w:p>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rPr>
      </w:pPr>
      <w:bookmarkStart w:id="16" w:name="OLE_LINK10"/>
      <w:r>
        <w:rPr>
          <w:rFonts w:hint="eastAsia" w:ascii="宋体" w:hAnsi="宋体" w:eastAsia="宋体" w:cs="宋体"/>
          <w:b/>
          <w:bCs w:val="0"/>
          <w:color w:val="auto"/>
          <w:sz w:val="22"/>
          <w:szCs w:val="22"/>
          <w:highlight w:val="none"/>
          <w:lang w:val="en-US" w:eastAsia="zh-CN"/>
        </w:rPr>
        <w:t>六</w:t>
      </w:r>
      <w:r>
        <w:rPr>
          <w:rFonts w:hint="eastAsia" w:ascii="宋体" w:hAnsi="宋体" w:eastAsia="宋体" w:cs="宋体"/>
          <w:b/>
          <w:bCs w:val="0"/>
          <w:color w:val="auto"/>
          <w:sz w:val="22"/>
          <w:szCs w:val="22"/>
          <w:highlight w:val="none"/>
        </w:rPr>
        <w:t>、申请人的资格要求：</w:t>
      </w:r>
    </w:p>
    <w:p>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1.满足</w:t>
      </w:r>
      <w:r>
        <w:rPr>
          <w:rFonts w:hint="eastAsia" w:ascii="宋体" w:hAnsi="宋体" w:eastAsia="宋体" w:cs="宋体"/>
          <w:color w:val="auto"/>
          <w:sz w:val="22"/>
          <w:szCs w:val="22"/>
          <w:highlight w:val="none"/>
          <w:lang w:eastAsia="zh-CN"/>
        </w:rPr>
        <w:t>《温州市市属国有企业采购管理办法》第十</w:t>
      </w:r>
      <w:r>
        <w:rPr>
          <w:rFonts w:hint="eastAsia" w:ascii="宋体" w:hAnsi="宋体" w:eastAsia="宋体" w:cs="宋体"/>
          <w:color w:val="auto"/>
          <w:sz w:val="22"/>
          <w:szCs w:val="22"/>
          <w:highlight w:val="none"/>
          <w:lang w:val="en-US" w:eastAsia="zh-CN"/>
        </w:rPr>
        <w:t>八</w:t>
      </w:r>
      <w:r>
        <w:rPr>
          <w:rFonts w:hint="eastAsia" w:ascii="宋体" w:hAnsi="宋体" w:eastAsia="宋体" w:cs="宋体"/>
          <w:color w:val="auto"/>
          <w:sz w:val="22"/>
          <w:szCs w:val="22"/>
          <w:highlight w:val="none"/>
          <w:lang w:eastAsia="zh-CN"/>
        </w:rPr>
        <w:t>条</w:t>
      </w:r>
      <w:r>
        <w:rPr>
          <w:rFonts w:hint="eastAsia" w:ascii="宋体" w:hAnsi="宋体" w:eastAsia="宋体" w:cs="宋体"/>
          <w:color w:val="auto"/>
          <w:sz w:val="22"/>
          <w:szCs w:val="22"/>
          <w:highlight w:val="none"/>
        </w:rPr>
        <w:t>规定；</w:t>
      </w:r>
    </w:p>
    <w:p>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2.未被“信用中国”（www.creditchina.gov.cn)、中国政府采购网（www.ccgp.gov.cn）列入失信被执行人、重大税收违法案件当事人名单、政府采购严重违法失信行为记录名单；</w:t>
      </w:r>
    </w:p>
    <w:p>
      <w:pPr>
        <w:keepNext w:val="0"/>
        <w:keepLines w:val="0"/>
        <w:pageBreakBefore w:val="0"/>
        <w:widowControl/>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本项目的特定资格要求</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kern w:val="0"/>
          <w:sz w:val="22"/>
          <w:szCs w:val="22"/>
          <w:highlight w:val="none"/>
          <w:lang w:eastAsia="zh-CN"/>
        </w:rPr>
        <w:t>无</w:t>
      </w:r>
      <w:r>
        <w:rPr>
          <w:rFonts w:hint="eastAsia" w:ascii="宋体" w:hAnsi="宋体" w:eastAsia="宋体" w:cs="宋体"/>
          <w:color w:val="auto"/>
          <w:sz w:val="22"/>
          <w:szCs w:val="22"/>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4.本项目</w:t>
      </w:r>
      <w:r>
        <w:rPr>
          <w:rFonts w:hint="eastAsia" w:ascii="宋体" w:hAnsi="宋体" w:eastAsia="宋体" w:cs="宋体"/>
          <w:color w:val="auto"/>
          <w:sz w:val="22"/>
          <w:szCs w:val="22"/>
          <w:highlight w:val="none"/>
          <w:u w:val="single"/>
          <w:lang w:val="en-US" w:eastAsia="zh-CN"/>
        </w:rPr>
        <w:t>不接受</w:t>
      </w:r>
      <w:r>
        <w:rPr>
          <w:rFonts w:hint="eastAsia" w:ascii="宋体" w:hAnsi="宋体" w:eastAsia="宋体" w:cs="宋体"/>
          <w:color w:val="auto"/>
          <w:sz w:val="22"/>
          <w:szCs w:val="22"/>
          <w:highlight w:val="none"/>
          <w:lang w:val="en-US" w:eastAsia="zh-CN"/>
        </w:rPr>
        <w:t>联合体投标。</w:t>
      </w:r>
    </w:p>
    <w:bookmarkEnd w:id="16"/>
    <w:p>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lang w:eastAsia="zh-CN"/>
        </w:rPr>
      </w:pPr>
      <w:bookmarkStart w:id="17" w:name="_Toc35393792"/>
      <w:bookmarkStart w:id="18" w:name="_Toc35393623"/>
      <w:r>
        <w:rPr>
          <w:rFonts w:hint="eastAsia" w:ascii="宋体" w:hAnsi="宋体" w:eastAsia="宋体" w:cs="宋体"/>
          <w:b/>
          <w:bCs w:val="0"/>
          <w:color w:val="auto"/>
          <w:sz w:val="22"/>
          <w:szCs w:val="22"/>
          <w:highlight w:val="none"/>
          <w:lang w:val="en-US" w:eastAsia="zh-CN"/>
        </w:rPr>
        <w:t>七</w:t>
      </w:r>
      <w:r>
        <w:rPr>
          <w:rFonts w:hint="eastAsia" w:ascii="宋体" w:hAnsi="宋体" w:eastAsia="宋体" w:cs="宋体"/>
          <w:b/>
          <w:bCs w:val="0"/>
          <w:color w:val="auto"/>
          <w:sz w:val="22"/>
          <w:szCs w:val="22"/>
          <w:highlight w:val="none"/>
        </w:rPr>
        <w:t>、</w:t>
      </w:r>
      <w:bookmarkEnd w:id="17"/>
      <w:bookmarkEnd w:id="18"/>
      <w:r>
        <w:rPr>
          <w:rFonts w:hint="eastAsia" w:ascii="宋体" w:hAnsi="宋体" w:eastAsia="宋体" w:cs="宋体"/>
          <w:b/>
          <w:bCs w:val="0"/>
          <w:color w:val="auto"/>
          <w:sz w:val="22"/>
          <w:szCs w:val="22"/>
          <w:highlight w:val="none"/>
          <w:lang w:val="en-US" w:eastAsia="zh-CN"/>
        </w:rPr>
        <w:t>获取</w:t>
      </w:r>
      <w:r>
        <w:rPr>
          <w:rFonts w:hint="eastAsia" w:ascii="宋体" w:hAnsi="宋体" w:eastAsia="宋体" w:cs="宋体"/>
          <w:b/>
          <w:bCs w:val="0"/>
          <w:color w:val="auto"/>
          <w:sz w:val="22"/>
          <w:szCs w:val="22"/>
          <w:highlight w:val="none"/>
        </w:rPr>
        <w:t>招标文件的时间及地点等</w:t>
      </w:r>
      <w:r>
        <w:rPr>
          <w:rFonts w:hint="eastAsia" w:ascii="宋体" w:hAnsi="宋体" w:eastAsia="宋体" w:cs="宋体"/>
          <w:b/>
          <w:bCs w:val="0"/>
          <w:color w:val="auto"/>
          <w:sz w:val="22"/>
          <w:szCs w:val="22"/>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w:t>
      </w:r>
      <w:r>
        <w:rPr>
          <w:rFonts w:hint="eastAsia" w:ascii="宋体" w:hAnsi="宋体" w:cs="宋体"/>
          <w:color w:val="auto"/>
          <w:sz w:val="22"/>
          <w:szCs w:val="22"/>
          <w:highlight w:val="none"/>
          <w:u w:val="single"/>
          <w:lang w:val="en-US" w:eastAsia="zh-CN"/>
        </w:rPr>
        <w:t>公告发布次日起</w:t>
      </w:r>
      <w:r>
        <w:rPr>
          <w:rFonts w:hint="eastAsia" w:ascii="宋体" w:hAnsi="宋体" w:eastAsia="宋体" w:cs="宋体"/>
          <w:color w:val="auto"/>
          <w:sz w:val="22"/>
          <w:szCs w:val="22"/>
          <w:highlight w:val="none"/>
        </w:rPr>
        <w:t>至</w:t>
      </w:r>
      <w:r>
        <w:rPr>
          <w:rFonts w:hint="eastAsia" w:ascii="宋体" w:hAnsi="宋体" w:cs="宋体"/>
          <w:color w:val="auto"/>
          <w:sz w:val="22"/>
          <w:szCs w:val="22"/>
          <w:highlight w:val="none"/>
          <w:u w:val="single"/>
          <w:lang w:val="en-US" w:eastAsia="zh-CN"/>
        </w:rPr>
        <w:t>2025年11月18日</w:t>
      </w:r>
      <w:r>
        <w:rPr>
          <w:rFonts w:hint="eastAsia" w:ascii="宋体" w:hAnsi="宋体" w:eastAsia="宋体" w:cs="宋体"/>
          <w:color w:val="auto"/>
          <w:sz w:val="22"/>
          <w:szCs w:val="22"/>
          <w:highlight w:val="none"/>
        </w:rPr>
        <w:t>，每天上午00:00至12:00，下午12:00至23:59（北京时间，线上获取法定节假日均可，线下获取文件法定节假日除外</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未购买</w:t>
      </w:r>
      <w:r>
        <w:rPr>
          <w:rFonts w:hint="eastAsia" w:ascii="宋体" w:hAnsi="宋体" w:eastAsia="宋体" w:cs="宋体"/>
          <w:color w:val="auto"/>
          <w:sz w:val="22"/>
          <w:szCs w:val="22"/>
          <w:highlight w:val="none"/>
          <w:lang w:eastAsia="zh-CN"/>
        </w:rPr>
        <w:t>招标</w:t>
      </w:r>
      <w:r>
        <w:rPr>
          <w:rFonts w:hint="eastAsia" w:ascii="宋体" w:hAnsi="宋体" w:eastAsia="宋体" w:cs="宋体"/>
          <w:color w:val="auto"/>
          <w:sz w:val="22"/>
          <w:szCs w:val="22"/>
          <w:highlight w:val="none"/>
        </w:rPr>
        <w:t>文件的潜在供应商拒绝参加投标。）</w:t>
      </w:r>
      <w:r>
        <w:rPr>
          <w:rFonts w:hint="eastAsia" w:ascii="宋体" w:hAnsi="宋体" w:eastAsia="宋体" w:cs="宋体"/>
          <w:b w:val="0"/>
          <w:bCs/>
          <w:color w:val="auto"/>
          <w:sz w:val="22"/>
          <w:szCs w:val="22"/>
          <w:highlight w:val="none"/>
          <w:lang w:eastAsia="zh-CN"/>
        </w:rPr>
        <w:t>；</w:t>
      </w:r>
    </w:p>
    <w:p>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方式：供应商登录乐采云平台https://www.lecaiyun.com/在线申请获取采购文件（进入“项目采购”应用，在获取采购文件菜单中选择项目，申请获取</w:t>
      </w:r>
      <w:r>
        <w:rPr>
          <w:rFonts w:hint="eastAsia" w:ascii="宋体" w:hAnsi="宋体" w:eastAsia="宋体" w:cs="宋体"/>
          <w:color w:val="auto"/>
          <w:sz w:val="22"/>
          <w:szCs w:val="22"/>
          <w:highlight w:val="none"/>
          <w:lang w:val="en-US" w:eastAsia="zh-CN"/>
        </w:rPr>
        <w:t>招标</w:t>
      </w:r>
      <w:r>
        <w:rPr>
          <w:rFonts w:hint="eastAsia" w:ascii="宋体" w:hAnsi="宋体" w:eastAsia="宋体" w:cs="宋体"/>
          <w:color w:val="auto"/>
          <w:sz w:val="22"/>
          <w:szCs w:val="22"/>
          <w:highlight w:val="none"/>
        </w:rPr>
        <w:t>文件）。</w:t>
      </w:r>
    </w:p>
    <w:p>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地点（网址）：</w:t>
      </w:r>
      <w:r>
        <w:rPr>
          <w:rFonts w:hint="eastAsia" w:ascii="宋体" w:hAnsi="宋体" w:eastAsia="宋体" w:cs="宋体"/>
          <w:color w:val="auto"/>
          <w:sz w:val="22"/>
          <w:szCs w:val="22"/>
          <w:highlight w:val="none"/>
          <w:u w:val="single"/>
          <w:lang w:eastAsia="zh-CN"/>
        </w:rPr>
        <w:t>乐采云平台（www.lecaiyun.com）；</w:t>
      </w:r>
    </w:p>
    <w:p>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售价（元）：</w:t>
      </w:r>
      <w:r>
        <w:rPr>
          <w:rFonts w:hint="eastAsia" w:ascii="宋体" w:hAnsi="宋体" w:eastAsia="宋体" w:cs="宋体"/>
          <w:color w:val="auto"/>
          <w:sz w:val="22"/>
          <w:szCs w:val="22"/>
          <w:highlight w:val="none"/>
          <w:lang w:val="en-US" w:eastAsia="zh-CN"/>
        </w:rPr>
        <w:t>500</w:t>
      </w:r>
      <w:r>
        <w:rPr>
          <w:rFonts w:hint="eastAsia" w:ascii="宋体" w:hAnsi="宋体" w:eastAsia="宋体" w:cs="宋体"/>
          <w:color w:val="auto"/>
          <w:sz w:val="22"/>
          <w:szCs w:val="22"/>
          <w:highlight w:val="none"/>
        </w:rPr>
        <w:t>（售后不退）</w:t>
      </w:r>
    </w:p>
    <w:p>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"mailto:网上报名后，请将标书购买费汇入代理公司账户（缴纳报名费后将缴费截图、开票信息等资料发代理机构电子邮箱228967618@qq.com，并马上联系采购代理公司审核）。" </w:instrText>
      </w:r>
      <w:r>
        <w:rPr>
          <w:rFonts w:hint="eastAsia" w:ascii="宋体" w:hAnsi="宋体" w:eastAsia="宋体" w:cs="宋体"/>
          <w:color w:val="auto"/>
          <w:sz w:val="22"/>
          <w:szCs w:val="22"/>
          <w:highlight w:val="none"/>
        </w:rPr>
        <w:fldChar w:fldCharType="separate"/>
      </w:r>
      <w:r>
        <w:rPr>
          <w:rFonts w:hint="eastAsia" w:ascii="宋体" w:hAnsi="宋体" w:eastAsia="宋体" w:cs="宋体"/>
          <w:color w:val="auto"/>
          <w:sz w:val="22"/>
          <w:szCs w:val="22"/>
          <w:highlight w:val="none"/>
        </w:rPr>
        <w:t>网上报名后，请将标书购买费汇入代理公司账户（缴纳报名费后将缴费截图、开票信息等资料发代理机构电子邮箱</w:t>
      </w:r>
      <w:r>
        <w:rPr>
          <w:rFonts w:hint="eastAsia" w:ascii="宋体" w:hAnsi="宋体" w:eastAsia="宋体" w:cs="宋体"/>
          <w:color w:val="auto"/>
          <w:sz w:val="22"/>
          <w:szCs w:val="22"/>
          <w:highlight w:val="none"/>
          <w:lang w:eastAsia="zh-CN"/>
        </w:rPr>
        <w:t>1589009783@qq.com</w:t>
      </w:r>
      <w:r>
        <w:rPr>
          <w:rFonts w:hint="eastAsia" w:ascii="宋体" w:hAnsi="宋体" w:eastAsia="宋体" w:cs="宋体"/>
          <w:color w:val="auto"/>
          <w:sz w:val="22"/>
          <w:szCs w:val="22"/>
          <w:highlight w:val="none"/>
        </w:rPr>
        <w:t>，并马上联系采购代理公司审核</w:t>
      </w:r>
      <w:r>
        <w:rPr>
          <w:rFonts w:hint="eastAsia" w:ascii="宋体" w:hAnsi="宋体" w:eastAsia="宋体" w:cs="宋体"/>
          <w:color w:val="auto"/>
          <w:sz w:val="22"/>
          <w:szCs w:val="22"/>
          <w:highlight w:val="none"/>
          <w:lang w:eastAsia="zh-CN"/>
        </w:rPr>
        <w:t>通过</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rPr>
        <w:fldChar w:fldCharType="end"/>
      </w:r>
    </w:p>
    <w:p>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标书款汇入账户信息：</w:t>
      </w:r>
    </w:p>
    <w:p>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u w:val="none"/>
          <w:lang w:eastAsia="zh-CN"/>
        </w:rPr>
      </w:pPr>
      <w:r>
        <w:rPr>
          <w:rFonts w:hint="eastAsia" w:ascii="宋体" w:hAnsi="宋体" w:eastAsia="宋体" w:cs="宋体"/>
          <w:color w:val="auto"/>
          <w:sz w:val="22"/>
          <w:szCs w:val="22"/>
          <w:highlight w:val="none"/>
        </w:rPr>
        <w:t>单 位 名 称：</w:t>
      </w:r>
      <w:r>
        <w:rPr>
          <w:rFonts w:hint="eastAsia" w:ascii="宋体" w:hAnsi="宋体" w:eastAsia="宋体" w:cs="宋体"/>
          <w:color w:val="auto"/>
          <w:sz w:val="22"/>
          <w:szCs w:val="22"/>
          <w:highlight w:val="none"/>
          <w:u w:val="none"/>
          <w:lang w:eastAsia="zh-CN"/>
        </w:rPr>
        <w:t>温州市兴城工程造价审计咨询事务所（普通合伙）</w:t>
      </w:r>
    </w:p>
    <w:p>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开 户 银 行：</w:t>
      </w:r>
      <w:r>
        <w:rPr>
          <w:rFonts w:hint="eastAsia" w:ascii="宋体" w:hAnsi="宋体" w:eastAsia="宋体" w:cs="宋体"/>
          <w:color w:val="auto"/>
          <w:sz w:val="22"/>
          <w:szCs w:val="22"/>
          <w:highlight w:val="none"/>
          <w:lang w:eastAsia="zh-CN"/>
        </w:rPr>
        <w:t>兴业银行股份有限公司温州鹿城支行</w:t>
      </w:r>
    </w:p>
    <w:p>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账 号：</w:t>
      </w:r>
      <w:r>
        <w:rPr>
          <w:rFonts w:hint="eastAsia" w:ascii="宋体" w:hAnsi="宋体" w:eastAsia="宋体" w:cs="宋体"/>
          <w:color w:val="auto"/>
          <w:sz w:val="22"/>
          <w:szCs w:val="22"/>
          <w:highlight w:val="none"/>
          <w:lang w:eastAsia="zh-CN"/>
        </w:rPr>
        <w:t>355 860 100 1000 51218</w:t>
      </w:r>
    </w:p>
    <w:p>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lang w:eastAsia="zh-CN"/>
        </w:rPr>
      </w:pPr>
      <w:bookmarkStart w:id="19" w:name="_Toc35393624"/>
      <w:bookmarkStart w:id="20" w:name="_Toc35393793"/>
      <w:bookmarkStart w:id="21" w:name="_Toc28359082"/>
      <w:bookmarkStart w:id="22" w:name="_Toc28359005"/>
      <w:r>
        <w:rPr>
          <w:rFonts w:hint="eastAsia" w:ascii="宋体" w:hAnsi="宋体" w:eastAsia="宋体" w:cs="宋体"/>
          <w:b/>
          <w:bCs w:val="0"/>
          <w:color w:val="auto"/>
          <w:sz w:val="22"/>
          <w:szCs w:val="22"/>
          <w:highlight w:val="none"/>
          <w:lang w:val="en-US" w:eastAsia="zh-CN"/>
        </w:rPr>
        <w:t>八</w:t>
      </w:r>
      <w:r>
        <w:rPr>
          <w:rFonts w:hint="eastAsia" w:ascii="宋体" w:hAnsi="宋体" w:eastAsia="宋体" w:cs="宋体"/>
          <w:b/>
          <w:bCs w:val="0"/>
          <w:color w:val="auto"/>
          <w:sz w:val="22"/>
          <w:szCs w:val="22"/>
          <w:highlight w:val="none"/>
        </w:rPr>
        <w:t>、</w:t>
      </w:r>
      <w:bookmarkEnd w:id="19"/>
      <w:bookmarkEnd w:id="20"/>
      <w:bookmarkEnd w:id="21"/>
      <w:bookmarkEnd w:id="22"/>
      <w:r>
        <w:rPr>
          <w:rFonts w:hint="eastAsia" w:ascii="宋体" w:hAnsi="宋体" w:eastAsia="宋体" w:cs="宋体"/>
          <w:b/>
          <w:bCs w:val="0"/>
          <w:color w:val="auto"/>
          <w:sz w:val="22"/>
          <w:szCs w:val="22"/>
          <w:highlight w:val="none"/>
        </w:rPr>
        <w:t>提交投标文件截止时间、开标时间和地点</w:t>
      </w:r>
      <w:r>
        <w:rPr>
          <w:rFonts w:hint="eastAsia" w:ascii="宋体" w:hAnsi="宋体" w:eastAsia="宋体" w:cs="宋体"/>
          <w:b/>
          <w:bCs w:val="0"/>
          <w:color w:val="auto"/>
          <w:sz w:val="22"/>
          <w:szCs w:val="22"/>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bCs/>
          <w:color w:val="auto"/>
          <w:sz w:val="22"/>
          <w:szCs w:val="22"/>
          <w:highlight w:val="none"/>
          <w:u w:val="single"/>
          <w:lang w:eastAsia="zh-CN"/>
        </w:rPr>
      </w:pPr>
      <w:r>
        <w:rPr>
          <w:rFonts w:hint="eastAsia" w:ascii="宋体" w:hAnsi="宋体" w:eastAsia="宋体" w:cs="宋体"/>
          <w:bCs/>
          <w:color w:val="auto"/>
          <w:sz w:val="22"/>
          <w:szCs w:val="22"/>
          <w:highlight w:val="none"/>
        </w:rPr>
        <w:t>提交投标文件截止时间：</w:t>
      </w:r>
      <w:r>
        <w:rPr>
          <w:rFonts w:hint="eastAsia" w:ascii="宋体" w:hAnsi="宋体" w:cs="宋体"/>
          <w:bCs/>
          <w:color w:val="auto"/>
          <w:sz w:val="22"/>
          <w:szCs w:val="22"/>
          <w:highlight w:val="none"/>
          <w:lang w:val="en-US" w:eastAsia="zh-CN"/>
        </w:rPr>
        <w:t>2025年11月18日</w:t>
      </w:r>
      <w:r>
        <w:rPr>
          <w:rFonts w:hint="eastAsia" w:ascii="宋体" w:hAnsi="宋体" w:eastAsia="宋体" w:cs="宋体"/>
          <w:bCs/>
          <w:color w:val="auto"/>
          <w:sz w:val="22"/>
          <w:szCs w:val="22"/>
          <w:highlight w:val="none"/>
          <w:lang w:val="en-US" w:eastAsia="zh-CN"/>
        </w:rPr>
        <w:t>09:30止</w:t>
      </w:r>
      <w:r>
        <w:rPr>
          <w:rFonts w:hint="eastAsia" w:ascii="宋体" w:hAnsi="宋体" w:eastAsia="宋体" w:cs="宋体"/>
          <w:bCs/>
          <w:color w:val="auto"/>
          <w:sz w:val="22"/>
          <w:szCs w:val="22"/>
          <w:highlight w:val="none"/>
        </w:rPr>
        <w:t>（北京时间）</w:t>
      </w:r>
      <w:r>
        <w:rPr>
          <w:rFonts w:hint="eastAsia" w:ascii="宋体" w:hAnsi="宋体" w:eastAsia="宋体" w:cs="宋体"/>
          <w:bCs/>
          <w:color w:val="auto"/>
          <w:sz w:val="22"/>
          <w:szCs w:val="22"/>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u w:val="single"/>
          <w:lang w:eastAsia="zh-CN"/>
        </w:rPr>
      </w:pPr>
      <w:r>
        <w:rPr>
          <w:rFonts w:hint="eastAsia" w:ascii="宋体" w:hAnsi="宋体" w:eastAsia="宋体" w:cs="宋体"/>
          <w:color w:val="auto"/>
          <w:sz w:val="22"/>
          <w:szCs w:val="22"/>
          <w:highlight w:val="none"/>
        </w:rPr>
        <w:t>投标地点：</w:t>
      </w:r>
      <w:r>
        <w:rPr>
          <w:rFonts w:hint="eastAsia" w:ascii="宋体" w:hAnsi="宋体" w:eastAsia="宋体" w:cs="宋体"/>
          <w:color w:val="auto"/>
          <w:sz w:val="22"/>
          <w:szCs w:val="22"/>
          <w:highlight w:val="none"/>
          <w:u w:val="single"/>
        </w:rPr>
        <w:t>通过“</w:t>
      </w:r>
      <w:r>
        <w:rPr>
          <w:rFonts w:hint="eastAsia" w:ascii="宋体" w:hAnsi="宋体" w:eastAsia="宋体" w:cs="宋体"/>
          <w:color w:val="auto"/>
          <w:sz w:val="22"/>
          <w:szCs w:val="22"/>
          <w:highlight w:val="none"/>
          <w:u w:val="single"/>
          <w:lang w:eastAsia="zh-CN"/>
        </w:rPr>
        <w:t>乐采云平台</w:t>
      </w:r>
      <w:r>
        <w:rPr>
          <w:rFonts w:hint="eastAsia" w:ascii="宋体" w:hAnsi="宋体" w:eastAsia="宋体" w:cs="宋体"/>
          <w:color w:val="auto"/>
          <w:sz w:val="22"/>
          <w:szCs w:val="22"/>
          <w:highlight w:val="none"/>
          <w:u w:val="single"/>
        </w:rPr>
        <w:t>（www.lecaiyun.com）”，实行在线投标响应（电子投标）。</w:t>
      </w:r>
    </w:p>
    <w:p>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bCs/>
          <w:color w:val="auto"/>
          <w:sz w:val="22"/>
          <w:szCs w:val="22"/>
          <w:highlight w:val="none"/>
          <w:u w:val="single"/>
          <w:lang w:val="en-US"/>
        </w:rPr>
      </w:pPr>
      <w:r>
        <w:rPr>
          <w:rFonts w:hint="eastAsia" w:ascii="宋体" w:hAnsi="宋体" w:eastAsia="宋体" w:cs="宋体"/>
          <w:bCs/>
          <w:color w:val="auto"/>
          <w:sz w:val="22"/>
          <w:szCs w:val="22"/>
          <w:highlight w:val="none"/>
        </w:rPr>
        <w:t>开标时间：</w:t>
      </w:r>
      <w:r>
        <w:rPr>
          <w:rFonts w:hint="eastAsia" w:ascii="宋体" w:hAnsi="宋体" w:cs="宋体"/>
          <w:bCs/>
          <w:color w:val="auto"/>
          <w:sz w:val="22"/>
          <w:szCs w:val="22"/>
          <w:highlight w:val="none"/>
          <w:lang w:val="en-US" w:eastAsia="zh-CN"/>
        </w:rPr>
        <w:t>2025年11月18日</w:t>
      </w:r>
      <w:r>
        <w:rPr>
          <w:rFonts w:hint="eastAsia" w:ascii="宋体" w:hAnsi="宋体" w:eastAsia="宋体" w:cs="宋体"/>
          <w:bCs/>
          <w:color w:val="auto"/>
          <w:sz w:val="22"/>
          <w:szCs w:val="22"/>
          <w:highlight w:val="none"/>
          <w:lang w:val="en-US" w:eastAsia="zh-CN"/>
        </w:rPr>
        <w:t>09:30；</w:t>
      </w:r>
    </w:p>
    <w:p>
      <w:pPr>
        <w:pStyle w:val="183"/>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40" w:firstLineChars="200"/>
        <w:jc w:val="both"/>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开标地点：</w:t>
      </w:r>
      <w:r>
        <w:rPr>
          <w:rFonts w:hint="eastAsia" w:ascii="宋体" w:hAnsi="宋体" w:eastAsia="宋体" w:cs="宋体"/>
          <w:color w:val="auto"/>
          <w:sz w:val="22"/>
          <w:szCs w:val="22"/>
          <w:highlight w:val="none"/>
          <w:u w:val="single"/>
          <w:lang w:eastAsia="zh-CN"/>
        </w:rPr>
        <w:t>通过“乐采云平台（www.lecaiyun.com）”，实行在线投标响应（电子投标）。</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lang w:val="en-US" w:eastAsia="zh-CN"/>
        </w:rPr>
        <w:t>九、</w:t>
      </w:r>
      <w:r>
        <w:rPr>
          <w:rFonts w:hint="eastAsia" w:ascii="宋体" w:hAnsi="宋体" w:eastAsia="宋体" w:cs="宋体"/>
          <w:b/>
          <w:bCs/>
          <w:color w:val="auto"/>
          <w:sz w:val="22"/>
          <w:szCs w:val="22"/>
          <w:highlight w:val="none"/>
        </w:rPr>
        <w:t>投标保证金：</w:t>
      </w:r>
    </w:p>
    <w:p>
      <w:pPr>
        <w:keepNext w:val="0"/>
        <w:keepLines w:val="0"/>
        <w:pageBreakBefore w:val="0"/>
        <w:widowControl/>
        <w:kinsoku/>
        <w:wordWrap/>
        <w:overflowPunct/>
        <w:topLinePunct w:val="0"/>
        <w:autoSpaceDE/>
        <w:autoSpaceDN/>
        <w:bidi w:val="0"/>
        <w:adjustRightInd/>
        <w:snapToGrid/>
        <w:spacing w:before="60" w:after="60" w:line="400" w:lineRule="exact"/>
        <w:ind w:right="62" w:firstLine="440" w:firstLineChars="200"/>
        <w:jc w:val="left"/>
        <w:textAlignment w:val="auto"/>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投标保证金：</w:t>
      </w:r>
      <w:r>
        <w:rPr>
          <w:rFonts w:hint="eastAsia" w:ascii="宋体" w:hAnsi="宋体" w:cs="宋体"/>
          <w:b/>
          <w:bCs/>
          <w:color w:val="auto"/>
          <w:kern w:val="0"/>
          <w:sz w:val="22"/>
          <w:szCs w:val="22"/>
          <w:highlight w:val="none"/>
          <w:u w:val="single"/>
          <w:lang w:val="en-US" w:eastAsia="zh-CN"/>
        </w:rPr>
        <w:t>15000</w:t>
      </w:r>
      <w:r>
        <w:rPr>
          <w:rFonts w:hint="eastAsia" w:ascii="宋体" w:hAnsi="宋体" w:eastAsia="宋体" w:cs="宋体"/>
          <w:color w:val="auto"/>
          <w:kern w:val="0"/>
          <w:sz w:val="22"/>
          <w:szCs w:val="22"/>
          <w:highlight w:val="none"/>
        </w:rPr>
        <w:t>元整，采用银行转账形式</w:t>
      </w:r>
      <w:r>
        <w:rPr>
          <w:rFonts w:hint="eastAsia" w:ascii="宋体" w:hAnsi="宋体" w:eastAsia="宋体" w:cs="宋体"/>
          <w:color w:val="auto"/>
          <w:sz w:val="22"/>
          <w:szCs w:val="22"/>
          <w:highlight w:val="none"/>
        </w:rPr>
        <w:t>，</w:t>
      </w:r>
      <w:r>
        <w:rPr>
          <w:rFonts w:hint="eastAsia" w:ascii="宋体" w:hAnsi="宋体" w:eastAsia="宋体" w:cs="宋体"/>
          <w:b/>
          <w:bCs/>
          <w:color w:val="auto"/>
          <w:kern w:val="0"/>
          <w:sz w:val="22"/>
          <w:szCs w:val="22"/>
          <w:highlight w:val="none"/>
          <w:u w:val="single"/>
        </w:rPr>
        <w:t>投标保证金要求从投标供应商的银行账号汇出，保证金缴纳时间以到账时间为准。</w:t>
      </w:r>
      <w:r>
        <w:rPr>
          <w:rFonts w:hint="eastAsia" w:ascii="宋体" w:hAnsi="宋体" w:eastAsia="宋体" w:cs="宋体"/>
          <w:color w:val="auto"/>
          <w:kern w:val="0"/>
          <w:sz w:val="22"/>
          <w:szCs w:val="22"/>
          <w:highlight w:val="none"/>
        </w:rPr>
        <w:t>保证金缴纳截止时间：与投标截止时间相同。</w:t>
      </w:r>
    </w:p>
    <w:p>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单 位 名 称：</w:t>
      </w:r>
      <w:r>
        <w:rPr>
          <w:rFonts w:hint="eastAsia" w:ascii="宋体" w:hAnsi="宋体" w:eastAsia="宋体" w:cs="宋体"/>
          <w:color w:val="auto"/>
          <w:sz w:val="22"/>
          <w:szCs w:val="22"/>
          <w:highlight w:val="none"/>
          <w:u w:val="none"/>
          <w:lang w:eastAsia="zh-CN"/>
        </w:rPr>
        <w:t>温州市兴城工程造价审计咨询事务所（普通合伙）</w:t>
      </w:r>
    </w:p>
    <w:p>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开 户 银 行：温州银行股份有限公司市府路支行</w:t>
      </w:r>
    </w:p>
    <w:p>
      <w:pPr>
        <w:keepNext w:val="0"/>
        <w:keepLines w:val="0"/>
        <w:pageBreakBefore w:val="0"/>
        <w:kinsoku/>
        <w:wordWrap/>
        <w:overflowPunct/>
        <w:topLinePunct w:val="0"/>
        <w:autoSpaceDE/>
        <w:autoSpaceDN/>
        <w:bidi w:val="0"/>
        <w:adjustRightInd/>
        <w:snapToGrid w:val="0"/>
        <w:spacing w:beforeAutospacing="0" w:afterAutospacing="0" w:line="400" w:lineRule="exact"/>
        <w:ind w:left="420" w:leftChars="200"/>
        <w:textAlignment w:val="auto"/>
        <w:rPr>
          <w:rFonts w:hint="eastAsia" w:ascii="宋体" w:hAnsi="宋体" w:eastAsia="宋体" w:cs="宋体"/>
          <w:i w:val="0"/>
          <w:iCs w:val="0"/>
          <w:caps w:val="0"/>
          <w:color w:val="auto"/>
          <w:spacing w:val="0"/>
          <w:sz w:val="22"/>
          <w:szCs w:val="22"/>
          <w:highlight w:val="none"/>
          <w:shd w:val="clear" w:color="auto" w:fill="FFFFFF"/>
        </w:rPr>
      </w:pPr>
      <w:r>
        <w:rPr>
          <w:rFonts w:hint="eastAsia" w:ascii="宋体" w:hAnsi="宋体" w:eastAsia="宋体" w:cs="宋体"/>
          <w:color w:val="auto"/>
          <w:sz w:val="22"/>
          <w:szCs w:val="22"/>
          <w:highlight w:val="none"/>
          <w:lang w:eastAsia="zh-CN"/>
        </w:rPr>
        <w:t xml:space="preserve">账      </w:t>
      </w:r>
      <w:r>
        <w:rPr>
          <w:rFonts w:hint="eastAsia" w:ascii="宋体" w:hAnsi="宋体" w:eastAsia="宋体" w:cs="宋体"/>
          <w:color w:val="auto"/>
          <w:sz w:val="22"/>
          <w:szCs w:val="22"/>
          <w:highlight w:val="none"/>
          <w:lang w:val="en-US" w:eastAsia="zh-CN"/>
        </w:rPr>
        <w:t xml:space="preserve"> </w:t>
      </w:r>
      <w:r>
        <w:rPr>
          <w:rFonts w:hint="eastAsia" w:ascii="宋体" w:hAnsi="宋体" w:eastAsia="宋体" w:cs="宋体"/>
          <w:color w:val="auto"/>
          <w:sz w:val="22"/>
          <w:szCs w:val="22"/>
          <w:highlight w:val="none"/>
          <w:lang w:eastAsia="zh-CN"/>
        </w:rPr>
        <w:t>号：757000120190019985</w:t>
      </w:r>
      <w:r>
        <w:rPr>
          <w:rFonts w:hint="eastAsia" w:ascii="宋体" w:hAnsi="宋体" w:eastAsia="宋体" w:cs="宋体"/>
          <w:i w:val="0"/>
          <w:iCs w:val="0"/>
          <w:caps w:val="0"/>
          <w:color w:val="auto"/>
          <w:spacing w:val="0"/>
          <w:sz w:val="22"/>
          <w:szCs w:val="22"/>
          <w:highlight w:val="none"/>
          <w:shd w:val="clear" w:color="auto" w:fill="FFFFFF"/>
        </w:rPr>
        <w:t>。</w:t>
      </w:r>
    </w:p>
    <w:p>
      <w:pPr>
        <w:keepNext w:val="0"/>
        <w:keepLines w:val="0"/>
        <w:pageBreakBefore w:val="0"/>
        <w:kinsoku/>
        <w:wordWrap/>
        <w:overflowPunct/>
        <w:topLinePunct w:val="0"/>
        <w:autoSpaceDE/>
        <w:autoSpaceDN/>
        <w:bidi w:val="0"/>
        <w:adjustRightInd/>
        <w:snapToGrid w:val="0"/>
        <w:spacing w:beforeAutospacing="0" w:afterAutospacing="0" w:line="400" w:lineRule="exact"/>
        <w:ind w:left="420" w:leftChars="200"/>
        <w:textAlignment w:val="auto"/>
        <w:rPr>
          <w:rFonts w:hint="eastAsia" w:ascii="宋体" w:hAnsi="宋体" w:eastAsia="宋体" w:cs="宋体"/>
          <w:b/>
          <w:bCs/>
          <w:color w:val="auto"/>
          <w:sz w:val="22"/>
          <w:szCs w:val="22"/>
          <w:highlight w:val="none"/>
        </w:rPr>
      </w:pPr>
      <w:r>
        <w:rPr>
          <w:rFonts w:hint="eastAsia" w:ascii="宋体" w:hAnsi="宋体" w:eastAsia="宋体" w:cs="宋体"/>
          <w:b/>
          <w:bCs/>
          <w:i w:val="0"/>
          <w:iCs w:val="0"/>
          <w:caps w:val="0"/>
          <w:color w:val="auto"/>
          <w:spacing w:val="0"/>
          <w:sz w:val="22"/>
          <w:szCs w:val="22"/>
          <w:highlight w:val="none"/>
          <w:shd w:val="clear" w:color="auto" w:fill="FFFFFF"/>
          <w:lang w:eastAsia="zh-CN"/>
        </w:rPr>
        <w:t>注：保证金缴纳须进行备注[格式：投标保证金-</w:t>
      </w:r>
      <w:r>
        <w:rPr>
          <w:rFonts w:hint="eastAsia" w:ascii="宋体" w:hAnsi="宋体" w:cs="宋体"/>
          <w:b/>
          <w:bCs/>
          <w:color w:val="auto"/>
          <w:sz w:val="22"/>
          <w:szCs w:val="22"/>
          <w:highlight w:val="none"/>
          <w:lang w:eastAsia="zh-CN"/>
        </w:rPr>
        <w:t>瓯窑产业化项目研发生产提效设备-陶艺工作室仪器设备</w:t>
      </w:r>
      <w:r>
        <w:rPr>
          <w:rFonts w:hint="eastAsia" w:ascii="宋体" w:hAnsi="宋体" w:eastAsia="宋体" w:cs="宋体"/>
          <w:b/>
          <w:bCs/>
          <w:i w:val="0"/>
          <w:iCs w:val="0"/>
          <w:caps w:val="0"/>
          <w:color w:val="auto"/>
          <w:spacing w:val="0"/>
          <w:sz w:val="22"/>
          <w:szCs w:val="22"/>
          <w:highlight w:val="none"/>
          <w:shd w:val="clear" w:color="auto" w:fill="FFFFFF"/>
          <w:lang w:eastAsia="zh-CN"/>
        </w:rPr>
        <w:t>]</w:t>
      </w:r>
      <w:r>
        <w:rPr>
          <w:rFonts w:hint="eastAsia" w:ascii="宋体" w:hAnsi="宋体" w:eastAsia="宋体" w:cs="宋体"/>
          <w:b/>
          <w:bCs/>
          <w:color w:val="auto"/>
          <w:sz w:val="22"/>
          <w:szCs w:val="22"/>
          <w:highlight w:val="none"/>
          <w:lang w:eastAsia="zh-CN"/>
        </w:rPr>
        <w:t>。</w:t>
      </w:r>
    </w:p>
    <w:p>
      <w:pPr>
        <w:keepNext w:val="0"/>
        <w:keepLines w:val="0"/>
        <w:pageBreakBefore w:val="0"/>
        <w:kinsoku/>
        <w:wordWrap/>
        <w:overflowPunct/>
        <w:topLinePunct w:val="0"/>
        <w:autoSpaceDE/>
        <w:autoSpaceDN/>
        <w:bidi w:val="0"/>
        <w:adjustRightInd/>
        <w:snapToGrid/>
        <w:spacing w:line="400" w:lineRule="exact"/>
        <w:textAlignment w:val="auto"/>
        <w:outlineLvl w:val="9"/>
        <w:rPr>
          <w:rFonts w:hint="eastAsia" w:ascii="宋体" w:hAnsi="宋体" w:eastAsia="宋体" w:cs="宋体"/>
          <w:b/>
          <w:bCs w:val="0"/>
          <w:color w:val="auto"/>
          <w:sz w:val="22"/>
          <w:szCs w:val="22"/>
          <w:highlight w:val="none"/>
          <w:lang w:eastAsia="zh-CN"/>
        </w:rPr>
      </w:pPr>
      <w:bookmarkStart w:id="23" w:name="_Toc35393626"/>
      <w:bookmarkStart w:id="24" w:name="_Toc35393795"/>
      <w:r>
        <w:rPr>
          <w:rFonts w:hint="eastAsia" w:ascii="宋体" w:hAnsi="宋体" w:eastAsia="宋体" w:cs="宋体"/>
          <w:b/>
          <w:bCs w:val="0"/>
          <w:color w:val="auto"/>
          <w:sz w:val="22"/>
          <w:szCs w:val="22"/>
          <w:highlight w:val="none"/>
          <w:lang w:val="en-US" w:eastAsia="zh-CN"/>
        </w:rPr>
        <w:t>十</w:t>
      </w:r>
      <w:r>
        <w:rPr>
          <w:rFonts w:hint="eastAsia" w:ascii="宋体" w:hAnsi="宋体" w:eastAsia="宋体" w:cs="宋体"/>
          <w:b/>
          <w:bCs w:val="0"/>
          <w:color w:val="auto"/>
          <w:sz w:val="22"/>
          <w:szCs w:val="22"/>
          <w:highlight w:val="none"/>
        </w:rPr>
        <w:t>、其他补充事宜</w:t>
      </w:r>
      <w:bookmarkEnd w:id="23"/>
      <w:bookmarkEnd w:id="24"/>
      <w:r>
        <w:rPr>
          <w:rFonts w:hint="eastAsia" w:ascii="宋体" w:hAnsi="宋体" w:eastAsia="宋体" w:cs="宋体"/>
          <w:b/>
          <w:bCs w:val="0"/>
          <w:color w:val="auto"/>
          <w:sz w:val="22"/>
          <w:szCs w:val="22"/>
          <w:highlight w:val="none"/>
          <w:lang w:eastAsia="zh-CN"/>
        </w:rPr>
        <w:t>：</w:t>
      </w:r>
    </w:p>
    <w:p>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1.采购公告期限：</w:t>
      </w:r>
      <w:r>
        <w:rPr>
          <w:rFonts w:hint="eastAsia" w:ascii="宋体" w:hAnsi="宋体" w:eastAsia="宋体" w:cs="宋体"/>
          <w:color w:val="auto"/>
          <w:sz w:val="22"/>
          <w:szCs w:val="22"/>
          <w:highlight w:val="none"/>
        </w:rPr>
        <w:t>7个日历天，从本公告发布的次日起算；</w:t>
      </w:r>
    </w:p>
    <w:p>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2.供应商认为采购文件使自己的权益受到损害的，可以自采购公告期限届满之日内，以书面形式向采购人和采购代理机构提出质疑，逾期提出的，采购组织机构可以不予受理、答复。质疑供应商对采购人、采购代理机构的答复不满意或者采购人、采购代理机构未在规定的时间内作出答复的，可以在答复期满后15个工作日内</w:t>
      </w:r>
      <w:r>
        <w:rPr>
          <w:rFonts w:hint="eastAsia" w:ascii="宋体" w:hAnsi="宋体" w:cs="宋体"/>
          <w:color w:val="auto"/>
          <w:kern w:val="0"/>
          <w:sz w:val="22"/>
          <w:szCs w:val="22"/>
          <w:highlight w:val="none"/>
          <w:lang w:eastAsia="zh-CN"/>
        </w:rPr>
        <w:t>温州市工艺美术研究院有限公司纪检监察小组</w:t>
      </w:r>
      <w:r>
        <w:rPr>
          <w:rFonts w:hint="eastAsia" w:ascii="宋体" w:hAnsi="宋体" w:eastAsia="宋体" w:cs="宋体"/>
          <w:color w:val="auto"/>
          <w:kern w:val="0"/>
          <w:sz w:val="22"/>
          <w:szCs w:val="22"/>
          <w:highlight w:val="none"/>
          <w:lang w:eastAsia="zh-CN"/>
        </w:rPr>
        <w:t>投诉。</w:t>
      </w:r>
    </w:p>
    <w:p>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3.</w:t>
      </w:r>
      <w:r>
        <w:rPr>
          <w:rFonts w:hint="eastAsia" w:ascii="宋体" w:hAnsi="宋体" w:cs="宋体"/>
          <w:color w:val="auto"/>
          <w:kern w:val="0"/>
          <w:sz w:val="22"/>
          <w:szCs w:val="22"/>
          <w:highlight w:val="none"/>
          <w:lang w:eastAsia="zh-CN"/>
        </w:rPr>
        <w:t>温州市工艺美术研究院有限公司纪检监察小组</w:t>
      </w:r>
      <w:r>
        <w:rPr>
          <w:rFonts w:hint="eastAsia" w:ascii="宋体" w:hAnsi="宋体" w:eastAsia="宋体" w:cs="宋体"/>
          <w:color w:val="auto"/>
          <w:kern w:val="0"/>
          <w:sz w:val="22"/>
          <w:szCs w:val="22"/>
          <w:highlight w:val="none"/>
          <w:lang w:eastAsia="zh-CN"/>
        </w:rPr>
        <w:t>负责对投标供应商反映的企业本部及所属企业在采购活动中出现的违法违规问题进行答疑回复。投标供应商认为答疑回复处理结果不合法的，可以采购人或代理机构为对象依法向人民法院提起诉讼。</w:t>
      </w:r>
    </w:p>
    <w:p>
      <w:pPr>
        <w:keepNext w:val="0"/>
        <w:keepLines w:val="0"/>
        <w:pageBreakBefore w:val="0"/>
        <w:widowControl/>
        <w:kinsoku/>
        <w:wordWrap/>
        <w:overflowPunct/>
        <w:topLinePunct w:val="0"/>
        <w:autoSpaceDE/>
        <w:autoSpaceDN/>
        <w:bidi w:val="0"/>
        <w:adjustRightInd/>
        <w:snapToGrid w:val="0"/>
        <w:spacing w:beforeAutospacing="0" w:afterAutospacing="0" w:line="400" w:lineRule="exact"/>
        <w:ind w:firstLine="420"/>
        <w:textAlignment w:val="auto"/>
        <w:rPr>
          <w:rFonts w:hint="eastAsia" w:ascii="宋体" w:hAnsi="宋体" w:eastAsia="宋体" w:cs="宋体"/>
          <w:color w:val="auto"/>
          <w:kern w:val="0"/>
          <w:sz w:val="22"/>
          <w:szCs w:val="22"/>
          <w:highlight w:val="none"/>
          <w:lang w:eastAsia="zh-CN"/>
        </w:rPr>
      </w:pPr>
      <w:r>
        <w:rPr>
          <w:rFonts w:hint="eastAsia" w:ascii="宋体" w:hAnsi="宋体" w:eastAsia="宋体" w:cs="宋体"/>
          <w:color w:val="auto"/>
          <w:kern w:val="0"/>
          <w:sz w:val="22"/>
          <w:szCs w:val="22"/>
          <w:highlight w:val="none"/>
          <w:lang w:eastAsia="zh-CN"/>
        </w:rPr>
        <w:t>4.采购文件发售截止时间之后潜在供应商仍然可以购买采购文件，但该供应商如对采购文件有疑问应按采购文件规定的询疑截止时间前提出，逾期提出的，采购组织机构可以不予受理、答复。</w:t>
      </w:r>
    </w:p>
    <w:p>
      <w:pPr>
        <w:keepNext w:val="0"/>
        <w:keepLines w:val="0"/>
        <w:pageBreakBefore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kern w:val="0"/>
          <w:sz w:val="22"/>
          <w:szCs w:val="22"/>
          <w:highlight w:val="none"/>
          <w:lang w:eastAsia="zh-CN"/>
        </w:rPr>
        <w:t>5.书面质疑与投诉受理地点与联系人见采购文件。</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auto"/>
          <w:sz w:val="22"/>
          <w:szCs w:val="22"/>
          <w:highlight w:val="none"/>
          <w:lang w:eastAsia="zh-CN"/>
        </w:rPr>
      </w:pPr>
      <w:r>
        <w:rPr>
          <w:rFonts w:hint="eastAsia" w:ascii="宋体" w:hAnsi="宋体" w:cs="宋体"/>
          <w:b/>
          <w:bCs w:val="0"/>
          <w:color w:val="auto"/>
          <w:sz w:val="22"/>
          <w:szCs w:val="22"/>
          <w:highlight w:val="none"/>
          <w:lang w:val="en-US" w:eastAsia="zh-CN"/>
        </w:rPr>
        <w:t>十一</w:t>
      </w:r>
      <w:r>
        <w:rPr>
          <w:rFonts w:hint="eastAsia" w:ascii="宋体" w:hAnsi="宋体" w:eastAsia="宋体" w:cs="宋体"/>
          <w:b/>
          <w:bCs w:val="0"/>
          <w:color w:val="auto"/>
          <w:sz w:val="22"/>
          <w:szCs w:val="22"/>
          <w:highlight w:val="none"/>
        </w:rPr>
        <w:t>、对本次招标提出询问、质疑，请按以下方式联系</w:t>
      </w:r>
      <w:r>
        <w:rPr>
          <w:rFonts w:hint="eastAsia" w:ascii="宋体" w:hAnsi="宋体" w:eastAsia="宋体" w:cs="宋体"/>
          <w:b/>
          <w:bCs w:val="0"/>
          <w:color w:val="auto"/>
          <w:sz w:val="22"/>
          <w:szCs w:val="22"/>
          <w:highlight w:val="none"/>
          <w:lang w:eastAsia="zh-CN"/>
        </w:rPr>
        <w:t>：</w:t>
      </w:r>
      <w:bookmarkStart w:id="25" w:name="_Toc35393786"/>
      <w:bookmarkStart w:id="26" w:name="_Toc35393617"/>
      <w:bookmarkStart w:id="27" w:name="_Toc28359075"/>
      <w:bookmarkStart w:id="28" w:name="_Toc28358998"/>
    </w:p>
    <w:p>
      <w:pPr>
        <w:keepNext w:val="0"/>
        <w:keepLines w:val="0"/>
        <w:pageBreakBefore w:val="0"/>
        <w:kinsoku/>
        <w:wordWrap/>
        <w:overflowPunct/>
        <w:topLinePunct w:val="0"/>
        <w:autoSpaceDE/>
        <w:autoSpaceDN/>
        <w:bidi w:val="0"/>
        <w:adjustRightInd/>
        <w:snapToGrid/>
        <w:spacing w:line="400" w:lineRule="exact"/>
        <w:ind w:firstLine="442"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b/>
          <w:color w:val="auto"/>
          <w:sz w:val="22"/>
          <w:szCs w:val="22"/>
          <w:highlight w:val="none"/>
        </w:rPr>
        <w:t>1.</w:t>
      </w:r>
      <w:r>
        <w:rPr>
          <w:rFonts w:hint="eastAsia" w:ascii="宋体" w:hAnsi="宋体" w:eastAsia="宋体" w:cs="宋体"/>
          <w:b/>
          <w:color w:val="auto"/>
          <w:sz w:val="22"/>
          <w:szCs w:val="22"/>
          <w:highlight w:val="none"/>
          <w:lang w:eastAsia="zh-CN"/>
        </w:rPr>
        <w:t>采购人</w:t>
      </w:r>
      <w:r>
        <w:rPr>
          <w:rFonts w:hint="eastAsia" w:ascii="宋体" w:hAnsi="宋体" w:eastAsia="宋体" w:cs="宋体"/>
          <w:b/>
          <w:color w:val="auto"/>
          <w:sz w:val="22"/>
          <w:szCs w:val="22"/>
          <w:highlight w:val="none"/>
        </w:rPr>
        <w:t>信息</w:t>
      </w:r>
      <w:bookmarkEnd w:id="25"/>
      <w:bookmarkEnd w:id="26"/>
      <w:bookmarkEnd w:id="27"/>
      <w:bookmarkEnd w:id="28"/>
    </w:p>
    <w:p>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名</w:t>
      </w:r>
      <w:r>
        <w:rPr>
          <w:rFonts w:hint="eastAsia" w:ascii="宋体" w:hAnsi="宋体" w:eastAsia="宋体" w:cs="宋体"/>
          <w:color w:val="auto"/>
          <w:sz w:val="22"/>
          <w:szCs w:val="22"/>
          <w:highlight w:val="none"/>
        </w:rPr>
        <w:t xml:space="preserve">    </w:t>
      </w:r>
      <w:r>
        <w:rPr>
          <w:rFonts w:hint="eastAsia" w:ascii="宋体" w:hAnsi="宋体" w:eastAsia="宋体" w:cs="宋体"/>
          <w:color w:val="auto"/>
          <w:sz w:val="22"/>
          <w:szCs w:val="22"/>
          <w:highlight w:val="none"/>
          <w:lang w:val="en-US" w:eastAsia="zh-CN"/>
        </w:rPr>
        <w:t>称</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温州瓯瓷产业发展有限公司</w:t>
      </w:r>
    </w:p>
    <w:p>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lang w:val="en-US" w:eastAsia="zh-CN"/>
        </w:rPr>
        <w:t>地    址：浙江省温州市龙湾区蒲州街道文昌路166号创客小镇(A区)连廊第4层第401室</w:t>
      </w:r>
    </w:p>
    <w:p>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传    真：</w:t>
      </w:r>
      <w:r>
        <w:rPr>
          <w:rFonts w:hint="eastAsia" w:ascii="宋体" w:hAnsi="宋体" w:eastAsia="宋体" w:cs="宋体"/>
          <w:color w:val="auto"/>
          <w:sz w:val="22"/>
          <w:szCs w:val="22"/>
          <w:highlight w:val="none"/>
          <w:u w:val="none"/>
          <w:lang w:val="en-US" w:eastAsia="zh-CN"/>
        </w:rPr>
        <w:t>/</w:t>
      </w:r>
    </w:p>
    <w:p>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项目联系人（询问）：黄奔奔</w:t>
      </w:r>
    </w:p>
    <w:p>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项目联系方式（询问）：17357785655</w:t>
      </w:r>
    </w:p>
    <w:bookmarkEnd w:id="14"/>
    <w:p>
      <w:pPr>
        <w:keepNext w:val="0"/>
        <w:keepLines w:val="0"/>
        <w:pageBreakBefore w:val="0"/>
        <w:kinsoku/>
        <w:wordWrap/>
        <w:overflowPunct/>
        <w:topLinePunct w:val="0"/>
        <w:autoSpaceDE/>
        <w:autoSpaceDN/>
        <w:bidi w:val="0"/>
        <w:adjustRightInd/>
        <w:snapToGrid/>
        <w:spacing w:line="400" w:lineRule="exact"/>
        <w:ind w:firstLine="442" w:firstLineChars="200"/>
        <w:textAlignment w:val="auto"/>
        <w:outlineLvl w:val="9"/>
        <w:rPr>
          <w:rFonts w:hint="eastAsia" w:ascii="宋体" w:hAnsi="宋体" w:eastAsia="宋体" w:cs="宋体"/>
          <w:b/>
          <w:color w:val="auto"/>
          <w:sz w:val="22"/>
          <w:szCs w:val="22"/>
          <w:highlight w:val="none"/>
        </w:rPr>
      </w:pPr>
      <w:bookmarkStart w:id="29" w:name="_Toc35393618"/>
      <w:bookmarkStart w:id="30" w:name="_Toc35393787"/>
      <w:bookmarkStart w:id="31" w:name="_Toc28359076"/>
      <w:bookmarkStart w:id="32" w:name="_Toc28358999"/>
      <w:r>
        <w:rPr>
          <w:rFonts w:hint="eastAsia" w:ascii="宋体" w:hAnsi="宋体" w:eastAsia="宋体" w:cs="宋体"/>
          <w:b/>
          <w:color w:val="auto"/>
          <w:sz w:val="22"/>
          <w:szCs w:val="22"/>
          <w:highlight w:val="none"/>
        </w:rPr>
        <w:t>2.</w:t>
      </w:r>
      <w:r>
        <w:rPr>
          <w:rFonts w:hint="eastAsia" w:ascii="宋体" w:hAnsi="宋体" w:eastAsia="宋体" w:cs="宋体"/>
          <w:b/>
          <w:color w:val="auto"/>
          <w:sz w:val="22"/>
          <w:szCs w:val="22"/>
          <w:highlight w:val="none"/>
          <w:lang w:eastAsia="zh-CN"/>
        </w:rPr>
        <w:t>招标代理机构</w:t>
      </w:r>
      <w:r>
        <w:rPr>
          <w:rFonts w:hint="eastAsia" w:ascii="宋体" w:hAnsi="宋体" w:eastAsia="宋体" w:cs="宋体"/>
          <w:b/>
          <w:color w:val="auto"/>
          <w:sz w:val="22"/>
          <w:szCs w:val="22"/>
          <w:highlight w:val="none"/>
        </w:rPr>
        <w:t>信息</w:t>
      </w:r>
      <w:bookmarkEnd w:id="29"/>
      <w:bookmarkEnd w:id="30"/>
      <w:bookmarkEnd w:id="31"/>
      <w:bookmarkEnd w:id="32"/>
    </w:p>
    <w:p>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eastAsia="zh-CN"/>
        </w:rPr>
      </w:pPr>
      <w:r>
        <w:rPr>
          <w:rFonts w:hint="eastAsia" w:ascii="宋体" w:hAnsi="宋体" w:eastAsia="宋体" w:cs="宋体"/>
          <w:color w:val="auto"/>
          <w:sz w:val="22"/>
          <w:szCs w:val="22"/>
          <w:highlight w:val="none"/>
          <w:u w:val="none"/>
        </w:rPr>
        <w:t>名    称：</w:t>
      </w:r>
      <w:r>
        <w:rPr>
          <w:rFonts w:hint="eastAsia" w:ascii="宋体" w:hAnsi="宋体" w:eastAsia="宋体" w:cs="宋体"/>
          <w:color w:val="auto"/>
          <w:sz w:val="22"/>
          <w:szCs w:val="22"/>
          <w:highlight w:val="none"/>
          <w:u w:val="none"/>
          <w:lang w:eastAsia="zh-CN"/>
        </w:rPr>
        <w:t>温州市兴城工程造价审计咨询事务所（普通合伙）</w:t>
      </w:r>
    </w:p>
    <w:p>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eastAsia="zh-CN"/>
        </w:rPr>
      </w:pPr>
      <w:r>
        <w:rPr>
          <w:rFonts w:hint="eastAsia" w:ascii="宋体" w:hAnsi="宋体" w:eastAsia="宋体" w:cs="宋体"/>
          <w:color w:val="auto"/>
          <w:sz w:val="22"/>
          <w:szCs w:val="22"/>
          <w:highlight w:val="none"/>
          <w:u w:val="none"/>
        </w:rPr>
        <w:t>地    址：</w:t>
      </w:r>
      <w:r>
        <w:rPr>
          <w:rFonts w:hint="eastAsia" w:ascii="宋体" w:hAnsi="宋体" w:eastAsia="宋体" w:cs="宋体"/>
          <w:color w:val="auto"/>
          <w:sz w:val="22"/>
          <w:szCs w:val="22"/>
          <w:highlight w:val="none"/>
          <w:u w:val="none"/>
          <w:lang w:eastAsia="zh-CN"/>
        </w:rPr>
        <w:t>温州市车站大道大诚商厦E幢702室</w:t>
      </w:r>
    </w:p>
    <w:p>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邮    箱：1589009783@qq.com</w:t>
      </w:r>
    </w:p>
    <w:p>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项目联系人（询问）：</w:t>
      </w:r>
      <w:r>
        <w:rPr>
          <w:rFonts w:hint="eastAsia" w:ascii="宋体" w:hAnsi="宋体" w:eastAsia="宋体" w:cs="宋体"/>
          <w:color w:val="auto"/>
          <w:sz w:val="22"/>
          <w:szCs w:val="22"/>
          <w:highlight w:val="none"/>
          <w:u w:val="none"/>
          <w:lang w:eastAsia="zh-CN"/>
        </w:rPr>
        <w:t>金奇云、郑凯挺</w:t>
      </w:r>
    </w:p>
    <w:p>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项目联系方式（询问）：</w:t>
      </w:r>
      <w:r>
        <w:rPr>
          <w:rFonts w:hint="eastAsia" w:ascii="宋体" w:hAnsi="宋体" w:eastAsia="宋体" w:cs="宋体"/>
          <w:color w:val="auto"/>
          <w:sz w:val="22"/>
          <w:szCs w:val="22"/>
          <w:highlight w:val="none"/>
          <w:u w:val="none"/>
          <w:lang w:val="en-US" w:eastAsia="zh-CN"/>
        </w:rPr>
        <w:t>0577-88370285、13634235000</w:t>
      </w:r>
    </w:p>
    <w:p>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color w:val="auto"/>
          <w:sz w:val="22"/>
          <w:szCs w:val="22"/>
          <w:highlight w:val="none"/>
          <w:u w:val="none"/>
          <w:lang w:val="en-US" w:eastAsia="zh-CN"/>
        </w:rPr>
      </w:pPr>
      <w:r>
        <w:rPr>
          <w:rFonts w:hint="eastAsia" w:ascii="宋体" w:hAnsi="宋体" w:eastAsia="宋体" w:cs="宋体"/>
          <w:color w:val="auto"/>
          <w:sz w:val="22"/>
          <w:szCs w:val="22"/>
          <w:highlight w:val="none"/>
          <w:u w:val="none"/>
        </w:rPr>
        <w:t>代理机构质疑联系人：</w:t>
      </w:r>
      <w:r>
        <w:rPr>
          <w:rFonts w:hint="eastAsia" w:ascii="宋体" w:hAnsi="宋体" w:eastAsia="宋体" w:cs="宋体"/>
          <w:color w:val="auto"/>
          <w:sz w:val="22"/>
          <w:szCs w:val="22"/>
          <w:highlight w:val="none"/>
          <w:u w:val="none"/>
          <w:lang w:val="en-US" w:eastAsia="zh-CN"/>
        </w:rPr>
        <w:t>金奇云</w:t>
      </w:r>
    </w:p>
    <w:p>
      <w:pPr>
        <w:keepNext w:val="0"/>
        <w:keepLines w:val="0"/>
        <w:pageBreakBefore w:val="0"/>
        <w:kinsoku/>
        <w:wordWrap/>
        <w:overflowPunct/>
        <w:topLinePunct w:val="0"/>
        <w:autoSpaceDE/>
        <w:autoSpaceDN/>
        <w:bidi w:val="0"/>
        <w:adjustRightInd/>
        <w:snapToGrid/>
        <w:spacing w:line="400" w:lineRule="exact"/>
        <w:ind w:firstLine="440" w:firstLineChars="200"/>
        <w:jc w:val="left"/>
        <w:textAlignment w:val="auto"/>
        <w:rPr>
          <w:rFonts w:hint="eastAsia" w:ascii="宋体" w:hAnsi="宋体" w:eastAsia="宋体" w:cs="宋体"/>
          <w:b/>
          <w:bCs/>
          <w:color w:val="auto"/>
          <w:kern w:val="0"/>
          <w:sz w:val="22"/>
          <w:szCs w:val="22"/>
          <w:highlight w:val="none"/>
          <w:lang w:eastAsia="zh-CN"/>
        </w:rPr>
      </w:pPr>
      <w:r>
        <w:rPr>
          <w:rFonts w:hint="eastAsia" w:ascii="宋体" w:hAnsi="宋体" w:eastAsia="宋体" w:cs="宋体"/>
          <w:color w:val="auto"/>
          <w:sz w:val="22"/>
          <w:szCs w:val="22"/>
          <w:highlight w:val="none"/>
          <w:u w:val="none"/>
        </w:rPr>
        <w:t>代理机构质疑联系电话：</w:t>
      </w:r>
      <w:r>
        <w:rPr>
          <w:rFonts w:hint="eastAsia" w:ascii="宋体" w:hAnsi="宋体" w:eastAsia="宋体" w:cs="宋体"/>
          <w:color w:val="auto"/>
          <w:sz w:val="22"/>
          <w:szCs w:val="22"/>
          <w:highlight w:val="none"/>
          <w:u w:val="none"/>
          <w:lang w:eastAsia="zh-CN"/>
        </w:rPr>
        <w:t>0577-88370285</w:t>
      </w:r>
    </w:p>
    <w:p>
      <w:pPr>
        <w:keepNext w:val="0"/>
        <w:keepLines w:val="0"/>
        <w:pageBreakBefore w:val="0"/>
        <w:kinsoku/>
        <w:wordWrap/>
        <w:overflowPunct/>
        <w:topLinePunct w:val="0"/>
        <w:autoSpaceDE/>
        <w:autoSpaceDN/>
        <w:bidi w:val="0"/>
        <w:adjustRightInd/>
        <w:spacing w:line="400" w:lineRule="exact"/>
        <w:ind w:firstLine="442" w:firstLineChars="200"/>
        <w:textAlignment w:val="auto"/>
        <w:rPr>
          <w:rFonts w:hint="eastAsia" w:ascii="宋体" w:hAnsi="宋体" w:eastAsia="宋体" w:cs="宋体"/>
          <w:b/>
          <w:color w:val="auto"/>
          <w:sz w:val="22"/>
          <w:szCs w:val="22"/>
          <w:highlight w:val="none"/>
          <w:lang w:val="en-US" w:eastAsia="zh-CN"/>
        </w:rPr>
      </w:pPr>
      <w:r>
        <w:rPr>
          <w:rFonts w:hint="eastAsia" w:ascii="宋体" w:hAnsi="宋体" w:eastAsia="宋体" w:cs="宋体"/>
          <w:b/>
          <w:color w:val="auto"/>
          <w:sz w:val="22"/>
          <w:szCs w:val="22"/>
          <w:highlight w:val="none"/>
          <w:lang w:val="en-US" w:eastAsia="zh-CN"/>
        </w:rPr>
        <w:t>3.</w:t>
      </w:r>
      <w:r>
        <w:rPr>
          <w:rFonts w:hint="eastAsia" w:ascii="宋体" w:hAnsi="宋体" w:eastAsia="宋体" w:cs="宋体"/>
          <w:b/>
          <w:color w:val="auto"/>
          <w:sz w:val="22"/>
          <w:szCs w:val="22"/>
          <w:highlight w:val="none"/>
        </w:rPr>
        <w:t>同级</w:t>
      </w:r>
      <w:r>
        <w:rPr>
          <w:rFonts w:hint="eastAsia" w:ascii="宋体" w:hAnsi="宋体" w:eastAsia="宋体" w:cs="宋体"/>
          <w:b/>
          <w:color w:val="auto"/>
          <w:sz w:val="22"/>
          <w:szCs w:val="22"/>
          <w:highlight w:val="none"/>
          <w:lang w:val="en-US" w:eastAsia="zh-CN"/>
        </w:rPr>
        <w:t>国企</w:t>
      </w:r>
      <w:r>
        <w:rPr>
          <w:rFonts w:hint="eastAsia" w:ascii="宋体" w:hAnsi="宋体" w:eastAsia="宋体" w:cs="宋体"/>
          <w:b/>
          <w:color w:val="auto"/>
          <w:sz w:val="22"/>
          <w:szCs w:val="22"/>
          <w:highlight w:val="none"/>
        </w:rPr>
        <w:t>采购监督管理部门</w:t>
      </w:r>
    </w:p>
    <w:p>
      <w:pPr>
        <w:keepNext w:val="0"/>
        <w:keepLines w:val="0"/>
        <w:pageBreakBefore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名    称：</w:t>
      </w:r>
      <w:r>
        <w:rPr>
          <w:rFonts w:hint="eastAsia" w:ascii="宋体" w:hAnsi="宋体" w:cs="宋体"/>
          <w:color w:val="auto"/>
          <w:sz w:val="22"/>
          <w:szCs w:val="22"/>
          <w:highlight w:val="none"/>
          <w:lang w:eastAsia="zh-CN"/>
        </w:rPr>
        <w:t>温州市工艺美术研究院有限公司纪检监察小组</w:t>
      </w:r>
    </w:p>
    <w:p>
      <w:pPr>
        <w:keepNext w:val="0"/>
        <w:keepLines w:val="0"/>
        <w:pageBreakBefore w:val="0"/>
        <w:kinsoku/>
        <w:wordWrap/>
        <w:overflowPunct/>
        <w:topLinePunct w:val="0"/>
        <w:autoSpaceDE/>
        <w:autoSpaceDN/>
        <w:bidi w:val="0"/>
        <w:adjustRightInd/>
        <w:spacing w:line="400" w:lineRule="exact"/>
        <w:ind w:firstLine="440" w:firstLineChars="200"/>
        <w:jc w:val="left"/>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 w:val="22"/>
          <w:szCs w:val="22"/>
          <w:highlight w:val="none"/>
          <w:lang w:val="en-US" w:eastAsia="zh-CN"/>
        </w:rPr>
        <w:t>监督投诉电话</w:t>
      </w:r>
      <w:r>
        <w:rPr>
          <w:rFonts w:hint="eastAsia" w:ascii="宋体" w:hAnsi="宋体" w:eastAsia="宋体" w:cs="宋体"/>
          <w:color w:val="auto"/>
          <w:sz w:val="22"/>
          <w:szCs w:val="22"/>
          <w:highlight w:val="none"/>
        </w:rPr>
        <w:t>：0577-88120165</w:t>
      </w:r>
    </w:p>
    <w:p>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br w:type="page"/>
      </w:r>
    </w:p>
    <w:p>
      <w:pPr>
        <w:widowControl/>
        <w:spacing w:before="156" w:after="156" w:line="242" w:lineRule="atLeast"/>
        <w:rPr>
          <w:rFonts w:hint="eastAsia" w:ascii="宋体" w:hAnsi="宋体" w:eastAsia="宋体" w:cs="宋体"/>
          <w:b/>
          <w:bCs/>
          <w:color w:val="auto"/>
          <w:kern w:val="0"/>
          <w:sz w:val="28"/>
          <w:szCs w:val="28"/>
          <w:highlight w:val="none"/>
        </w:rPr>
      </w:pPr>
    </w:p>
    <w:bookmarkEnd w:id="15"/>
    <w:p>
      <w:pPr>
        <w:keepNext w:val="0"/>
        <w:keepLines w:val="0"/>
        <w:pageBreakBefore w:val="0"/>
        <w:widowControl w:val="0"/>
        <w:kinsoku/>
        <w:wordWrap/>
        <w:overflowPunct/>
        <w:topLinePunct w:val="0"/>
        <w:autoSpaceDE/>
        <w:autoSpaceDN/>
        <w:bidi w:val="0"/>
        <w:adjustRightInd/>
        <w:snapToGrid w:val="0"/>
        <w:spacing w:afterAutospacing="0" w:line="360" w:lineRule="auto"/>
        <w:jc w:val="center"/>
        <w:textAlignment w:val="auto"/>
        <w:outlineLvl w:val="0"/>
        <w:rPr>
          <w:rFonts w:hint="eastAsia" w:ascii="宋体" w:hAnsi="宋体" w:eastAsia="宋体" w:cs="宋体"/>
          <w:color w:val="auto"/>
          <w:highlight w:val="none"/>
        </w:rPr>
      </w:pPr>
      <w:bookmarkStart w:id="33" w:name="_Toc16480"/>
      <w:r>
        <w:rPr>
          <w:rFonts w:hint="eastAsia" w:ascii="宋体" w:hAnsi="宋体" w:eastAsia="宋体" w:cs="宋体"/>
          <w:b/>
          <w:bCs/>
          <w:color w:val="auto"/>
          <w:spacing w:val="-6"/>
          <w:sz w:val="28"/>
          <w:szCs w:val="28"/>
          <w:highlight w:val="none"/>
          <w:lang w:eastAsia="zh-CN"/>
        </w:rPr>
        <w:t>温州市工业与能源集团所属温州瓯瓷产业发展有限公司</w:t>
      </w:r>
      <w:r>
        <w:rPr>
          <w:rFonts w:hint="eastAsia" w:ascii="宋体" w:hAnsi="宋体" w:eastAsia="宋体" w:cs="宋体"/>
          <w:b/>
          <w:bCs/>
          <w:color w:val="auto"/>
          <w:spacing w:val="-6"/>
          <w:sz w:val="28"/>
          <w:szCs w:val="28"/>
          <w:highlight w:val="none"/>
          <w:lang w:val="en-US" w:eastAsia="zh-CN"/>
        </w:rPr>
        <w:t>关于</w:t>
      </w:r>
      <w:r>
        <w:rPr>
          <w:rFonts w:hint="eastAsia" w:ascii="宋体" w:hAnsi="宋体" w:cs="宋体"/>
          <w:b/>
          <w:bCs/>
          <w:color w:val="auto"/>
          <w:sz w:val="28"/>
          <w:szCs w:val="28"/>
          <w:highlight w:val="none"/>
          <w:lang w:eastAsia="zh-CN"/>
        </w:rPr>
        <w:t>瓯窑产业化项目研发生产提效设备-陶艺工作室仪器设备</w:t>
      </w:r>
      <w:r>
        <w:rPr>
          <w:rFonts w:hint="eastAsia" w:hAnsi="宋体" w:cs="宋体"/>
          <w:b/>
          <w:bCs/>
          <w:color w:val="auto"/>
          <w:spacing w:val="-6"/>
          <w:sz w:val="28"/>
          <w:szCs w:val="28"/>
          <w:highlight w:val="none"/>
          <w:lang w:eastAsia="zh-CN"/>
        </w:rPr>
        <w:t>（自主）</w:t>
      </w:r>
      <w:r>
        <w:rPr>
          <w:rFonts w:hint="eastAsia" w:ascii="宋体" w:hAnsi="宋体" w:eastAsia="宋体" w:cs="宋体"/>
          <w:b/>
          <w:bCs/>
          <w:color w:val="auto"/>
          <w:spacing w:val="-6"/>
          <w:sz w:val="28"/>
          <w:szCs w:val="28"/>
          <w:highlight w:val="none"/>
          <w:lang w:eastAsia="zh-CN"/>
        </w:rPr>
        <w:t>的征求意</w:t>
      </w:r>
      <w:r>
        <w:rPr>
          <w:rFonts w:hint="eastAsia" w:ascii="宋体" w:hAnsi="宋体" w:eastAsia="宋体" w:cs="宋体"/>
          <w:b/>
          <w:bCs/>
          <w:color w:val="auto"/>
          <w:spacing w:val="-6"/>
          <w:sz w:val="28"/>
          <w:szCs w:val="28"/>
          <w:highlight w:val="none"/>
        </w:rPr>
        <w:t>见公示</w:t>
      </w:r>
      <w:bookmarkEnd w:id="33"/>
    </w:p>
    <w:p>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u w:val="single"/>
          <w:lang w:eastAsia="zh-CN"/>
        </w:rPr>
      </w:pPr>
    </w:p>
    <w:p>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u w:val="single"/>
          <w:lang w:eastAsia="zh-CN"/>
        </w:rPr>
        <w:t>温州市兴城工程造价审计咨询事务所（普通合伙）</w:t>
      </w:r>
      <w:r>
        <w:rPr>
          <w:rFonts w:hint="eastAsia" w:ascii="宋体" w:hAnsi="宋体" w:eastAsia="宋体" w:cs="宋体"/>
          <w:bCs/>
          <w:color w:val="auto"/>
          <w:kern w:val="0"/>
          <w:sz w:val="21"/>
          <w:szCs w:val="21"/>
          <w:highlight w:val="none"/>
        </w:rPr>
        <w:t>受</w:t>
      </w:r>
      <w:r>
        <w:rPr>
          <w:rFonts w:hint="eastAsia" w:ascii="宋体" w:hAnsi="宋体" w:eastAsia="宋体" w:cs="宋体"/>
          <w:bCs/>
          <w:color w:val="auto"/>
          <w:kern w:val="0"/>
          <w:sz w:val="21"/>
          <w:szCs w:val="21"/>
          <w:highlight w:val="none"/>
          <w:u w:val="single"/>
          <w:lang w:eastAsia="zh-CN"/>
        </w:rPr>
        <w:t>温州瓯瓷产业发展有限公司</w:t>
      </w:r>
      <w:r>
        <w:rPr>
          <w:rFonts w:hint="eastAsia" w:ascii="宋体" w:hAnsi="宋体" w:eastAsia="宋体" w:cs="宋体"/>
          <w:bCs/>
          <w:color w:val="auto"/>
          <w:kern w:val="0"/>
          <w:sz w:val="21"/>
          <w:szCs w:val="21"/>
          <w:highlight w:val="none"/>
        </w:rPr>
        <w:t>委托就</w:t>
      </w:r>
      <w:r>
        <w:rPr>
          <w:rFonts w:hint="eastAsia" w:ascii="宋体" w:hAnsi="宋体" w:cs="宋体"/>
          <w:color w:val="auto"/>
          <w:sz w:val="21"/>
          <w:szCs w:val="21"/>
          <w:highlight w:val="none"/>
          <w:u w:val="single"/>
          <w:lang w:eastAsia="zh-CN"/>
        </w:rPr>
        <w:t>瓯窑产业化项目研发生产提效设备-陶艺工作室仪器设备</w:t>
      </w:r>
      <w:r>
        <w:rPr>
          <w:rFonts w:hint="eastAsia" w:ascii="宋体" w:hAnsi="宋体" w:eastAsia="宋体" w:cs="宋体"/>
          <w:bCs/>
          <w:color w:val="auto"/>
          <w:kern w:val="0"/>
          <w:sz w:val="21"/>
          <w:szCs w:val="21"/>
          <w:highlight w:val="none"/>
        </w:rPr>
        <w:t>以公开招标方式进行招标。现将</w:t>
      </w:r>
      <w:r>
        <w:rPr>
          <w:rFonts w:hint="eastAsia" w:ascii="宋体" w:hAnsi="宋体" w:eastAsia="宋体" w:cs="宋体"/>
          <w:bCs/>
          <w:color w:val="auto"/>
          <w:kern w:val="0"/>
          <w:sz w:val="21"/>
          <w:szCs w:val="21"/>
          <w:highlight w:val="none"/>
          <w:lang w:eastAsia="zh-CN"/>
        </w:rPr>
        <w:t>采购文件</w:t>
      </w:r>
      <w:r>
        <w:rPr>
          <w:rFonts w:hint="eastAsia" w:ascii="宋体" w:hAnsi="宋体" w:eastAsia="宋体" w:cs="宋体"/>
          <w:bCs/>
          <w:color w:val="auto"/>
          <w:kern w:val="0"/>
          <w:sz w:val="21"/>
          <w:szCs w:val="21"/>
          <w:highlight w:val="none"/>
        </w:rPr>
        <w:t>公布如下,并公开征求供应商及专家意见。</w:t>
      </w:r>
    </w:p>
    <w:p>
      <w:pPr>
        <w:keepNext w:val="0"/>
        <w:keepLines w:val="0"/>
        <w:pageBreakBefore w:val="0"/>
        <w:widowControl/>
        <w:kinsoku/>
        <w:wordWrap/>
        <w:overflowPunct/>
        <w:topLinePunct w:val="0"/>
        <w:autoSpaceDE/>
        <w:autoSpaceDN/>
        <w:bidi w:val="0"/>
        <w:adjustRightInd/>
        <w:snapToGrid w:val="0"/>
        <w:spacing w:afterAutospacing="0" w:line="360" w:lineRule="auto"/>
        <w:ind w:right="62"/>
        <w:jc w:val="left"/>
        <w:textAlignment w:val="auto"/>
        <w:outlineLvl w:val="1"/>
        <w:rPr>
          <w:rFonts w:hint="eastAsia" w:ascii="宋体" w:hAnsi="宋体" w:eastAsia="宋体" w:cs="宋体"/>
          <w:b/>
          <w:color w:val="auto"/>
          <w:kern w:val="0"/>
          <w:sz w:val="21"/>
          <w:szCs w:val="21"/>
          <w:highlight w:val="none"/>
        </w:rPr>
      </w:pPr>
      <w:bookmarkStart w:id="34" w:name="_Toc5206"/>
      <w:bookmarkStart w:id="35" w:name="_Toc10567"/>
      <w:r>
        <w:rPr>
          <w:rFonts w:hint="eastAsia" w:ascii="宋体" w:hAnsi="宋体" w:eastAsia="宋体" w:cs="宋体"/>
          <w:b/>
          <w:color w:val="auto"/>
          <w:kern w:val="0"/>
          <w:sz w:val="21"/>
          <w:szCs w:val="21"/>
          <w:highlight w:val="none"/>
        </w:rPr>
        <w:t>一、征求意见范围：</w:t>
      </w:r>
      <w:bookmarkEnd w:id="34"/>
      <w:bookmarkEnd w:id="35"/>
    </w:p>
    <w:p>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1、是否出现明显的倾向性意见和特定的性能指标；</w:t>
      </w:r>
    </w:p>
    <w:p>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2、投标供应商资格条件是否具有明显倾向性和歧视性；</w:t>
      </w:r>
    </w:p>
    <w:p>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3、影响</w:t>
      </w:r>
      <w:r>
        <w:rPr>
          <w:rFonts w:hint="eastAsia" w:ascii="宋体" w:hAnsi="宋体" w:eastAsia="宋体" w:cs="宋体"/>
          <w:bCs/>
          <w:color w:val="auto"/>
          <w:kern w:val="0"/>
          <w:sz w:val="21"/>
          <w:szCs w:val="21"/>
          <w:highlight w:val="none"/>
          <w:lang w:eastAsia="zh-CN"/>
        </w:rPr>
        <w:t>招标</w:t>
      </w:r>
      <w:r>
        <w:rPr>
          <w:rFonts w:hint="eastAsia" w:ascii="宋体" w:hAnsi="宋体" w:eastAsia="宋体" w:cs="宋体"/>
          <w:bCs/>
          <w:color w:val="auto"/>
          <w:kern w:val="0"/>
          <w:sz w:val="21"/>
          <w:szCs w:val="21"/>
          <w:highlight w:val="none"/>
        </w:rPr>
        <w:t>“公开、公平、公正”原则的其他情况。</w:t>
      </w:r>
    </w:p>
    <w:p>
      <w:pPr>
        <w:keepNext w:val="0"/>
        <w:keepLines w:val="0"/>
        <w:pageBreakBefore w:val="0"/>
        <w:widowControl/>
        <w:kinsoku/>
        <w:wordWrap/>
        <w:overflowPunct/>
        <w:topLinePunct w:val="0"/>
        <w:autoSpaceDE/>
        <w:autoSpaceDN/>
        <w:bidi w:val="0"/>
        <w:adjustRightInd/>
        <w:snapToGrid w:val="0"/>
        <w:spacing w:afterAutospacing="0" w:line="360" w:lineRule="auto"/>
        <w:ind w:right="62"/>
        <w:jc w:val="left"/>
        <w:textAlignment w:val="auto"/>
        <w:outlineLvl w:val="1"/>
        <w:rPr>
          <w:rFonts w:hint="eastAsia" w:ascii="宋体" w:hAnsi="宋体" w:eastAsia="宋体" w:cs="宋体"/>
          <w:b/>
          <w:color w:val="auto"/>
          <w:kern w:val="0"/>
          <w:sz w:val="21"/>
          <w:szCs w:val="21"/>
          <w:highlight w:val="none"/>
        </w:rPr>
      </w:pPr>
      <w:bookmarkStart w:id="36" w:name="_Toc25914"/>
      <w:bookmarkStart w:id="37" w:name="_Toc25362"/>
      <w:r>
        <w:rPr>
          <w:rFonts w:hint="eastAsia" w:ascii="宋体" w:hAnsi="宋体" w:eastAsia="宋体" w:cs="宋体"/>
          <w:b/>
          <w:color w:val="auto"/>
          <w:kern w:val="0"/>
          <w:sz w:val="21"/>
          <w:szCs w:val="21"/>
          <w:highlight w:val="none"/>
        </w:rPr>
        <w:t>二、征求意见的回复：</w:t>
      </w:r>
      <w:bookmarkEnd w:id="36"/>
      <w:bookmarkEnd w:id="37"/>
    </w:p>
    <w:p>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rPr>
        <w:t>各供应商及专家提出修改理由和建议的，请于</w:t>
      </w:r>
      <w:r>
        <w:rPr>
          <w:rFonts w:hint="eastAsia" w:ascii="宋体" w:hAnsi="宋体" w:eastAsia="宋体" w:cs="宋体"/>
          <w:bCs/>
          <w:color w:val="auto"/>
          <w:kern w:val="0"/>
          <w:sz w:val="21"/>
          <w:szCs w:val="21"/>
          <w:highlight w:val="none"/>
          <w:lang w:eastAsia="zh-CN"/>
        </w:rPr>
        <w:t>202</w:t>
      </w:r>
      <w:r>
        <w:rPr>
          <w:rFonts w:hint="eastAsia" w:ascii="宋体" w:hAnsi="宋体" w:eastAsia="宋体" w:cs="宋体"/>
          <w:bCs/>
          <w:color w:val="auto"/>
          <w:kern w:val="0"/>
          <w:sz w:val="21"/>
          <w:szCs w:val="21"/>
          <w:highlight w:val="none"/>
          <w:lang w:val="en-US" w:eastAsia="zh-CN"/>
        </w:rPr>
        <w:t>5</w:t>
      </w:r>
      <w:r>
        <w:rPr>
          <w:rFonts w:hint="eastAsia" w:ascii="宋体" w:hAnsi="宋体" w:eastAsia="宋体" w:cs="宋体"/>
          <w:bCs/>
          <w:color w:val="auto"/>
          <w:kern w:val="0"/>
          <w:sz w:val="21"/>
          <w:szCs w:val="21"/>
          <w:highlight w:val="none"/>
          <w:lang w:eastAsia="zh-CN"/>
        </w:rPr>
        <w:t>年</w:t>
      </w:r>
      <w:r>
        <w:rPr>
          <w:rFonts w:hint="eastAsia" w:ascii="宋体" w:hAnsi="宋体" w:cs="宋体"/>
          <w:bCs/>
          <w:color w:val="auto"/>
          <w:kern w:val="0"/>
          <w:sz w:val="21"/>
          <w:szCs w:val="21"/>
          <w:highlight w:val="none"/>
          <w:lang w:val="en-US" w:eastAsia="zh-CN"/>
        </w:rPr>
        <w:t>11</w:t>
      </w:r>
      <w:r>
        <w:rPr>
          <w:rFonts w:hint="eastAsia" w:ascii="宋体" w:hAnsi="宋体" w:eastAsia="宋体" w:cs="宋体"/>
          <w:bCs/>
          <w:color w:val="auto"/>
          <w:kern w:val="0"/>
          <w:sz w:val="21"/>
          <w:szCs w:val="21"/>
          <w:highlight w:val="none"/>
          <w:lang w:val="en-US" w:eastAsia="zh-CN"/>
        </w:rPr>
        <w:t>月</w:t>
      </w:r>
      <w:r>
        <w:rPr>
          <w:rFonts w:hint="eastAsia" w:ascii="宋体" w:hAnsi="宋体" w:cs="宋体"/>
          <w:bCs/>
          <w:color w:val="auto"/>
          <w:kern w:val="0"/>
          <w:sz w:val="21"/>
          <w:szCs w:val="21"/>
          <w:highlight w:val="none"/>
          <w:lang w:val="en-US" w:eastAsia="zh-CN"/>
        </w:rPr>
        <w:t>14</w:t>
      </w:r>
      <w:r>
        <w:rPr>
          <w:rFonts w:hint="eastAsia" w:ascii="宋体" w:hAnsi="宋体" w:eastAsia="宋体" w:cs="宋体"/>
          <w:bCs/>
          <w:color w:val="auto"/>
          <w:kern w:val="0"/>
          <w:sz w:val="21"/>
          <w:szCs w:val="21"/>
          <w:highlight w:val="none"/>
          <w:lang w:val="en-US" w:eastAsia="zh-CN"/>
        </w:rPr>
        <w:t>日</w:t>
      </w:r>
      <w:r>
        <w:rPr>
          <w:rFonts w:hint="eastAsia" w:ascii="宋体" w:hAnsi="宋体" w:eastAsia="宋体" w:cs="宋体"/>
          <w:bCs/>
          <w:color w:val="auto"/>
          <w:kern w:val="0"/>
          <w:sz w:val="21"/>
          <w:szCs w:val="21"/>
          <w:highlight w:val="none"/>
        </w:rPr>
        <w:t>下午17:00前（节假日除外）将书面材料签字（盖公章）并密封后送至</w:t>
      </w:r>
      <w:r>
        <w:rPr>
          <w:rFonts w:hint="eastAsia" w:ascii="宋体" w:hAnsi="宋体" w:eastAsia="宋体" w:cs="宋体"/>
          <w:bCs/>
          <w:color w:val="auto"/>
          <w:kern w:val="0"/>
          <w:sz w:val="21"/>
          <w:szCs w:val="21"/>
          <w:highlight w:val="none"/>
          <w:lang w:eastAsia="zh-CN"/>
        </w:rPr>
        <w:t>温州市兴城工程造价审计咨询事务所（普通合伙）</w:t>
      </w:r>
      <w:r>
        <w:rPr>
          <w:rFonts w:hint="eastAsia" w:ascii="宋体" w:hAnsi="宋体" w:eastAsia="宋体" w:cs="宋体"/>
          <w:bCs/>
          <w:color w:val="auto"/>
          <w:kern w:val="0"/>
          <w:sz w:val="21"/>
          <w:szCs w:val="21"/>
          <w:highlight w:val="none"/>
        </w:rPr>
        <w:t>，外地可将电子文档（签章）发送至以下信箱：</w:t>
      </w:r>
      <w:r>
        <w:rPr>
          <w:rFonts w:hint="eastAsia" w:ascii="宋体" w:hAnsi="宋体" w:eastAsia="宋体" w:cs="宋体"/>
          <w:bCs/>
          <w:color w:val="auto"/>
          <w:kern w:val="0"/>
          <w:szCs w:val="21"/>
          <w:highlight w:val="none"/>
          <w:lang w:eastAsia="zh-CN"/>
        </w:rPr>
        <w:t>1589009783@qq.com</w:t>
      </w:r>
      <w:r>
        <w:rPr>
          <w:rFonts w:hint="eastAsia" w:ascii="宋体" w:hAnsi="宋体" w:eastAsia="宋体" w:cs="宋体"/>
          <w:bCs/>
          <w:color w:val="auto"/>
          <w:kern w:val="0"/>
          <w:sz w:val="21"/>
          <w:szCs w:val="21"/>
          <w:highlight w:val="none"/>
        </w:rPr>
        <w:t>或邮寄至我公司。</w:t>
      </w:r>
    </w:p>
    <w:p>
      <w:pPr>
        <w:keepNext w:val="0"/>
        <w:keepLines w:val="0"/>
        <w:pageBreakBefore w:val="0"/>
        <w:widowControl/>
        <w:kinsoku/>
        <w:wordWrap/>
        <w:overflowPunct/>
        <w:topLinePunct w:val="0"/>
        <w:autoSpaceDE/>
        <w:autoSpaceDN/>
        <w:bidi w:val="0"/>
        <w:adjustRightInd/>
        <w:snapToGrid w:val="0"/>
        <w:spacing w:afterAutospacing="0"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三、联系方式：</w:t>
      </w:r>
    </w:p>
    <w:p>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u w:val="none"/>
          <w:lang w:val="en-US" w:eastAsia="zh-CN"/>
        </w:rPr>
        <w:t>金奇云、郑凯挺</w:t>
      </w:r>
    </w:p>
    <w:p>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联系电话：</w:t>
      </w:r>
      <w:r>
        <w:rPr>
          <w:rFonts w:hint="eastAsia" w:ascii="宋体" w:hAnsi="宋体" w:eastAsia="宋体" w:cs="宋体"/>
          <w:color w:val="auto"/>
          <w:sz w:val="21"/>
          <w:szCs w:val="21"/>
          <w:highlight w:val="none"/>
          <w:u w:val="none"/>
          <w:lang w:val="en-US" w:eastAsia="zh-CN"/>
        </w:rPr>
        <w:t>0577-88370285、13634235000</w:t>
      </w:r>
    </w:p>
    <w:p>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联系地址：</w:t>
      </w:r>
      <w:r>
        <w:rPr>
          <w:rFonts w:hint="eastAsia" w:ascii="宋体" w:hAnsi="宋体" w:eastAsia="宋体" w:cs="宋体"/>
          <w:color w:val="auto"/>
          <w:sz w:val="21"/>
          <w:szCs w:val="21"/>
          <w:highlight w:val="none"/>
          <w:u w:val="none"/>
          <w:lang w:eastAsia="zh-CN"/>
        </w:rPr>
        <w:t>温州市</w:t>
      </w:r>
      <w:bookmarkStart w:id="395" w:name="_GoBack"/>
      <w:bookmarkEnd w:id="395"/>
      <w:r>
        <w:rPr>
          <w:rFonts w:hint="eastAsia" w:ascii="宋体" w:hAnsi="宋体" w:eastAsia="宋体" w:cs="宋体"/>
          <w:color w:val="auto"/>
          <w:sz w:val="21"/>
          <w:szCs w:val="21"/>
          <w:highlight w:val="none"/>
          <w:u w:val="none"/>
          <w:lang w:eastAsia="zh-CN"/>
        </w:rPr>
        <w:t>车站大道大诚商厦E幢702室</w:t>
      </w:r>
    </w:p>
    <w:p>
      <w:pPr>
        <w:keepNext w:val="0"/>
        <w:keepLines w:val="0"/>
        <w:pageBreakBefore w:val="0"/>
        <w:widowControl/>
        <w:kinsoku/>
        <w:wordWrap/>
        <w:overflowPunct/>
        <w:topLinePunct w:val="0"/>
        <w:autoSpaceDE/>
        <w:autoSpaceDN/>
        <w:bidi w:val="0"/>
        <w:adjustRightInd/>
        <w:snapToGrid w:val="0"/>
        <w:spacing w:afterAutospacing="0" w:line="360" w:lineRule="auto"/>
        <w:ind w:firstLine="405" w:firstLineChars="193"/>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对逾期送达的意见、建议书恕不接受。</w:t>
      </w:r>
    </w:p>
    <w:p>
      <w:pPr>
        <w:keepNext w:val="0"/>
        <w:keepLines w:val="0"/>
        <w:pageBreakBefore w:val="0"/>
        <w:widowControl/>
        <w:kinsoku/>
        <w:wordWrap/>
        <w:overflowPunct/>
        <w:topLinePunct w:val="0"/>
        <w:autoSpaceDE/>
        <w:autoSpaceDN/>
        <w:bidi w:val="0"/>
        <w:adjustRightInd/>
        <w:snapToGrid w:val="0"/>
        <w:spacing w:afterAutospacing="0"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四、附件：</w:t>
      </w:r>
    </w:p>
    <w:p>
      <w:pPr>
        <w:keepNext w:val="0"/>
        <w:keepLines w:val="0"/>
        <w:pageBreakBefore w:val="0"/>
        <w:widowControl/>
        <w:kinsoku/>
        <w:wordWrap/>
        <w:overflowPunct/>
        <w:topLinePunct w:val="0"/>
        <w:autoSpaceDE/>
        <w:autoSpaceDN/>
        <w:bidi w:val="0"/>
        <w:adjustRightInd/>
        <w:snapToGrid w:val="0"/>
        <w:spacing w:afterAutospacing="0" w:line="360" w:lineRule="auto"/>
        <w:ind w:firstLine="407" w:firstLineChars="193"/>
        <w:jc w:val="left"/>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采购文件</w:t>
      </w:r>
    </w:p>
    <w:p>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right"/>
        <w:textAlignment w:val="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eastAsia="zh-CN"/>
        </w:rPr>
        <w:t>温州瓯瓷产业发展有限公司</w:t>
      </w:r>
    </w:p>
    <w:p>
      <w:pPr>
        <w:keepNext w:val="0"/>
        <w:keepLines w:val="0"/>
        <w:pageBreakBefore w:val="0"/>
        <w:widowControl/>
        <w:kinsoku/>
        <w:wordWrap/>
        <w:overflowPunct/>
        <w:topLinePunct w:val="0"/>
        <w:autoSpaceDE/>
        <w:autoSpaceDN/>
        <w:bidi w:val="0"/>
        <w:adjustRightInd/>
        <w:snapToGrid w:val="0"/>
        <w:spacing w:afterAutospacing="0" w:line="360" w:lineRule="auto"/>
        <w:ind w:left="62" w:right="62" w:firstLine="420" w:firstLineChars="200"/>
        <w:jc w:val="right"/>
        <w:textAlignment w:val="auto"/>
        <w:rPr>
          <w:rFonts w:hint="eastAsia" w:ascii="宋体" w:hAnsi="宋体" w:eastAsia="宋体" w:cs="宋体"/>
          <w:bCs/>
          <w:color w:val="auto"/>
          <w:kern w:val="0"/>
          <w:sz w:val="21"/>
          <w:szCs w:val="21"/>
          <w:highlight w:val="none"/>
          <w:lang w:eastAsia="zh-CN"/>
        </w:rPr>
      </w:pPr>
      <w:r>
        <w:rPr>
          <w:rFonts w:hint="eastAsia" w:ascii="宋体" w:hAnsi="宋体" w:eastAsia="宋体" w:cs="宋体"/>
          <w:bCs/>
          <w:color w:val="auto"/>
          <w:kern w:val="0"/>
          <w:sz w:val="21"/>
          <w:szCs w:val="21"/>
          <w:highlight w:val="none"/>
          <w:lang w:eastAsia="zh-CN"/>
        </w:rPr>
        <w:t>温州市兴城工程造价审计咨询事务所（普通合伙）</w:t>
      </w:r>
    </w:p>
    <w:p>
      <w:pPr>
        <w:keepNext w:val="0"/>
        <w:keepLines w:val="0"/>
        <w:pageBreakBefore w:val="0"/>
        <w:widowControl/>
        <w:kinsoku/>
        <w:wordWrap/>
        <w:overflowPunct/>
        <w:topLinePunct w:val="0"/>
        <w:autoSpaceDE/>
        <w:autoSpaceDN/>
        <w:bidi w:val="0"/>
        <w:adjustRightInd/>
        <w:snapToGrid w:val="0"/>
        <w:spacing w:afterAutospacing="0" w:line="360" w:lineRule="auto"/>
        <w:ind w:firstLine="403" w:firstLineChars="192"/>
        <w:jc w:val="right"/>
        <w:textAlignment w:val="auto"/>
        <w:rPr>
          <w:rFonts w:hint="eastAsia" w:ascii="宋体" w:hAnsi="宋体" w:eastAsia="宋体" w:cs="宋体"/>
          <w:b/>
          <w:bCs/>
          <w:color w:val="auto"/>
          <w:sz w:val="36"/>
          <w:highlight w:val="none"/>
          <w:lang w:eastAsia="zh-CN"/>
        </w:rPr>
      </w:pPr>
      <w:r>
        <w:rPr>
          <w:rFonts w:hint="eastAsia" w:ascii="宋体" w:hAnsi="宋体" w:cs="宋体"/>
          <w:bCs/>
          <w:color w:val="auto"/>
          <w:kern w:val="0"/>
          <w:sz w:val="21"/>
          <w:szCs w:val="21"/>
          <w:highlight w:val="none"/>
          <w:lang w:eastAsia="zh-CN"/>
        </w:rPr>
        <w:t>2025年11月10日</w:t>
      </w:r>
    </w:p>
    <w:p>
      <w:pPr>
        <w:keepNext w:val="0"/>
        <w:keepLines w:val="0"/>
        <w:pageBreakBefore w:val="0"/>
        <w:kinsoku/>
        <w:topLinePunct w:val="0"/>
        <w:bidi w:val="0"/>
        <w:snapToGrid w:val="0"/>
        <w:spacing w:afterAutospacing="0" w:line="360" w:lineRule="auto"/>
        <w:rPr>
          <w:rFonts w:hint="eastAsia" w:ascii="宋体" w:hAnsi="宋体" w:eastAsia="宋体" w:cs="宋体"/>
          <w:color w:val="auto"/>
          <w:highlight w:val="none"/>
        </w:rPr>
      </w:pPr>
    </w:p>
    <w:p>
      <w:pPr>
        <w:pStyle w:val="20"/>
        <w:spacing w:after="50" w:line="360" w:lineRule="auto"/>
        <w:ind w:firstLine="0"/>
        <w:jc w:val="center"/>
        <w:outlineLvl w:val="0"/>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br w:type="page"/>
      </w:r>
      <w:bookmarkStart w:id="38" w:name="_Toc20657"/>
      <w:bookmarkStart w:id="39" w:name="_Toc13123"/>
      <w:bookmarkStart w:id="40" w:name="_Toc24144"/>
      <w:bookmarkStart w:id="41" w:name="_Toc21914"/>
      <w:bookmarkStart w:id="42" w:name="_Toc31644"/>
      <w:r>
        <w:rPr>
          <w:rFonts w:hint="eastAsia" w:ascii="宋体" w:hAnsi="宋体" w:eastAsia="宋体" w:cs="宋体"/>
          <w:b/>
          <w:bCs/>
          <w:color w:val="auto"/>
          <w:szCs w:val="28"/>
          <w:highlight w:val="none"/>
        </w:rPr>
        <w:t>第二部分  投标须知及前附表</w:t>
      </w:r>
      <w:bookmarkEnd w:id="38"/>
      <w:bookmarkEnd w:id="39"/>
      <w:bookmarkEnd w:id="40"/>
    </w:p>
    <w:p>
      <w:pPr>
        <w:pStyle w:val="20"/>
        <w:spacing w:after="50" w:line="360" w:lineRule="auto"/>
        <w:ind w:firstLine="0"/>
        <w:jc w:val="center"/>
        <w:outlineLvl w:val="1"/>
        <w:rPr>
          <w:rFonts w:hint="eastAsia" w:ascii="宋体" w:hAnsi="宋体" w:eastAsia="宋体" w:cs="宋体"/>
          <w:b/>
          <w:bCs/>
          <w:color w:val="auto"/>
          <w:sz w:val="24"/>
          <w:highlight w:val="none"/>
        </w:rPr>
      </w:pPr>
      <w:bookmarkStart w:id="43" w:name="_Toc11680"/>
      <w:r>
        <w:rPr>
          <w:rFonts w:hint="eastAsia" w:ascii="宋体" w:hAnsi="宋体" w:eastAsia="宋体" w:cs="宋体"/>
          <w:b/>
          <w:bCs/>
          <w:color w:val="auto"/>
          <w:sz w:val="24"/>
          <w:highlight w:val="none"/>
        </w:rPr>
        <w:t>（一）投标须知前附表</w:t>
      </w:r>
      <w:bookmarkEnd w:id="41"/>
      <w:bookmarkEnd w:id="42"/>
      <w:bookmarkEnd w:id="43"/>
    </w:p>
    <w:tbl>
      <w:tblPr>
        <w:tblStyle w:val="49"/>
        <w:tblW w:w="92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57" w:type="dxa"/>
          <w:left w:w="108" w:type="dxa"/>
          <w:bottom w:w="57" w:type="dxa"/>
          <w:right w:w="108" w:type="dxa"/>
        </w:tblCellMar>
      </w:tblPr>
      <w:tblGrid>
        <w:gridCol w:w="645"/>
        <w:gridCol w:w="2009"/>
        <w:gridCol w:w="66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30" w:hRule="atLeast"/>
          <w:jc w:val="center"/>
        </w:trPr>
        <w:tc>
          <w:tcPr>
            <w:tcW w:w="645" w:type="dxa"/>
            <w:vAlign w:val="center"/>
          </w:tcPr>
          <w:p>
            <w:pPr>
              <w:spacing w:line="276"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项号</w:t>
            </w:r>
          </w:p>
        </w:tc>
        <w:tc>
          <w:tcPr>
            <w:tcW w:w="2009" w:type="dxa"/>
            <w:vAlign w:val="center"/>
          </w:tcPr>
          <w:p>
            <w:pPr>
              <w:spacing w:line="276"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6620" w:type="dxa"/>
            <w:vAlign w:val="center"/>
          </w:tcPr>
          <w:p>
            <w:pPr>
              <w:spacing w:line="276"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9"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6620" w:type="dxa"/>
            <w:vAlign w:val="center"/>
          </w:tcPr>
          <w:p>
            <w:pPr>
              <w:spacing w:line="276" w:lineRule="auto"/>
              <w:rPr>
                <w:rFonts w:hint="eastAsia" w:ascii="宋体" w:hAnsi="宋体" w:eastAsia="宋体" w:cs="宋体"/>
                <w:color w:val="auto"/>
                <w:szCs w:val="21"/>
                <w:highlight w:val="none"/>
                <w:lang w:val="en-US"/>
              </w:rPr>
            </w:pPr>
            <w:r>
              <w:rPr>
                <w:rFonts w:hint="eastAsia" w:ascii="宋体" w:hAnsi="宋体" w:cs="宋体"/>
                <w:bCs/>
                <w:color w:val="auto"/>
                <w:kern w:val="0"/>
                <w:szCs w:val="21"/>
                <w:highlight w:val="none"/>
                <w:lang w:eastAsia="zh-CN"/>
              </w:rPr>
              <w:t>瓯窑产业化项目研发生产提效设备-陶艺工作室仪器设备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09"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009" w:type="dxa"/>
            <w:vAlign w:val="center"/>
          </w:tcPr>
          <w:p>
            <w:pPr>
              <w:spacing w:line="276"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项目编号</w:t>
            </w:r>
          </w:p>
        </w:tc>
        <w:tc>
          <w:tcPr>
            <w:tcW w:w="6620" w:type="dxa"/>
            <w:vAlign w:val="center"/>
          </w:tcPr>
          <w:p>
            <w:pPr>
              <w:spacing w:line="276" w:lineRule="auto"/>
              <w:rPr>
                <w:rFonts w:hint="eastAsia" w:ascii="宋体" w:hAnsi="宋体" w:eastAsia="宋体" w:cs="宋体"/>
                <w:bCs/>
                <w:color w:val="auto"/>
                <w:kern w:val="0"/>
                <w:szCs w:val="21"/>
                <w:highlight w:val="none"/>
                <w:lang w:val="en-US" w:eastAsia="zh-CN"/>
              </w:rPr>
            </w:pPr>
            <w:r>
              <w:rPr>
                <w:rFonts w:hint="eastAsia" w:ascii="宋体" w:hAnsi="宋体" w:cs="宋体"/>
                <w:bCs/>
                <w:color w:val="auto"/>
                <w:kern w:val="0"/>
                <w:szCs w:val="21"/>
                <w:highlight w:val="none"/>
                <w:lang w:val="en-US" w:eastAsia="zh-CN"/>
              </w:rPr>
              <w:t>WGSS-GYNY-Z-2025018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1200"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009" w:type="dxa"/>
            <w:vAlign w:val="center"/>
          </w:tcPr>
          <w:p>
            <w:pPr>
              <w:adjustRightInd w:val="0"/>
              <w:spacing w:line="276"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采购人</w:t>
            </w:r>
          </w:p>
        </w:tc>
        <w:tc>
          <w:tcPr>
            <w:tcW w:w="6620" w:type="dxa"/>
            <w:vAlign w:val="center"/>
          </w:tcPr>
          <w:p>
            <w:pPr>
              <w:spacing w:line="276" w:lineRule="auto"/>
              <w:jc w:val="left"/>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名称：</w:t>
            </w:r>
            <w:r>
              <w:rPr>
                <w:rFonts w:hint="eastAsia" w:ascii="宋体" w:hAnsi="宋体" w:eastAsia="宋体" w:cs="宋体"/>
                <w:color w:val="auto"/>
                <w:szCs w:val="21"/>
                <w:highlight w:val="none"/>
                <w:lang w:eastAsia="zh-CN"/>
              </w:rPr>
              <w:t>温州瓯瓷产业发展有限公司</w:t>
            </w:r>
          </w:p>
          <w:p>
            <w:pPr>
              <w:spacing w:line="276" w:lineRule="auto"/>
              <w:jc w:val="left"/>
              <w:rPr>
                <w:rFonts w:hint="eastAsia" w:ascii="宋体" w:hAnsi="宋体" w:eastAsia="宋体" w:cs="宋体"/>
                <w:color w:val="auto"/>
                <w:kern w:val="0"/>
                <w:szCs w:val="21"/>
                <w:highlight w:val="none"/>
                <w:lang w:val="en-US"/>
              </w:rPr>
            </w:pPr>
            <w:r>
              <w:rPr>
                <w:rFonts w:hint="eastAsia" w:ascii="宋体" w:hAnsi="宋体" w:eastAsia="宋体" w:cs="宋体"/>
                <w:color w:val="auto"/>
                <w:kern w:val="0"/>
                <w:szCs w:val="21"/>
                <w:highlight w:val="none"/>
              </w:rPr>
              <w:t>联系人：黄奔奔</w:t>
            </w:r>
          </w:p>
          <w:p>
            <w:pPr>
              <w:spacing w:line="276"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rPr>
              <w:t>联系电话：17357785655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30"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2009" w:type="dxa"/>
            <w:vAlign w:val="center"/>
          </w:tcPr>
          <w:p>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招标代理机构</w:t>
            </w:r>
          </w:p>
        </w:tc>
        <w:tc>
          <w:tcPr>
            <w:tcW w:w="6620" w:type="dxa"/>
            <w:vAlign w:val="center"/>
          </w:tcPr>
          <w:p>
            <w:pPr>
              <w:adjustRightInd w:val="0"/>
              <w:spacing w:line="360" w:lineRule="auto"/>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名称：</w:t>
            </w:r>
            <w:r>
              <w:rPr>
                <w:rFonts w:hint="eastAsia" w:ascii="宋体" w:hAnsi="宋体" w:eastAsia="宋体" w:cs="宋体"/>
                <w:bCs/>
                <w:color w:val="auto"/>
                <w:kern w:val="0"/>
                <w:szCs w:val="21"/>
                <w:highlight w:val="none"/>
                <w:lang w:eastAsia="zh-CN"/>
              </w:rPr>
              <w:t>温州市兴城工程造价审计咨询事务所（普通合伙）</w:t>
            </w:r>
          </w:p>
          <w:p>
            <w:pPr>
              <w:adjustRightInd w:val="0"/>
              <w:spacing w:line="360" w:lineRule="auto"/>
              <w:rPr>
                <w:rFonts w:hint="eastAsia" w:ascii="宋体" w:hAnsi="宋体" w:eastAsia="宋体" w:cs="宋体"/>
                <w:bCs/>
                <w:color w:val="auto"/>
                <w:kern w:val="0"/>
                <w:szCs w:val="21"/>
                <w:highlight w:val="none"/>
                <w:lang w:eastAsia="zh-CN"/>
              </w:rPr>
            </w:pPr>
            <w:r>
              <w:rPr>
                <w:rFonts w:hint="eastAsia" w:ascii="宋体" w:hAnsi="宋体" w:eastAsia="宋体" w:cs="宋体"/>
                <w:bCs/>
                <w:color w:val="auto"/>
                <w:kern w:val="0"/>
                <w:szCs w:val="21"/>
                <w:highlight w:val="none"/>
              </w:rPr>
              <w:t>地址：</w:t>
            </w:r>
            <w:r>
              <w:rPr>
                <w:rFonts w:hint="eastAsia" w:ascii="宋体" w:hAnsi="宋体" w:eastAsia="宋体" w:cs="宋体"/>
                <w:color w:val="auto"/>
                <w:szCs w:val="21"/>
                <w:highlight w:val="none"/>
                <w:lang w:eastAsia="zh-CN"/>
              </w:rPr>
              <w:t>温州市车站大道大诚商厦E幢702室</w:t>
            </w:r>
          </w:p>
          <w:p>
            <w:pPr>
              <w:spacing w:line="360" w:lineRule="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联系人：</w:t>
            </w:r>
            <w:r>
              <w:rPr>
                <w:rFonts w:hint="eastAsia" w:ascii="宋体" w:hAnsi="宋体" w:eastAsia="宋体" w:cs="宋体"/>
                <w:color w:val="auto"/>
                <w:szCs w:val="21"/>
                <w:highlight w:val="none"/>
                <w:lang w:val="en-US" w:eastAsia="zh-CN"/>
              </w:rPr>
              <w:t>金奇云、郑凯挺</w:t>
            </w:r>
          </w:p>
          <w:p>
            <w:pPr>
              <w:spacing w:line="276" w:lineRule="auto"/>
              <w:jc w:val="left"/>
              <w:rPr>
                <w:rFonts w:hint="eastAsia" w:ascii="宋体" w:hAnsi="宋体" w:eastAsia="宋体" w:cs="宋体"/>
                <w:bCs/>
                <w:color w:val="auto"/>
                <w:kern w:val="0"/>
                <w:szCs w:val="21"/>
                <w:highlight w:val="none"/>
                <w:lang w:val="en-US" w:eastAsia="zh-CN"/>
              </w:rPr>
            </w:pPr>
            <w:r>
              <w:rPr>
                <w:rFonts w:hint="eastAsia" w:ascii="宋体" w:hAnsi="宋体" w:eastAsia="宋体" w:cs="宋体"/>
                <w:color w:val="auto"/>
                <w:szCs w:val="21"/>
                <w:highlight w:val="none"/>
              </w:rPr>
              <w:t>联系电话：</w:t>
            </w:r>
            <w:r>
              <w:rPr>
                <w:rFonts w:hint="eastAsia" w:ascii="宋体" w:hAnsi="宋体" w:eastAsia="宋体" w:cs="宋体"/>
                <w:color w:val="auto"/>
                <w:sz w:val="21"/>
                <w:szCs w:val="21"/>
                <w:highlight w:val="none"/>
                <w:u w:val="none"/>
                <w:lang w:val="en-US" w:eastAsia="zh-CN"/>
              </w:rPr>
              <w:t>0577-88370285、13634235000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84"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采购</w:t>
            </w:r>
            <w:r>
              <w:rPr>
                <w:rFonts w:hint="eastAsia" w:ascii="宋体" w:hAnsi="宋体" w:eastAsia="宋体" w:cs="宋体"/>
                <w:color w:val="auto"/>
                <w:szCs w:val="21"/>
                <w:highlight w:val="none"/>
              </w:rPr>
              <w:t>内容</w:t>
            </w:r>
          </w:p>
        </w:tc>
        <w:tc>
          <w:tcPr>
            <w:tcW w:w="6620" w:type="dxa"/>
            <w:vAlign w:val="center"/>
          </w:tcPr>
          <w:p>
            <w:pPr>
              <w:spacing w:line="276" w:lineRule="auto"/>
              <w:jc w:val="left"/>
              <w:rPr>
                <w:rFonts w:hint="eastAsia" w:ascii="宋体" w:hAnsi="宋体" w:eastAsia="宋体" w:cs="宋体"/>
                <w:color w:val="auto"/>
                <w:spacing w:val="-2"/>
                <w:szCs w:val="21"/>
                <w:highlight w:val="none"/>
              </w:rPr>
            </w:pPr>
            <w:r>
              <w:rPr>
                <w:rFonts w:hint="eastAsia" w:ascii="宋体" w:hAnsi="宋体" w:cs="宋体"/>
                <w:color w:val="auto"/>
                <w:szCs w:val="21"/>
                <w:highlight w:val="none"/>
                <w:lang w:eastAsia="zh-CN"/>
              </w:rPr>
              <w:t>瓯窑产业化项目研发生产提效设备-陶艺工作室仪器设备</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详见本招标文件第三部分。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928"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2009" w:type="dxa"/>
            <w:vAlign w:val="center"/>
          </w:tcPr>
          <w:p>
            <w:pPr>
              <w:spacing w:line="276" w:lineRule="auto"/>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投标供应商</w:t>
            </w:r>
          </w:p>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资格要求</w:t>
            </w:r>
          </w:p>
        </w:tc>
        <w:tc>
          <w:tcPr>
            <w:tcW w:w="6620" w:type="dxa"/>
            <w:vAlign w:val="center"/>
          </w:tcPr>
          <w:p>
            <w:pPr>
              <w:spacing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eastAsia="zh-CN"/>
              </w:rPr>
              <w:t>详见采购公告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577"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2009" w:type="dxa"/>
            <w:vAlign w:val="center"/>
          </w:tcPr>
          <w:p>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是否接受联合体投标</w:t>
            </w:r>
          </w:p>
        </w:tc>
        <w:tc>
          <w:tcPr>
            <w:tcW w:w="6620" w:type="dxa"/>
            <w:vAlign w:val="center"/>
          </w:tcPr>
          <w:p>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fldChar w:fldCharType="begin"/>
            </w:r>
            <w:r>
              <w:rPr>
                <w:rFonts w:hint="eastAsia" w:ascii="宋体" w:hAnsi="宋体" w:eastAsia="宋体" w:cs="宋体"/>
                <w:bCs/>
                <w:color w:val="auto"/>
                <w:kern w:val="0"/>
                <w:szCs w:val="21"/>
                <w:highlight w:val="none"/>
              </w:rPr>
              <w:instrText xml:space="preserve"> eq \o\ac(□,√)</w:instrText>
            </w:r>
            <w:r>
              <w:rPr>
                <w:rFonts w:hint="eastAsia" w:ascii="宋体" w:hAnsi="宋体" w:eastAsia="宋体" w:cs="宋体"/>
                <w:bCs/>
                <w:color w:val="auto"/>
                <w:kern w:val="0"/>
                <w:szCs w:val="21"/>
                <w:highlight w:val="none"/>
              </w:rPr>
              <w:fldChar w:fldCharType="end"/>
            </w:r>
            <w:r>
              <w:rPr>
                <w:rFonts w:hint="eastAsia" w:ascii="宋体" w:hAnsi="宋体" w:eastAsia="宋体" w:cs="宋体"/>
                <w:bCs/>
                <w:color w:val="auto"/>
                <w:kern w:val="0"/>
                <w:szCs w:val="21"/>
                <w:highlight w:val="none"/>
              </w:rPr>
              <w:t>不接受</w:t>
            </w:r>
          </w:p>
          <w:p>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533"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2009" w:type="dxa"/>
            <w:vAlign w:val="center"/>
          </w:tcPr>
          <w:p>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踏勘现场</w:t>
            </w:r>
          </w:p>
        </w:tc>
        <w:tc>
          <w:tcPr>
            <w:tcW w:w="6620" w:type="dxa"/>
            <w:vAlign w:val="center"/>
          </w:tcPr>
          <w:p>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fldChar w:fldCharType="begin"/>
            </w:r>
            <w:r>
              <w:rPr>
                <w:rFonts w:hint="eastAsia" w:ascii="宋体" w:hAnsi="宋体" w:eastAsia="宋体" w:cs="宋体"/>
                <w:bCs/>
                <w:color w:val="auto"/>
                <w:kern w:val="0"/>
                <w:szCs w:val="21"/>
                <w:highlight w:val="none"/>
              </w:rPr>
              <w:instrText xml:space="preserve"> eq \o\ac(□,√)</w:instrText>
            </w:r>
            <w:r>
              <w:rPr>
                <w:rFonts w:hint="eastAsia" w:ascii="宋体" w:hAnsi="宋体" w:eastAsia="宋体" w:cs="宋体"/>
                <w:bCs/>
                <w:color w:val="auto"/>
                <w:kern w:val="0"/>
                <w:szCs w:val="21"/>
                <w:highlight w:val="none"/>
              </w:rPr>
              <w:fldChar w:fldCharType="end"/>
            </w:r>
            <w:r>
              <w:rPr>
                <w:rFonts w:hint="eastAsia" w:ascii="宋体" w:hAnsi="宋体" w:eastAsia="宋体" w:cs="宋体"/>
                <w:bCs/>
                <w:color w:val="auto"/>
                <w:kern w:val="0"/>
                <w:szCs w:val="21"/>
                <w:highlight w:val="none"/>
              </w:rPr>
              <w:t xml:space="preserve"> 自行组织</w:t>
            </w:r>
          </w:p>
          <w:p>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 业主组织    踏勘时间：                 踏勘集中地点：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637"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2009" w:type="dxa"/>
            <w:vAlign w:val="center"/>
          </w:tcPr>
          <w:p>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是否允许递交备选投标方案</w:t>
            </w:r>
          </w:p>
        </w:tc>
        <w:tc>
          <w:tcPr>
            <w:tcW w:w="6620" w:type="dxa"/>
            <w:vAlign w:val="center"/>
          </w:tcPr>
          <w:p>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fldChar w:fldCharType="begin"/>
            </w:r>
            <w:r>
              <w:rPr>
                <w:rFonts w:hint="eastAsia" w:ascii="宋体" w:hAnsi="宋体" w:eastAsia="宋体" w:cs="宋体"/>
                <w:bCs/>
                <w:color w:val="auto"/>
                <w:kern w:val="0"/>
                <w:szCs w:val="21"/>
                <w:highlight w:val="none"/>
              </w:rPr>
              <w:instrText xml:space="preserve"> eq \o\ac(□,√)</w:instrText>
            </w:r>
            <w:r>
              <w:rPr>
                <w:rFonts w:hint="eastAsia" w:ascii="宋体" w:hAnsi="宋体" w:eastAsia="宋体" w:cs="宋体"/>
                <w:bCs/>
                <w:color w:val="auto"/>
                <w:kern w:val="0"/>
                <w:szCs w:val="21"/>
                <w:highlight w:val="none"/>
              </w:rPr>
              <w:fldChar w:fldCharType="end"/>
            </w:r>
            <w:r>
              <w:rPr>
                <w:rFonts w:hint="eastAsia" w:ascii="宋体" w:hAnsi="宋体" w:eastAsia="宋体" w:cs="宋体"/>
                <w:bCs/>
                <w:color w:val="auto"/>
                <w:kern w:val="0"/>
                <w:szCs w:val="21"/>
                <w:highlight w:val="none"/>
              </w:rPr>
              <w:t xml:space="preserve"> 不允许</w:t>
            </w:r>
          </w:p>
          <w:p>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 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81"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2009" w:type="dxa"/>
            <w:vAlign w:val="center"/>
          </w:tcPr>
          <w:p>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投标货币</w:t>
            </w:r>
          </w:p>
        </w:tc>
        <w:tc>
          <w:tcPr>
            <w:tcW w:w="6620" w:type="dxa"/>
            <w:vAlign w:val="center"/>
          </w:tcPr>
          <w:p>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112"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2009" w:type="dxa"/>
            <w:vAlign w:val="center"/>
          </w:tcPr>
          <w:p>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投标语言</w:t>
            </w:r>
          </w:p>
        </w:tc>
        <w:tc>
          <w:tcPr>
            <w:tcW w:w="6620" w:type="dxa"/>
            <w:vAlign w:val="center"/>
          </w:tcPr>
          <w:p>
            <w:pPr>
              <w:adjustRightInd w:val="0"/>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中文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4"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投标文件份数</w:t>
            </w:r>
          </w:p>
        </w:tc>
        <w:tc>
          <w:tcPr>
            <w:tcW w:w="6620" w:type="dxa"/>
            <w:vAlign w:val="center"/>
          </w:tcPr>
          <w:p>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zh-CN"/>
              </w:rPr>
              <w:t>投标文件的形式：电子投标文件（包括“电子加密投标文件”和“备份投标文件”，在投标文件编制完成后同时生成）。</w:t>
            </w:r>
          </w:p>
          <w:p>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（1）“电子加密投标文件”是指通过“电子交易客户端”完成投标文件编制后生成并加密的数据电文形式的投标文件。</w:t>
            </w:r>
            <w:r>
              <w:rPr>
                <w:rFonts w:hint="eastAsia" w:ascii="宋体" w:hAnsi="宋体" w:eastAsia="宋体" w:cs="宋体"/>
                <w:b/>
                <w:bCs/>
                <w:color w:val="auto"/>
                <w:sz w:val="21"/>
                <w:szCs w:val="21"/>
                <w:highlight w:val="none"/>
                <w:u w:val="wave"/>
                <w:lang w:val="zh-CN"/>
              </w:rPr>
              <w:t>“电子加密</w:t>
            </w:r>
            <w:r>
              <w:rPr>
                <w:rFonts w:hint="eastAsia" w:ascii="宋体" w:hAnsi="宋体" w:eastAsia="宋体" w:cs="宋体"/>
                <w:b/>
                <w:bCs/>
                <w:color w:val="auto"/>
                <w:sz w:val="21"/>
                <w:szCs w:val="21"/>
                <w:highlight w:val="none"/>
                <w:u w:val="wave"/>
              </w:rPr>
              <w:t>响应文件</w:t>
            </w:r>
            <w:r>
              <w:rPr>
                <w:rFonts w:hint="eastAsia" w:ascii="宋体" w:hAnsi="宋体" w:eastAsia="宋体" w:cs="宋体"/>
                <w:b/>
                <w:bCs/>
                <w:color w:val="auto"/>
                <w:sz w:val="21"/>
                <w:szCs w:val="21"/>
                <w:highlight w:val="none"/>
                <w:u w:val="wave"/>
                <w:lang w:val="zh-CN"/>
              </w:rPr>
              <w:t>”</w:t>
            </w:r>
            <w:r>
              <w:rPr>
                <w:rFonts w:hint="eastAsia" w:ascii="宋体" w:hAnsi="宋体" w:eastAsia="宋体" w:cs="宋体"/>
                <w:b/>
                <w:bCs/>
                <w:color w:val="auto"/>
                <w:sz w:val="21"/>
                <w:szCs w:val="21"/>
                <w:highlight w:val="none"/>
                <w:u w:val="wave"/>
              </w:rPr>
              <w:t>文件格式为（.jmbs）。</w:t>
            </w:r>
          </w:p>
          <w:p>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（2）“备份投标文件”是指与“电子加密投标文件”同时生成的数据电文形式的电子文件（备份标书），其他方式编制的备份投标文件视为无效备份投标文件。</w:t>
            </w:r>
            <w:r>
              <w:rPr>
                <w:rFonts w:hint="eastAsia" w:ascii="宋体" w:hAnsi="宋体" w:eastAsia="宋体" w:cs="宋体"/>
                <w:b/>
                <w:bCs/>
                <w:color w:val="auto"/>
                <w:sz w:val="21"/>
                <w:szCs w:val="21"/>
                <w:highlight w:val="none"/>
                <w:u w:val="wave"/>
                <w:lang w:val="zh-CN"/>
              </w:rPr>
              <w:t>“备份</w:t>
            </w:r>
            <w:r>
              <w:rPr>
                <w:rFonts w:hint="eastAsia" w:ascii="宋体" w:hAnsi="宋体" w:eastAsia="宋体" w:cs="宋体"/>
                <w:b/>
                <w:bCs/>
                <w:color w:val="auto"/>
                <w:sz w:val="21"/>
                <w:szCs w:val="21"/>
                <w:highlight w:val="none"/>
                <w:u w:val="wave"/>
              </w:rPr>
              <w:t>响应文件</w:t>
            </w:r>
            <w:r>
              <w:rPr>
                <w:rFonts w:hint="eastAsia" w:ascii="宋体" w:hAnsi="宋体" w:eastAsia="宋体" w:cs="宋体"/>
                <w:b/>
                <w:bCs/>
                <w:color w:val="auto"/>
                <w:sz w:val="21"/>
                <w:szCs w:val="21"/>
                <w:highlight w:val="none"/>
                <w:u w:val="wave"/>
                <w:lang w:val="zh-CN"/>
              </w:rPr>
              <w:t>”</w:t>
            </w:r>
            <w:r>
              <w:rPr>
                <w:rFonts w:hint="eastAsia" w:ascii="宋体" w:hAnsi="宋体" w:eastAsia="宋体" w:cs="宋体"/>
                <w:b/>
                <w:bCs/>
                <w:color w:val="auto"/>
                <w:sz w:val="21"/>
                <w:szCs w:val="21"/>
                <w:highlight w:val="none"/>
                <w:u w:val="wave"/>
              </w:rPr>
              <w:t>文件格式为（.bfbs）。</w:t>
            </w:r>
          </w:p>
          <w:p>
            <w:pPr>
              <w:pStyle w:val="44"/>
              <w:tabs>
                <w:tab w:val="left" w:pos="6930"/>
              </w:tabs>
              <w:spacing w:before="0" w:beforeAutospacing="0" w:after="0" w:afterAutospacing="0" w:line="40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2.投标文件由资格审查文件、商务技术文件和报价文件三部分组成</w:t>
            </w:r>
            <w:r>
              <w:rPr>
                <w:rFonts w:hint="eastAsia" w:ascii="宋体" w:hAnsi="宋体" w:eastAsia="宋体" w:cs="宋体"/>
                <w:color w:val="auto"/>
                <w:sz w:val="21"/>
                <w:szCs w:val="21"/>
                <w:highlight w:val="none"/>
                <w:lang w:eastAsia="zh-CN"/>
              </w:rPr>
              <w:t>。</w:t>
            </w:r>
          </w:p>
          <w:p>
            <w:pPr>
              <w:pStyle w:val="34"/>
              <w:tabs>
                <w:tab w:val="right" w:leader="middleDot" w:pos="8948"/>
              </w:tabs>
              <w:spacing w:before="0" w:after="0" w:line="400" w:lineRule="exact"/>
              <w:ind w:left="0" w:leftChars="0" w:firstLine="0" w:firstLine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3.电子加密投标文件制作：</w:t>
            </w:r>
            <w:r>
              <w:rPr>
                <w:rFonts w:hint="eastAsia" w:ascii="宋体" w:hAnsi="宋体" w:eastAsia="宋体" w:cs="宋体"/>
                <w:b w:val="0"/>
                <w:bCs w:val="0"/>
                <w:color w:val="auto"/>
                <w:sz w:val="21"/>
                <w:szCs w:val="21"/>
                <w:highlight w:val="none"/>
              </w:rPr>
              <w:t>应按</w:t>
            </w:r>
            <w:r>
              <w:rPr>
                <w:rFonts w:hint="eastAsia" w:ascii="宋体" w:hAnsi="宋体" w:eastAsia="宋体" w:cs="宋体"/>
                <w:b w:val="0"/>
                <w:bCs w:val="0"/>
                <w:color w:val="auto"/>
                <w:sz w:val="21"/>
                <w:szCs w:val="21"/>
                <w:highlight w:val="none"/>
                <w:lang w:eastAsia="zh-CN"/>
              </w:rPr>
              <w:t>乐采云</w:t>
            </w:r>
            <w:r>
              <w:rPr>
                <w:rFonts w:hint="eastAsia" w:ascii="宋体" w:hAnsi="宋体" w:eastAsia="宋体" w:cs="宋体"/>
                <w:b w:val="0"/>
                <w:bCs w:val="0"/>
                <w:color w:val="auto"/>
                <w:sz w:val="21"/>
                <w:szCs w:val="21"/>
                <w:highlight w:val="none"/>
              </w:rPr>
              <w:t>平台供应商项目采购-电子招投标操作指南、加密并递交。</w:t>
            </w:r>
          </w:p>
          <w:p>
            <w:pPr>
              <w:spacing w:line="276" w:lineRule="auto"/>
              <w:rPr>
                <w:rFonts w:hint="eastAsia" w:ascii="宋体" w:hAnsi="宋体" w:eastAsia="宋体" w:cs="宋体"/>
                <w:color w:val="auto"/>
                <w:spacing w:val="-2"/>
                <w:szCs w:val="21"/>
                <w:highlight w:val="none"/>
                <w:lang w:val="en-US" w:eastAsia="zh-CN"/>
              </w:rPr>
            </w:pPr>
            <w:r>
              <w:rPr>
                <w:rFonts w:hint="eastAsia" w:ascii="宋体" w:hAnsi="宋体" w:eastAsia="宋体" w:cs="宋体"/>
                <w:color w:val="auto"/>
                <w:highlight w:val="none"/>
                <w:lang w:val="zh-CN"/>
              </w:rPr>
              <w:t>注：</w:t>
            </w:r>
            <w:r>
              <w:rPr>
                <w:rFonts w:hint="eastAsia" w:ascii="宋体" w:hAnsi="宋体" w:eastAsia="宋体" w:cs="宋体"/>
                <w:bCs/>
                <w:color w:val="auto"/>
                <w:highlight w:val="none"/>
              </w:rPr>
              <w:t>如投标供应商多次发送邮件，以</w:t>
            </w:r>
            <w:r>
              <w:rPr>
                <w:rFonts w:hint="eastAsia" w:ascii="宋体" w:hAnsi="宋体" w:eastAsia="宋体" w:cs="宋体"/>
                <w:bCs/>
                <w:color w:val="auto"/>
                <w:highlight w:val="none"/>
                <w:lang w:eastAsia="zh-CN"/>
              </w:rPr>
              <w:t>招标代理机构</w:t>
            </w:r>
            <w:r>
              <w:rPr>
                <w:rFonts w:hint="eastAsia" w:ascii="宋体" w:hAnsi="宋体" w:eastAsia="宋体" w:cs="宋体"/>
                <w:bCs/>
                <w:color w:val="auto"/>
                <w:highlight w:val="none"/>
              </w:rPr>
              <w:t>最近时间收到的备份投标文件为准。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80"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w:t>
            </w:r>
          </w:p>
        </w:tc>
        <w:tc>
          <w:tcPr>
            <w:tcW w:w="6620" w:type="dxa"/>
            <w:vAlign w:val="center"/>
          </w:tcPr>
          <w:p>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投标截止时间起90日历天内有效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1016" w:hRule="atLeast"/>
          <w:jc w:val="center"/>
        </w:trPr>
        <w:tc>
          <w:tcPr>
            <w:tcW w:w="645"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14</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签字或盖章要求</w:t>
            </w:r>
          </w:p>
        </w:tc>
        <w:tc>
          <w:tcPr>
            <w:tcW w:w="6620" w:type="dxa"/>
            <w:vAlign w:val="center"/>
          </w:tcPr>
          <w:p>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响应文件中所须加盖公章部分需加盖投标供应商单位全称的公章（电子签章），法定代表人和授权代表签字或盖章可书面签字或盖章后扫描至电子加密响应文件中上传。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6"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15</w:t>
            </w:r>
          </w:p>
        </w:tc>
        <w:tc>
          <w:tcPr>
            <w:tcW w:w="2009" w:type="dxa"/>
            <w:vAlign w:val="center"/>
          </w:tcPr>
          <w:p>
            <w:pPr>
              <w:spacing w:line="276"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投标样品</w:t>
            </w:r>
          </w:p>
        </w:tc>
        <w:tc>
          <w:tcPr>
            <w:tcW w:w="6620" w:type="dxa"/>
            <w:vAlign w:val="center"/>
          </w:tcPr>
          <w:p>
            <w:pPr>
              <w:spacing w:line="276" w:lineRule="auto"/>
              <w:rPr>
                <w:rFonts w:hint="eastAsia" w:ascii="宋体" w:hAnsi="宋体" w:eastAsia="宋体" w:cs="宋体"/>
                <w:bCs/>
                <w:color w:val="auto"/>
                <w:kern w:val="0"/>
                <w:sz w:val="21"/>
                <w:szCs w:val="21"/>
                <w:highlight w:val="none"/>
              </w:rPr>
            </w:pP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 xml:space="preserve"> 不需要</w:t>
            </w:r>
          </w:p>
          <w:p>
            <w:pPr>
              <w:numPr>
                <w:ilvl w:val="0"/>
                <w:numId w:val="0"/>
              </w:numPr>
              <w:spacing w:line="276" w:lineRule="auto"/>
              <w:rPr>
                <w:rFonts w:hint="eastAsia"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eastAsia="zh-CN"/>
              </w:rPr>
              <w:t>□</w:t>
            </w:r>
            <w:r>
              <w:rPr>
                <w:rFonts w:hint="eastAsia" w:ascii="宋体" w:hAnsi="宋体" w:eastAsia="宋体" w:cs="宋体"/>
                <w:bCs/>
                <w:color w:val="auto"/>
                <w:kern w:val="0"/>
                <w:sz w:val="21"/>
                <w:szCs w:val="21"/>
                <w:highlight w:val="none"/>
              </w:rPr>
              <w:t xml:space="preserve"> 需要</w:t>
            </w:r>
            <w:r>
              <w:rPr>
                <w:rFonts w:hint="eastAsia" w:ascii="宋体" w:hAnsi="宋体" w:eastAsia="宋体" w:cs="宋体"/>
                <w:bCs/>
                <w:color w:val="auto"/>
                <w:kern w:val="0"/>
                <w:sz w:val="21"/>
                <w:szCs w:val="21"/>
                <w:highlight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19"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16</w:t>
            </w:r>
          </w:p>
        </w:tc>
        <w:tc>
          <w:tcPr>
            <w:tcW w:w="2009" w:type="dxa"/>
            <w:vAlign w:val="center"/>
          </w:tcPr>
          <w:p>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6620" w:type="dxa"/>
            <w:vAlign w:val="center"/>
          </w:tcPr>
          <w:p>
            <w:pPr>
              <w:keepNext w:val="0"/>
              <w:keepLines w:val="0"/>
              <w:pageBreakBefore w:val="0"/>
              <w:widowControl/>
              <w:kinsoku/>
              <w:overflowPunct/>
              <w:topLinePunct w:val="0"/>
              <w:autoSpaceDE/>
              <w:autoSpaceDN/>
              <w:bidi w:val="0"/>
              <w:adjustRightInd/>
              <w:snapToGrid/>
              <w:spacing w:before="60" w:after="60" w:line="360" w:lineRule="auto"/>
              <w:ind w:right="62"/>
              <w:jc w:val="both"/>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投标保证金：</w:t>
            </w:r>
            <w:r>
              <w:rPr>
                <w:rFonts w:hint="eastAsia" w:ascii="宋体" w:hAnsi="宋体" w:cs="宋体"/>
                <w:b/>
                <w:bCs/>
                <w:color w:val="auto"/>
                <w:kern w:val="0"/>
                <w:sz w:val="21"/>
                <w:szCs w:val="21"/>
                <w:highlight w:val="none"/>
                <w:u w:val="single"/>
                <w:lang w:val="en-US" w:eastAsia="zh-CN"/>
              </w:rPr>
              <w:t>15000</w:t>
            </w:r>
            <w:r>
              <w:rPr>
                <w:rFonts w:hint="eastAsia" w:ascii="宋体" w:hAnsi="宋体" w:eastAsia="宋体" w:cs="宋体"/>
                <w:color w:val="auto"/>
                <w:kern w:val="0"/>
                <w:sz w:val="21"/>
                <w:szCs w:val="21"/>
                <w:highlight w:val="none"/>
              </w:rPr>
              <w:t>元整，采用银行转账形式</w:t>
            </w:r>
            <w:r>
              <w:rPr>
                <w:rFonts w:hint="eastAsia" w:ascii="宋体" w:hAnsi="宋体" w:eastAsia="宋体" w:cs="宋体"/>
                <w:color w:val="auto"/>
                <w:sz w:val="21"/>
                <w:szCs w:val="21"/>
                <w:highlight w:val="none"/>
              </w:rPr>
              <w:t>，</w:t>
            </w:r>
            <w:r>
              <w:rPr>
                <w:rFonts w:hint="eastAsia" w:ascii="宋体" w:hAnsi="宋体" w:eastAsia="宋体" w:cs="宋体"/>
                <w:b/>
                <w:bCs/>
                <w:color w:val="auto"/>
                <w:kern w:val="0"/>
                <w:sz w:val="21"/>
                <w:szCs w:val="21"/>
                <w:highlight w:val="none"/>
                <w:u w:val="single"/>
              </w:rPr>
              <w:t>投标保证金要求从投标供应商的银行账号汇出，保证金缴纳时间以到账时间为准。</w:t>
            </w:r>
            <w:r>
              <w:rPr>
                <w:rFonts w:hint="eastAsia" w:ascii="宋体" w:hAnsi="宋体" w:eastAsia="宋体" w:cs="宋体"/>
                <w:color w:val="auto"/>
                <w:kern w:val="0"/>
                <w:sz w:val="21"/>
                <w:szCs w:val="21"/>
                <w:highlight w:val="none"/>
              </w:rPr>
              <w:t>保证金缴纳截止时间：与投标截止时间相同。</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单 位 名 称：</w:t>
            </w:r>
            <w:r>
              <w:rPr>
                <w:rFonts w:hint="eastAsia" w:ascii="宋体" w:hAnsi="宋体" w:eastAsia="宋体" w:cs="宋体"/>
                <w:color w:val="auto"/>
                <w:sz w:val="21"/>
                <w:szCs w:val="21"/>
                <w:highlight w:val="none"/>
                <w:u w:val="none"/>
                <w:lang w:eastAsia="zh-CN"/>
              </w:rPr>
              <w:t>温州市兴城工程造价审计咨询事务所（普通合伙）</w:t>
            </w:r>
          </w:p>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开 户 银 行：</w:t>
            </w:r>
            <w:r>
              <w:rPr>
                <w:rFonts w:hint="eastAsia" w:ascii="宋体" w:hAnsi="宋体" w:eastAsia="宋体" w:cs="宋体"/>
                <w:color w:val="auto"/>
                <w:szCs w:val="21"/>
                <w:highlight w:val="none"/>
                <w:lang w:eastAsia="zh-CN"/>
              </w:rPr>
              <w:t>温州银行股份有限公司市府路支行</w:t>
            </w:r>
          </w:p>
          <w:p>
            <w:pPr>
              <w:keepNext w:val="0"/>
              <w:keepLines w:val="0"/>
              <w:pageBreakBefore w:val="0"/>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xml:space="preserve">账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eastAsia="zh-CN"/>
              </w:rPr>
              <w:t xml:space="preserve"> 号：757000120190019985</w:t>
            </w:r>
          </w:p>
          <w:p>
            <w:pPr>
              <w:keepNext w:val="0"/>
              <w:keepLines w:val="0"/>
              <w:pageBreakBefore w:val="0"/>
              <w:kinsoku/>
              <w:wordWrap/>
              <w:overflowPunct/>
              <w:topLinePunct w:val="0"/>
              <w:autoSpaceDE/>
              <w:autoSpaceDN/>
              <w:bidi w:val="0"/>
              <w:adjustRightInd/>
              <w:snapToGrid w:val="0"/>
              <w:spacing w:beforeAutospacing="0" w:afterAutospacing="0" w:line="360" w:lineRule="auto"/>
              <w:textAlignment w:val="auto"/>
              <w:rPr>
                <w:rFonts w:hint="eastAsia" w:ascii="宋体" w:hAnsi="宋体" w:eastAsia="宋体" w:cs="宋体"/>
                <w:color w:val="auto"/>
                <w:szCs w:val="21"/>
                <w:highlight w:val="none"/>
              </w:rPr>
            </w:pPr>
            <w:r>
              <w:rPr>
                <w:rFonts w:hint="eastAsia" w:ascii="宋体" w:hAnsi="宋体" w:eastAsia="宋体" w:cs="宋体"/>
                <w:b/>
                <w:bCs/>
                <w:i w:val="0"/>
                <w:iCs w:val="0"/>
                <w:caps w:val="0"/>
                <w:color w:val="auto"/>
                <w:spacing w:val="0"/>
                <w:sz w:val="21"/>
                <w:szCs w:val="21"/>
                <w:highlight w:val="none"/>
                <w:shd w:val="clear" w:color="auto" w:fill="FFFFFF"/>
                <w:lang w:eastAsia="zh-CN"/>
              </w:rPr>
              <w:t>注：保证金缴纳须进行备注[格式：投标保证金-</w:t>
            </w:r>
            <w:r>
              <w:rPr>
                <w:rFonts w:hint="eastAsia" w:ascii="宋体" w:hAnsi="宋体" w:cs="宋体"/>
                <w:b/>
                <w:bCs/>
                <w:color w:val="auto"/>
                <w:sz w:val="21"/>
                <w:szCs w:val="21"/>
                <w:highlight w:val="none"/>
                <w:lang w:eastAsia="zh-CN"/>
              </w:rPr>
              <w:t>瓯窑产业化项目研发生产提效设备-陶艺工作室仪器设备</w:t>
            </w:r>
            <w:r>
              <w:rPr>
                <w:rFonts w:hint="eastAsia" w:ascii="宋体" w:hAnsi="宋体" w:eastAsia="宋体" w:cs="宋体"/>
                <w:b/>
                <w:bCs/>
                <w:i w:val="0"/>
                <w:iCs w:val="0"/>
                <w:caps w:val="0"/>
                <w:color w:val="auto"/>
                <w:spacing w:val="0"/>
                <w:sz w:val="21"/>
                <w:szCs w:val="21"/>
                <w:highlight w:val="none"/>
                <w:shd w:val="clear" w:color="auto" w:fill="FFFFFF"/>
                <w:lang w:eastAsia="zh-CN"/>
              </w:rPr>
              <w:t>]</w:t>
            </w:r>
            <w:r>
              <w:rPr>
                <w:rFonts w:hint="eastAsia" w:ascii="宋体" w:hAnsi="宋体" w:eastAsia="宋体" w:cs="宋体"/>
                <w:b/>
                <w:bCs/>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19"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17</w:t>
            </w:r>
          </w:p>
        </w:tc>
        <w:tc>
          <w:tcPr>
            <w:tcW w:w="2009" w:type="dxa"/>
            <w:vAlign w:val="center"/>
          </w:tcPr>
          <w:p>
            <w:pPr>
              <w:adjustRightInd w:val="0"/>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w:t>
            </w:r>
          </w:p>
        </w:tc>
        <w:tc>
          <w:tcPr>
            <w:tcW w:w="6620" w:type="dxa"/>
            <w:vAlign w:val="center"/>
          </w:tcPr>
          <w:p>
            <w:pPr>
              <w:autoSpaceDE w:val="0"/>
              <w:autoSpaceDN w:val="0"/>
              <w:adjustRightInd w:val="0"/>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履约担保的提交期限：合同协议书签署前5</w:t>
            </w:r>
            <w:r>
              <w:rPr>
                <w:rFonts w:hint="eastAsia" w:ascii="宋体" w:hAnsi="宋体" w:eastAsia="宋体" w:cs="宋体"/>
                <w:color w:val="auto"/>
                <w:szCs w:val="21"/>
                <w:highlight w:val="none"/>
                <w:lang w:eastAsia="zh-CN"/>
              </w:rPr>
              <w:t>个工作日</w:t>
            </w:r>
            <w:r>
              <w:rPr>
                <w:rFonts w:hint="eastAsia" w:ascii="宋体" w:hAnsi="宋体" w:eastAsia="宋体" w:cs="宋体"/>
                <w:color w:val="auto"/>
                <w:szCs w:val="21"/>
                <w:highlight w:val="none"/>
              </w:rPr>
              <w:t>内；</w:t>
            </w:r>
          </w:p>
          <w:p>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1、履约保证金金额：合同总价的</w:t>
            </w:r>
            <w:r>
              <w:rPr>
                <w:rFonts w:hint="eastAsia" w:ascii="宋体" w:hAnsi="宋体" w:eastAsia="宋体" w:cs="宋体"/>
                <w:b w:val="0"/>
                <w:bCs w:val="0"/>
                <w:color w:val="auto"/>
                <w:szCs w:val="21"/>
                <w:highlight w:val="none"/>
                <w:u w:val="single"/>
              </w:rPr>
              <w:t xml:space="preserve">   </w:t>
            </w:r>
            <w:r>
              <w:rPr>
                <w:rFonts w:hint="eastAsia" w:ascii="宋体" w:hAnsi="宋体" w:eastAsia="宋体" w:cs="宋体"/>
                <w:b w:val="0"/>
                <w:bCs w:val="0"/>
                <w:color w:val="auto"/>
                <w:szCs w:val="21"/>
                <w:highlight w:val="none"/>
                <w:u w:val="single"/>
                <w:lang w:val="en-US" w:eastAsia="zh-CN"/>
              </w:rPr>
              <w:t>5</w:t>
            </w:r>
            <w:r>
              <w:rPr>
                <w:rFonts w:hint="eastAsia" w:ascii="宋体" w:hAnsi="宋体" w:eastAsia="宋体" w:cs="宋体"/>
                <w:b w:val="0"/>
                <w:bCs w:val="0"/>
                <w:color w:val="auto"/>
                <w:szCs w:val="21"/>
                <w:highlight w:val="none"/>
                <w:u w:val="single"/>
              </w:rPr>
              <w:t xml:space="preserve">   </w:t>
            </w:r>
            <w:r>
              <w:rPr>
                <w:rFonts w:hint="eastAsia" w:ascii="宋体" w:hAnsi="宋体" w:eastAsia="宋体" w:cs="宋体"/>
                <w:b w:val="0"/>
                <w:bCs w:val="0"/>
                <w:color w:val="auto"/>
                <w:szCs w:val="21"/>
                <w:highlight w:val="none"/>
              </w:rPr>
              <w:t>%；</w:t>
            </w:r>
          </w:p>
          <w:p>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本项目履约保证金应当以支票、汇票、本票或者金融机构、担保机构出具的保函等非现金形式在签订政府采购合同时提交，采用以上方式出具的保函，须为不可撤销的、无条件先行赔付保函，保函有效期12个月。</w:t>
            </w:r>
          </w:p>
          <w:p>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2、履约保证金的退还：自所有货物产品交付采购人并经过验收合格之日起至质量保证期期满壹年止。项目无履约质量问题，经采购人确认同意后，中标供应商按要求提交履约保证金退还申请表（保函），15日内予以退还履约保证金。</w:t>
            </w:r>
          </w:p>
          <w:p>
            <w:pPr>
              <w:autoSpaceDE w:val="0"/>
              <w:autoSpaceDN w:val="0"/>
              <w:adjustRightInd w:val="0"/>
              <w:spacing w:line="276" w:lineRule="auto"/>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3、履约保证金不予退还情形：中标（成交）供应商未能全部履行政府采购合同的；相关法律、法规或采购文件规定的其他情形。</w:t>
            </w:r>
          </w:p>
          <w:p>
            <w:pPr>
              <w:autoSpaceDE w:val="0"/>
              <w:autoSpaceDN w:val="0"/>
              <w:adjustRightInd w:val="0"/>
              <w:spacing w:line="276" w:lineRule="auto"/>
              <w:rPr>
                <w:rFonts w:hint="eastAsia" w:ascii="宋体" w:hAnsi="宋体" w:eastAsia="宋体" w:cs="宋体"/>
                <w:color w:val="auto"/>
                <w:szCs w:val="21"/>
                <w:highlight w:val="none"/>
                <w:lang w:eastAsia="zh-CN"/>
              </w:rPr>
            </w:pPr>
            <w:r>
              <w:rPr>
                <w:rFonts w:hint="eastAsia" w:ascii="宋体" w:hAnsi="宋体" w:eastAsia="宋体" w:cs="宋体"/>
                <w:b w:val="0"/>
                <w:bCs w:val="0"/>
                <w:color w:val="auto"/>
                <w:szCs w:val="21"/>
                <w:highlight w:val="none"/>
              </w:rPr>
              <w:t>4、逾期退还履约保证金违约责任：逾期退还履约保证金的处理。采购人逾期退还履约保证金的，除应当退还履约保证金本金外，还应当按中国人民银行同期贷款基准利率上浮20%后的利率支付超期资金占用费，但因投标人自身原因导致无法及时退还的除外。采购人未按照规定退还履约保证金的，由财政部门依照《中华人民共和国政府采购法》等有关规定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919"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18</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招标文件</w:t>
            </w:r>
            <w:r>
              <w:rPr>
                <w:rFonts w:hint="eastAsia" w:ascii="宋体" w:hAnsi="宋体" w:eastAsia="宋体" w:cs="宋体"/>
                <w:color w:val="auto"/>
                <w:szCs w:val="21"/>
                <w:highlight w:val="none"/>
                <w:lang w:val="en-US" w:eastAsia="zh-CN"/>
              </w:rPr>
              <w:t>获取</w:t>
            </w:r>
            <w:r>
              <w:rPr>
                <w:rFonts w:hint="eastAsia" w:ascii="宋体" w:hAnsi="宋体" w:eastAsia="宋体" w:cs="宋体"/>
                <w:color w:val="auto"/>
                <w:szCs w:val="21"/>
                <w:highlight w:val="none"/>
              </w:rPr>
              <w:t>时间及获取方式</w:t>
            </w:r>
          </w:p>
        </w:tc>
        <w:tc>
          <w:tcPr>
            <w:tcW w:w="6620" w:type="dxa"/>
            <w:vAlign w:val="center"/>
          </w:tcPr>
          <w:p>
            <w:pPr>
              <w:widowControl w:val="0"/>
              <w:spacing w:line="40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时间：/至</w:t>
            </w:r>
            <w:r>
              <w:rPr>
                <w:rFonts w:hint="eastAsia" w:ascii="宋体" w:hAnsi="宋体" w:cs="宋体"/>
                <w:color w:val="auto"/>
                <w:szCs w:val="21"/>
                <w:highlight w:val="none"/>
                <w:lang w:val="en-US" w:eastAsia="zh-CN"/>
              </w:rPr>
              <w:t>2025年11月18日</w:t>
            </w:r>
            <w:r>
              <w:rPr>
                <w:rFonts w:hint="eastAsia" w:ascii="宋体" w:hAnsi="宋体" w:eastAsia="宋体" w:cs="宋体"/>
                <w:bCs/>
                <w:color w:val="auto"/>
                <w:szCs w:val="21"/>
                <w:highlight w:val="none"/>
              </w:rPr>
              <w:t>，每天上午00:00至12:00，下午12:00至23:59（北京时间，线上获取法定节假日均可，线下获取文件法定节假日除外</w:t>
            </w:r>
            <w:r>
              <w:rPr>
                <w:rFonts w:hint="eastAsia" w:ascii="宋体" w:hAnsi="宋体" w:eastAsia="宋体" w:cs="宋体"/>
                <w:bCs/>
                <w:color w:val="auto"/>
                <w:szCs w:val="21"/>
                <w:highlight w:val="none"/>
                <w:lang w:eastAsia="zh-CN"/>
              </w:rPr>
              <w:t>，</w:t>
            </w:r>
            <w:r>
              <w:rPr>
                <w:rFonts w:hint="eastAsia" w:ascii="宋体" w:hAnsi="宋体" w:eastAsia="宋体" w:cs="宋体"/>
                <w:color w:val="auto"/>
                <w:sz w:val="21"/>
                <w:szCs w:val="21"/>
                <w:highlight w:val="none"/>
              </w:rPr>
              <w:t>未购买</w:t>
            </w:r>
            <w:r>
              <w:rPr>
                <w:rFonts w:hint="eastAsia" w:ascii="宋体" w:hAnsi="宋体" w:eastAsia="宋体" w:cs="宋体"/>
                <w:color w:val="auto"/>
                <w:sz w:val="21"/>
                <w:szCs w:val="21"/>
                <w:highlight w:val="none"/>
                <w:lang w:eastAsia="zh-CN"/>
              </w:rPr>
              <w:t>招标</w:t>
            </w:r>
            <w:r>
              <w:rPr>
                <w:rFonts w:hint="eastAsia" w:ascii="宋体" w:hAnsi="宋体" w:eastAsia="宋体" w:cs="宋体"/>
                <w:color w:val="auto"/>
                <w:sz w:val="21"/>
                <w:szCs w:val="21"/>
                <w:highlight w:val="none"/>
              </w:rPr>
              <w:t>文件的潜在供应商拒绝参加投标。</w:t>
            </w:r>
            <w:r>
              <w:rPr>
                <w:rFonts w:hint="eastAsia" w:ascii="宋体" w:hAnsi="宋体" w:eastAsia="宋体" w:cs="宋体"/>
                <w:bCs/>
                <w:color w:val="auto"/>
                <w:szCs w:val="21"/>
                <w:highlight w:val="none"/>
              </w:rPr>
              <w:t>）。</w:t>
            </w:r>
          </w:p>
          <w:p>
            <w:pPr>
              <w:widowControl w:val="0"/>
              <w:spacing w:line="400" w:lineRule="exact"/>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地点（网址）：</w:t>
            </w:r>
            <w:r>
              <w:rPr>
                <w:rFonts w:hint="eastAsia" w:ascii="宋体" w:hAnsi="宋体" w:eastAsia="宋体" w:cs="宋体"/>
                <w:b w:val="0"/>
                <w:color w:val="auto"/>
                <w:sz w:val="21"/>
                <w:szCs w:val="21"/>
                <w:highlight w:val="none"/>
              </w:rPr>
              <w:t>乐采云平台（www.lecaiyun.com）</w:t>
            </w:r>
            <w:r>
              <w:rPr>
                <w:rFonts w:hint="eastAsia" w:ascii="宋体" w:hAnsi="宋体" w:eastAsia="宋体" w:cs="宋体"/>
                <w:bCs/>
                <w:color w:val="auto"/>
                <w:szCs w:val="21"/>
                <w:highlight w:val="none"/>
              </w:rPr>
              <w:t>。</w:t>
            </w:r>
          </w:p>
          <w:p>
            <w:pPr>
              <w:widowControl w:val="0"/>
              <w:spacing w:line="400" w:lineRule="exact"/>
              <w:rPr>
                <w:rFonts w:hint="eastAsia" w:ascii="宋体" w:hAnsi="宋体" w:eastAsia="宋体" w:cs="宋体"/>
                <w:color w:val="auto"/>
                <w:szCs w:val="21"/>
                <w:highlight w:val="none"/>
              </w:rPr>
            </w:pPr>
            <w:r>
              <w:rPr>
                <w:rFonts w:hint="eastAsia" w:ascii="宋体" w:hAnsi="宋体" w:eastAsia="宋体" w:cs="宋体"/>
                <w:bCs/>
                <w:color w:val="auto"/>
                <w:szCs w:val="21"/>
                <w:highlight w:val="none"/>
              </w:rPr>
              <w:t>方式：供应商登录</w:t>
            </w:r>
            <w:r>
              <w:rPr>
                <w:rFonts w:hint="eastAsia" w:ascii="宋体" w:hAnsi="宋体" w:eastAsia="宋体" w:cs="宋体"/>
                <w:b w:val="0"/>
                <w:color w:val="auto"/>
                <w:sz w:val="21"/>
                <w:szCs w:val="21"/>
                <w:highlight w:val="none"/>
              </w:rPr>
              <w:t>乐采云平台（www.lecaiyun.com）</w:t>
            </w:r>
            <w:r>
              <w:rPr>
                <w:rFonts w:hint="eastAsia" w:ascii="宋体" w:hAnsi="宋体" w:eastAsia="宋体" w:cs="宋体"/>
                <w:bCs/>
                <w:color w:val="auto"/>
                <w:szCs w:val="21"/>
                <w:highlight w:val="none"/>
              </w:rPr>
              <w:t>在线申请获取</w:t>
            </w:r>
            <w:r>
              <w:rPr>
                <w:rFonts w:hint="eastAsia" w:ascii="宋体" w:hAnsi="宋体" w:eastAsia="宋体" w:cs="宋体"/>
                <w:bCs/>
                <w:color w:val="auto"/>
                <w:szCs w:val="21"/>
                <w:highlight w:val="none"/>
                <w:lang w:eastAsia="zh-CN"/>
              </w:rPr>
              <w:t>招标文件</w:t>
            </w:r>
            <w:r>
              <w:rPr>
                <w:rFonts w:hint="eastAsia" w:ascii="宋体" w:hAnsi="宋体" w:eastAsia="宋体" w:cs="宋体"/>
                <w:bCs/>
                <w:color w:val="auto"/>
                <w:szCs w:val="21"/>
                <w:highlight w:val="none"/>
              </w:rPr>
              <w:t>（进入“项目采购”应用，在获取</w:t>
            </w:r>
            <w:r>
              <w:rPr>
                <w:rFonts w:hint="eastAsia" w:ascii="宋体" w:hAnsi="宋体" w:eastAsia="宋体" w:cs="宋体"/>
                <w:bCs/>
                <w:color w:val="auto"/>
                <w:szCs w:val="21"/>
                <w:highlight w:val="none"/>
                <w:lang w:eastAsia="zh-CN"/>
              </w:rPr>
              <w:t>招标文件</w:t>
            </w:r>
            <w:r>
              <w:rPr>
                <w:rFonts w:hint="eastAsia" w:ascii="宋体" w:hAnsi="宋体" w:eastAsia="宋体" w:cs="宋体"/>
                <w:bCs/>
                <w:color w:val="auto"/>
                <w:szCs w:val="21"/>
                <w:highlight w:val="none"/>
              </w:rPr>
              <w:t>菜单中选择项目，申请获取</w:t>
            </w:r>
            <w:r>
              <w:rPr>
                <w:rFonts w:hint="eastAsia" w:ascii="宋体" w:hAnsi="宋体" w:eastAsia="宋体" w:cs="宋体"/>
                <w:bCs/>
                <w:color w:val="auto"/>
                <w:szCs w:val="21"/>
                <w:highlight w:val="none"/>
                <w:lang w:eastAsia="zh-CN"/>
              </w:rPr>
              <w:t>招标文件</w:t>
            </w:r>
            <w:r>
              <w:rPr>
                <w:rFonts w:hint="eastAsia" w:ascii="宋体" w:hAnsi="宋体" w:eastAsia="宋体" w:cs="宋体"/>
                <w:bCs/>
                <w:color w:val="auto"/>
                <w:szCs w:val="21"/>
                <w:highlight w:val="none"/>
              </w:rPr>
              <w:t>）。</w:t>
            </w:r>
            <w:r>
              <w:rPr>
                <w:rFonts w:hint="eastAsia" w:ascii="宋体" w:hAnsi="宋体" w:eastAsia="宋体" w:cs="宋体"/>
                <w:color w:val="auto"/>
                <w:szCs w:val="21"/>
                <w:highlight w:val="none"/>
                <w:lang w:val="en-US" w:eastAsia="zh-CN"/>
              </w:rPr>
              <w:t>第一步：选择本期招标项目；第二步：填写报名信息。投标供应商报名审核通过后即可在乐采云系统中编制响应文件，在投标截止时间前进行投标</w:t>
            </w:r>
            <w:r>
              <w:rPr>
                <w:rFonts w:hint="eastAsia" w:ascii="宋体" w:hAnsi="宋体" w:eastAsia="宋体" w:cs="宋体"/>
                <w:color w:val="auto"/>
                <w:kern w:val="0"/>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5"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19</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投标截止时间</w:t>
            </w:r>
          </w:p>
        </w:tc>
        <w:tc>
          <w:tcPr>
            <w:tcW w:w="6620" w:type="dxa"/>
            <w:vAlign w:val="center"/>
          </w:tcPr>
          <w:p>
            <w:pPr>
              <w:spacing w:line="276" w:lineRule="auto"/>
              <w:rPr>
                <w:rFonts w:hint="eastAsia" w:ascii="宋体" w:hAnsi="宋体" w:eastAsia="宋体" w:cs="宋体"/>
                <w:bCs/>
                <w:color w:val="auto"/>
                <w:kern w:val="0"/>
                <w:szCs w:val="21"/>
                <w:highlight w:val="none"/>
              </w:rPr>
            </w:pPr>
            <w:r>
              <w:rPr>
                <w:rFonts w:hint="eastAsia" w:ascii="宋体" w:hAnsi="宋体" w:cs="宋体"/>
                <w:b/>
                <w:bCs/>
                <w:color w:val="auto"/>
                <w:kern w:val="0"/>
                <w:szCs w:val="21"/>
                <w:highlight w:val="none"/>
                <w:lang w:eastAsia="zh-CN"/>
              </w:rPr>
              <w:t>2025年11月18日</w:t>
            </w:r>
            <w:r>
              <w:rPr>
                <w:rFonts w:hint="eastAsia" w:ascii="宋体" w:hAnsi="宋体" w:eastAsia="宋体" w:cs="宋体"/>
                <w:b/>
                <w:bCs/>
                <w:color w:val="auto"/>
                <w:kern w:val="0"/>
                <w:szCs w:val="21"/>
                <w:highlight w:val="none"/>
                <w:lang w:val="en-US" w:eastAsia="zh-CN"/>
              </w:rPr>
              <w:t>09：30</w:t>
            </w:r>
            <w:r>
              <w:rPr>
                <w:rFonts w:hint="eastAsia" w:ascii="宋体" w:hAnsi="宋体" w:eastAsia="宋体" w:cs="宋体"/>
                <w:b/>
                <w:bCs/>
                <w:color w:val="auto"/>
                <w:kern w:val="0"/>
                <w:szCs w:val="21"/>
                <w:highlight w:val="none"/>
              </w:rPr>
              <w:t>止</w:t>
            </w:r>
            <w:r>
              <w:rPr>
                <w:rFonts w:hint="eastAsia" w:ascii="宋体" w:hAnsi="宋体" w:eastAsia="宋体" w:cs="宋体"/>
                <w:bCs/>
                <w:color w:val="auto"/>
                <w:kern w:val="0"/>
                <w:szCs w:val="21"/>
                <w:highlight w:val="none"/>
              </w:rPr>
              <w:t>(北京时间)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325"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20</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投标文件递交</w:t>
            </w:r>
          </w:p>
        </w:tc>
        <w:tc>
          <w:tcPr>
            <w:tcW w:w="6620" w:type="dxa"/>
            <w:vAlign w:val="center"/>
          </w:tcPr>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（1）电子加密投标文件：应按乐采云平台项目采购-电子交易操作指南及本招标文件要求进行编制、加密并递交，供应商应于投标截止时间前将电子加密投标文件上传到乐采云系统中（不准时上传视为不参加）。</w:t>
            </w:r>
          </w:p>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（2）备份投标文件：投标截止时间前以压缩文件形式加密发送至招标代理机构邮箱，并在接到在线解密通知后30分钟内发送压缩文件密码至招标代理机构邮箱。（邮箱号码：</w:t>
            </w:r>
            <w:r>
              <w:rPr>
                <w:rFonts w:hint="eastAsia" w:ascii="宋体" w:hAnsi="宋体" w:eastAsia="宋体" w:cs="宋体"/>
                <w:color w:val="auto"/>
                <w:szCs w:val="21"/>
                <w:highlight w:val="none"/>
                <w:lang w:val="en-US" w:eastAsia="zh-CN"/>
              </w:rPr>
              <w:t>1589009783@qq.com</w:t>
            </w:r>
            <w:r>
              <w:rPr>
                <w:rFonts w:hint="eastAsia" w:ascii="宋体" w:hAnsi="宋体" w:eastAsia="宋体" w:cs="宋体"/>
                <w:color w:val="auto"/>
                <w:szCs w:val="21"/>
                <w:highlight w:val="none"/>
              </w:rPr>
              <w:t>）。</w:t>
            </w:r>
          </w:p>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（3）中标后，中标供应商需提供纸质投标文件一式肆份。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278"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21</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开标时间</w:t>
            </w:r>
          </w:p>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开标地点</w:t>
            </w:r>
          </w:p>
        </w:tc>
        <w:tc>
          <w:tcPr>
            <w:tcW w:w="6620" w:type="dxa"/>
            <w:vAlign w:val="center"/>
          </w:tcPr>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开标时间：</w:t>
            </w:r>
            <w:r>
              <w:rPr>
                <w:rFonts w:hint="eastAsia" w:ascii="宋体" w:hAnsi="宋体" w:cs="宋体"/>
                <w:b/>
                <w:bCs/>
                <w:color w:val="auto"/>
                <w:kern w:val="0"/>
                <w:szCs w:val="21"/>
                <w:highlight w:val="none"/>
                <w:lang w:eastAsia="zh-CN"/>
              </w:rPr>
              <w:t>2025年11月18日</w:t>
            </w:r>
            <w:r>
              <w:rPr>
                <w:rFonts w:hint="eastAsia" w:ascii="宋体" w:hAnsi="宋体" w:eastAsia="宋体" w:cs="宋体"/>
                <w:b/>
                <w:bCs/>
                <w:color w:val="auto"/>
                <w:kern w:val="0"/>
                <w:szCs w:val="21"/>
                <w:highlight w:val="none"/>
                <w:lang w:val="en-US" w:eastAsia="zh-CN"/>
              </w:rPr>
              <w:t>09:30</w:t>
            </w:r>
            <w:r>
              <w:rPr>
                <w:rFonts w:hint="eastAsia" w:ascii="宋体" w:hAnsi="宋体" w:eastAsia="宋体" w:cs="宋体"/>
                <w:color w:val="auto"/>
                <w:szCs w:val="21"/>
                <w:highlight w:val="none"/>
              </w:rPr>
              <w:t>(北京时间)</w:t>
            </w:r>
          </w:p>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开标地点：</w:t>
            </w:r>
            <w:r>
              <w:rPr>
                <w:rFonts w:hint="eastAsia" w:ascii="宋体" w:hAnsi="宋体" w:eastAsia="宋体" w:cs="宋体"/>
                <w:b w:val="0"/>
                <w:color w:val="auto"/>
                <w:sz w:val="21"/>
                <w:szCs w:val="21"/>
                <w:highlight w:val="none"/>
              </w:rPr>
              <w:t>乐采云平台（www.lecaiyun.com）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452"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22</w:t>
            </w:r>
          </w:p>
        </w:tc>
        <w:tc>
          <w:tcPr>
            <w:tcW w:w="2009" w:type="dxa"/>
            <w:vAlign w:val="center"/>
          </w:tcPr>
          <w:p>
            <w:pPr>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电子加密响应文件的解密和异常情况处理</w:t>
            </w:r>
          </w:p>
        </w:tc>
        <w:tc>
          <w:tcPr>
            <w:tcW w:w="6620" w:type="dxa"/>
            <w:vAlign w:val="center"/>
          </w:tcPr>
          <w:p>
            <w:pPr>
              <w:spacing w:line="3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（1）开标后，采购组织机构将向各供应商发出“电子加密响应文件”的解密通知，各供应商代表应当在接到解密通知后</w:t>
            </w:r>
            <w:r>
              <w:rPr>
                <w:rFonts w:hint="eastAsia" w:ascii="宋体" w:hAnsi="宋体" w:eastAsia="宋体" w:cs="宋体"/>
                <w:color w:val="auto"/>
                <w:szCs w:val="21"/>
                <w:highlight w:val="none"/>
                <w:u w:val="single"/>
              </w:rPr>
              <w:t>30分钟内</w:t>
            </w:r>
            <w:r>
              <w:rPr>
                <w:rFonts w:hint="eastAsia" w:ascii="宋体" w:hAnsi="宋体" w:eastAsia="宋体" w:cs="宋体"/>
                <w:color w:val="auto"/>
                <w:szCs w:val="21"/>
                <w:highlight w:val="none"/>
              </w:rPr>
              <w:t>自行完成“电子加密响应文件”的在线解密。</w:t>
            </w:r>
          </w:p>
          <w:p>
            <w:pPr>
              <w:spacing w:line="36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（2）通过“</w:t>
            </w:r>
            <w:r>
              <w:rPr>
                <w:rFonts w:hint="eastAsia" w:ascii="宋体" w:hAnsi="宋体" w:cs="宋体"/>
                <w:color w:val="auto"/>
                <w:szCs w:val="21"/>
                <w:highlight w:val="none"/>
                <w:lang w:eastAsia="zh-CN"/>
              </w:rPr>
              <w:t>乐采云平台</w:t>
            </w:r>
            <w:r>
              <w:rPr>
                <w:rFonts w:hint="eastAsia" w:ascii="宋体" w:hAnsi="宋体" w:eastAsia="宋体" w:cs="宋体"/>
                <w:color w:val="auto"/>
                <w:szCs w:val="21"/>
                <w:highlight w:val="none"/>
              </w:rPr>
              <w:t>”成功上传递交的“电子加密响应文件”无法按时解密，供应商如按规定递交了“备份响应文件”的，以“备份响应文件”为依据（由采购组织机构按“</w:t>
            </w:r>
            <w:r>
              <w:rPr>
                <w:rFonts w:hint="eastAsia" w:ascii="宋体" w:hAnsi="宋体" w:cs="宋体"/>
                <w:color w:val="auto"/>
                <w:szCs w:val="21"/>
                <w:highlight w:val="none"/>
                <w:lang w:eastAsia="zh-CN"/>
              </w:rPr>
              <w:t>乐采云平台</w:t>
            </w:r>
            <w:r>
              <w:rPr>
                <w:rFonts w:hint="eastAsia" w:ascii="宋体" w:hAnsi="宋体" w:eastAsia="宋体" w:cs="宋体"/>
                <w:color w:val="auto"/>
                <w:szCs w:val="21"/>
                <w:highlight w:val="none"/>
              </w:rPr>
              <w:t>”操作规范将“备份响应文件”上传至“</w:t>
            </w:r>
            <w:r>
              <w:rPr>
                <w:rFonts w:hint="eastAsia" w:ascii="宋体" w:hAnsi="宋体" w:cs="宋体"/>
                <w:color w:val="auto"/>
                <w:szCs w:val="21"/>
                <w:highlight w:val="none"/>
                <w:lang w:eastAsia="zh-CN"/>
              </w:rPr>
              <w:t>乐采云平台</w:t>
            </w:r>
            <w:r>
              <w:rPr>
                <w:rFonts w:hint="eastAsia" w:ascii="宋体" w:hAnsi="宋体" w:eastAsia="宋体" w:cs="宋体"/>
                <w:color w:val="auto"/>
                <w:szCs w:val="21"/>
                <w:highlight w:val="none"/>
              </w:rPr>
              <w:t>”，上传成功后，“电子加密响应文件”自动失效），否则视为响应文件撤回。</w:t>
            </w:r>
          </w:p>
          <w:p>
            <w:pPr>
              <w:spacing w:line="360" w:lineRule="exact"/>
              <w:rPr>
                <w:rFonts w:hint="eastAsia" w:ascii="宋体" w:hAnsi="宋体" w:eastAsia="宋体" w:cs="宋体"/>
                <w:bCs/>
                <w:color w:val="auto"/>
                <w:kern w:val="0"/>
                <w:szCs w:val="21"/>
                <w:highlight w:val="none"/>
              </w:rPr>
            </w:pPr>
            <w:r>
              <w:rPr>
                <w:rFonts w:hint="eastAsia" w:ascii="宋体" w:hAnsi="宋体" w:eastAsia="宋体" w:cs="宋体"/>
                <w:color w:val="auto"/>
                <w:szCs w:val="21"/>
                <w:highlight w:val="none"/>
              </w:rPr>
              <w:t>（3）投标截止时间止，供应商仅递交了“备份响应文件”而未将电子加密响应文件上传至“</w:t>
            </w:r>
            <w:r>
              <w:rPr>
                <w:rFonts w:hint="eastAsia" w:ascii="宋体" w:hAnsi="宋体" w:cs="宋体"/>
                <w:color w:val="auto"/>
                <w:szCs w:val="21"/>
                <w:highlight w:val="none"/>
                <w:lang w:eastAsia="zh-CN"/>
              </w:rPr>
              <w:t>乐采云平台</w:t>
            </w:r>
            <w:r>
              <w:rPr>
                <w:rFonts w:hint="eastAsia" w:ascii="宋体" w:hAnsi="宋体" w:eastAsia="宋体" w:cs="宋体"/>
                <w:color w:val="auto"/>
                <w:szCs w:val="21"/>
                <w:highlight w:val="none"/>
              </w:rPr>
              <w:t>”的，投标无效。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452"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23</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strike w:val="0"/>
                <w:dstrike w:val="0"/>
                <w:color w:val="auto"/>
                <w:szCs w:val="21"/>
                <w:highlight w:val="none"/>
              </w:rPr>
              <w:t>开标程序</w:t>
            </w:r>
          </w:p>
        </w:tc>
        <w:tc>
          <w:tcPr>
            <w:tcW w:w="6620" w:type="dxa"/>
            <w:vAlign w:val="center"/>
          </w:tcPr>
          <w:p>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1．</w:t>
            </w:r>
            <w:r>
              <w:rPr>
                <w:rFonts w:hint="eastAsia" w:ascii="宋体" w:hAnsi="宋体" w:eastAsia="宋体" w:cs="宋体"/>
                <w:bCs/>
                <w:strike w:val="0"/>
                <w:dstrike w:val="0"/>
                <w:color w:val="auto"/>
                <w:kern w:val="0"/>
                <w:szCs w:val="21"/>
                <w:highlight w:val="none"/>
                <w:lang w:val="en-US" w:eastAsia="zh-CN"/>
              </w:rPr>
              <w:t>招标</w:t>
            </w:r>
            <w:r>
              <w:rPr>
                <w:rFonts w:hint="eastAsia" w:ascii="宋体" w:hAnsi="宋体" w:eastAsia="宋体" w:cs="宋体"/>
                <w:bCs/>
                <w:strike w:val="0"/>
                <w:dstrike w:val="0"/>
                <w:color w:val="auto"/>
                <w:kern w:val="0"/>
                <w:szCs w:val="21"/>
                <w:highlight w:val="none"/>
              </w:rPr>
              <w:t>代理机构按照</w:t>
            </w:r>
            <w:r>
              <w:rPr>
                <w:rFonts w:hint="eastAsia" w:ascii="宋体" w:hAnsi="宋体" w:eastAsia="宋体" w:cs="宋体"/>
                <w:bCs/>
                <w:strike w:val="0"/>
                <w:dstrike w:val="0"/>
                <w:color w:val="auto"/>
                <w:kern w:val="0"/>
                <w:szCs w:val="21"/>
                <w:highlight w:val="none"/>
                <w:lang w:val="en-US" w:eastAsia="zh-CN"/>
              </w:rPr>
              <w:t>招标</w:t>
            </w:r>
            <w:r>
              <w:rPr>
                <w:rFonts w:hint="eastAsia" w:ascii="宋体" w:hAnsi="宋体" w:eastAsia="宋体" w:cs="宋体"/>
                <w:bCs/>
                <w:strike w:val="0"/>
                <w:dstrike w:val="0"/>
                <w:color w:val="auto"/>
                <w:kern w:val="0"/>
                <w:szCs w:val="21"/>
                <w:highlight w:val="none"/>
              </w:rPr>
              <w:t>文件规定的时间通过乐采云平台组织开标，所有供应商准时在线参加。</w:t>
            </w:r>
          </w:p>
          <w:p>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2．“电子加密响应文件”在线解密；</w:t>
            </w:r>
          </w:p>
          <w:p>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3．响应文件解密结束后，各供应商签署《国企采购活动现场确认声明书》，并在15分钟内以扫描件方式发送至代理机构邮箱：</w:t>
            </w:r>
            <w:r>
              <w:rPr>
                <w:rFonts w:hint="eastAsia" w:ascii="宋体" w:hAnsi="宋体" w:eastAsia="宋体" w:cs="宋体"/>
                <w:bCs/>
                <w:strike w:val="0"/>
                <w:dstrike w:val="0"/>
                <w:color w:val="auto"/>
                <w:kern w:val="0"/>
                <w:szCs w:val="21"/>
                <w:highlight w:val="none"/>
                <w:lang w:eastAsia="zh-CN"/>
              </w:rPr>
              <w:t>1589009783@qq.com</w:t>
            </w:r>
            <w:r>
              <w:rPr>
                <w:rFonts w:hint="eastAsia" w:ascii="宋体" w:hAnsi="宋体" w:eastAsia="宋体" w:cs="宋体"/>
                <w:bCs/>
                <w:strike w:val="0"/>
                <w:dstrike w:val="0"/>
                <w:color w:val="auto"/>
                <w:kern w:val="0"/>
                <w:szCs w:val="21"/>
                <w:highlight w:val="none"/>
              </w:rPr>
              <w:t>；</w:t>
            </w:r>
          </w:p>
          <w:p>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4．由</w:t>
            </w:r>
            <w:r>
              <w:rPr>
                <w:rFonts w:hint="eastAsia" w:ascii="宋体" w:hAnsi="宋体" w:eastAsia="宋体" w:cs="宋体"/>
                <w:bCs/>
                <w:strike w:val="0"/>
                <w:dstrike w:val="0"/>
                <w:color w:val="auto"/>
                <w:kern w:val="0"/>
                <w:szCs w:val="21"/>
                <w:highlight w:val="none"/>
                <w:lang w:eastAsia="zh-CN"/>
              </w:rPr>
              <w:t>资格审查小组</w:t>
            </w:r>
            <w:r>
              <w:rPr>
                <w:rFonts w:hint="eastAsia" w:ascii="宋体" w:hAnsi="宋体" w:eastAsia="宋体" w:cs="宋体"/>
                <w:bCs/>
                <w:strike w:val="0"/>
                <w:dstrike w:val="0"/>
                <w:color w:val="auto"/>
                <w:kern w:val="0"/>
                <w:szCs w:val="21"/>
                <w:highlight w:val="none"/>
              </w:rPr>
              <w:t>评审</w:t>
            </w:r>
            <w:r>
              <w:rPr>
                <w:rFonts w:hint="eastAsia" w:ascii="宋体" w:hAnsi="宋体" w:eastAsia="宋体" w:cs="宋体"/>
                <w:bCs/>
                <w:strike w:val="0"/>
                <w:dstrike w:val="0"/>
                <w:color w:val="auto"/>
                <w:kern w:val="0"/>
                <w:szCs w:val="21"/>
                <w:highlight w:val="none"/>
                <w:lang w:eastAsia="zh-CN"/>
              </w:rPr>
              <w:t>资格审查文件</w:t>
            </w:r>
            <w:r>
              <w:rPr>
                <w:rFonts w:hint="eastAsia" w:ascii="宋体" w:hAnsi="宋体" w:eastAsia="宋体" w:cs="宋体"/>
                <w:bCs/>
                <w:strike w:val="0"/>
                <w:dstrike w:val="0"/>
                <w:color w:val="auto"/>
                <w:kern w:val="0"/>
                <w:szCs w:val="21"/>
                <w:highlight w:val="none"/>
              </w:rPr>
              <w:t>；</w:t>
            </w:r>
          </w:p>
          <w:p>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rPr>
              <w:t>5．评标委员会对商务技术响应文件进行评审；</w:t>
            </w:r>
          </w:p>
          <w:p>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lang w:val="en-US" w:eastAsia="zh-CN"/>
              </w:rPr>
              <w:t>6</w:t>
            </w:r>
            <w:r>
              <w:rPr>
                <w:rFonts w:hint="eastAsia" w:ascii="宋体" w:hAnsi="宋体" w:eastAsia="宋体" w:cs="宋体"/>
                <w:bCs/>
                <w:strike w:val="0"/>
                <w:dstrike w:val="0"/>
                <w:color w:val="auto"/>
                <w:kern w:val="0"/>
                <w:szCs w:val="21"/>
                <w:highlight w:val="none"/>
              </w:rPr>
              <w:t>．由评标委员会采用综合评分法对供应商的报价进行综合评分；</w:t>
            </w:r>
          </w:p>
          <w:p>
            <w:pPr>
              <w:spacing w:line="276" w:lineRule="auto"/>
              <w:rPr>
                <w:rFonts w:hint="eastAsia" w:ascii="宋体" w:hAnsi="宋体" w:eastAsia="宋体" w:cs="宋体"/>
                <w:bCs/>
                <w:strike w:val="0"/>
                <w:dstrike w:val="0"/>
                <w:color w:val="auto"/>
                <w:kern w:val="0"/>
                <w:szCs w:val="21"/>
                <w:highlight w:val="none"/>
              </w:rPr>
            </w:pPr>
            <w:r>
              <w:rPr>
                <w:rFonts w:hint="eastAsia" w:ascii="宋体" w:hAnsi="宋体" w:eastAsia="宋体" w:cs="宋体"/>
                <w:bCs/>
                <w:strike w:val="0"/>
                <w:dstrike w:val="0"/>
                <w:color w:val="auto"/>
                <w:kern w:val="0"/>
                <w:szCs w:val="21"/>
                <w:highlight w:val="none"/>
                <w:lang w:val="en-US" w:eastAsia="zh-CN"/>
              </w:rPr>
              <w:t>7</w:t>
            </w:r>
            <w:r>
              <w:rPr>
                <w:rFonts w:hint="eastAsia" w:ascii="宋体" w:hAnsi="宋体" w:eastAsia="宋体" w:cs="宋体"/>
                <w:bCs/>
                <w:strike w:val="0"/>
                <w:dstrike w:val="0"/>
                <w:color w:val="auto"/>
                <w:kern w:val="0"/>
                <w:szCs w:val="21"/>
                <w:highlight w:val="none"/>
              </w:rPr>
              <w:t>．评标委员会根据综合评分情况，按照评审得分由高到低顺序推荐成交候选供应商；</w:t>
            </w:r>
          </w:p>
          <w:p>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strike w:val="0"/>
                <w:dstrike w:val="0"/>
                <w:color w:val="auto"/>
                <w:kern w:val="0"/>
                <w:szCs w:val="21"/>
                <w:highlight w:val="none"/>
                <w:lang w:val="en-US" w:eastAsia="zh-CN"/>
              </w:rPr>
              <w:t>8.</w:t>
            </w:r>
            <w:r>
              <w:rPr>
                <w:rFonts w:hint="eastAsia" w:ascii="宋体" w:hAnsi="宋体" w:eastAsia="宋体" w:cs="宋体"/>
                <w:bCs/>
                <w:strike w:val="0"/>
                <w:dstrike w:val="0"/>
                <w:color w:val="auto"/>
                <w:kern w:val="0"/>
                <w:szCs w:val="21"/>
                <w:highlight w:val="none"/>
              </w:rPr>
              <w:t>在系统上公布评审结果。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24"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24</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评标委员会的组建</w:t>
            </w:r>
          </w:p>
        </w:tc>
        <w:tc>
          <w:tcPr>
            <w:tcW w:w="6620" w:type="dxa"/>
            <w:vAlign w:val="center"/>
          </w:tcPr>
          <w:p>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评标委员会构成：由</w:t>
            </w:r>
            <w:r>
              <w:rPr>
                <w:rFonts w:hint="eastAsia" w:ascii="宋体" w:hAnsi="宋体" w:eastAsia="宋体" w:cs="宋体"/>
                <w:bCs/>
                <w:color w:val="auto"/>
                <w:kern w:val="0"/>
                <w:szCs w:val="21"/>
                <w:highlight w:val="none"/>
                <w:lang w:eastAsia="zh-CN"/>
              </w:rPr>
              <w:t>采购人</w:t>
            </w:r>
            <w:r>
              <w:rPr>
                <w:rFonts w:hint="eastAsia" w:ascii="宋体" w:hAnsi="宋体" w:eastAsia="宋体" w:cs="宋体"/>
                <w:bCs/>
                <w:color w:val="auto"/>
                <w:kern w:val="0"/>
                <w:szCs w:val="21"/>
                <w:highlight w:val="none"/>
              </w:rPr>
              <w:t>代表以及有关技术、经济等方面的专家组成，成员为</w:t>
            </w:r>
            <w:r>
              <w:rPr>
                <w:rFonts w:hint="eastAsia" w:ascii="宋体" w:hAnsi="宋体" w:eastAsia="宋体" w:cs="宋体"/>
                <w:bCs/>
                <w:color w:val="auto"/>
                <w:kern w:val="0"/>
                <w:szCs w:val="21"/>
                <w:highlight w:val="none"/>
                <w:lang w:val="en-US" w:eastAsia="zh-CN"/>
              </w:rPr>
              <w:t>5</w:t>
            </w:r>
            <w:r>
              <w:rPr>
                <w:rFonts w:hint="eastAsia" w:ascii="宋体" w:hAnsi="宋体" w:eastAsia="宋体" w:cs="宋体"/>
                <w:bCs/>
                <w:color w:val="auto"/>
                <w:kern w:val="0"/>
                <w:szCs w:val="21"/>
                <w:highlight w:val="none"/>
              </w:rPr>
              <w:t>人及以上单数，其中技术、经济类专家不得少于总人数的2/3；</w:t>
            </w:r>
          </w:p>
          <w:p>
            <w:pPr>
              <w:spacing w:line="276" w:lineRule="auto"/>
              <w:rPr>
                <w:rFonts w:hint="eastAsia" w:ascii="宋体" w:hAnsi="宋体" w:eastAsia="宋体" w:cs="宋体"/>
                <w:bCs/>
                <w:color w:val="auto"/>
                <w:kern w:val="0"/>
                <w:szCs w:val="21"/>
                <w:highlight w:val="none"/>
              </w:rPr>
            </w:pPr>
            <w:r>
              <w:rPr>
                <w:rFonts w:hint="eastAsia" w:ascii="宋体" w:hAnsi="宋体" w:eastAsia="宋体" w:cs="宋体"/>
                <w:bCs/>
                <w:color w:val="auto"/>
                <w:kern w:val="0"/>
                <w:szCs w:val="21"/>
                <w:highlight w:val="none"/>
              </w:rPr>
              <w:t>评标专家确定方式：按相关规定从专家库中抽取。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24"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25</w:t>
            </w:r>
          </w:p>
        </w:tc>
        <w:tc>
          <w:tcPr>
            <w:tcW w:w="2009" w:type="dxa"/>
            <w:vAlign w:val="center"/>
          </w:tcPr>
          <w:p>
            <w:pPr>
              <w:spacing w:line="276"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合同管理</w:t>
            </w:r>
          </w:p>
        </w:tc>
        <w:tc>
          <w:tcPr>
            <w:tcW w:w="6620" w:type="dxa"/>
            <w:vAlign w:val="center"/>
          </w:tcPr>
          <w:p>
            <w:pPr>
              <w:spacing w:line="276"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1.中标人与</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签订合同后，三个工作日内将合同原件交给</w:t>
            </w:r>
            <w:r>
              <w:rPr>
                <w:rFonts w:hint="eastAsia" w:ascii="宋体" w:hAnsi="宋体" w:eastAsia="宋体" w:cs="宋体"/>
                <w:color w:val="auto"/>
                <w:szCs w:val="21"/>
                <w:highlight w:val="none"/>
                <w:lang w:eastAsia="zh-CN"/>
              </w:rPr>
              <w:t>温州市兴城工程造价审计咨询事务所（普通合伙）</w:t>
            </w:r>
            <w:r>
              <w:rPr>
                <w:rFonts w:hint="eastAsia" w:ascii="宋体" w:hAnsi="宋体" w:eastAsia="宋体" w:cs="宋体"/>
                <w:color w:val="auto"/>
                <w:szCs w:val="21"/>
                <w:highlight w:val="none"/>
              </w:rPr>
              <w:t>备案。</w:t>
            </w:r>
          </w:p>
          <w:p>
            <w:pPr>
              <w:spacing w:line="276" w:lineRule="auto"/>
              <w:rPr>
                <w:rFonts w:hint="eastAsia" w:ascii="宋体" w:hAnsi="宋体" w:eastAsia="宋体" w:cs="宋体"/>
                <w:bCs/>
                <w:color w:val="auto"/>
                <w:kern w:val="0"/>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在合同签订后三个工作日内要及时向</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申请备案。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57" w:type="dxa"/>
            <w:left w:w="108" w:type="dxa"/>
            <w:bottom w:w="57" w:type="dxa"/>
            <w:right w:w="108" w:type="dxa"/>
          </w:tblCellMar>
        </w:tblPrEx>
        <w:trPr>
          <w:trHeight w:val="824" w:hRule="atLeast"/>
          <w:jc w:val="center"/>
        </w:trPr>
        <w:tc>
          <w:tcPr>
            <w:tcW w:w="645" w:type="dxa"/>
            <w:vAlign w:val="center"/>
          </w:tcPr>
          <w:p>
            <w:pPr>
              <w:spacing w:line="276" w:lineRule="auto"/>
              <w:jc w:val="center"/>
              <w:rPr>
                <w:rFonts w:hint="eastAsia" w:ascii="宋体" w:hAnsi="宋体" w:eastAsia="宋体" w:cs="宋体"/>
                <w:color w:val="auto"/>
                <w:szCs w:val="21"/>
                <w:highlight w:val="none"/>
                <w:lang w:val="en-US" w:eastAsia="zh-CN"/>
              </w:rPr>
            </w:pPr>
            <w:bookmarkStart w:id="44" w:name="_Toc12068"/>
            <w:bookmarkStart w:id="45" w:name="_Toc29768"/>
            <w:r>
              <w:rPr>
                <w:rFonts w:hint="eastAsia" w:ascii="宋体" w:hAnsi="宋体" w:eastAsia="宋体" w:cs="宋体"/>
                <w:color w:val="auto"/>
                <w:szCs w:val="21"/>
                <w:highlight w:val="none"/>
                <w:lang w:val="en-US" w:eastAsia="zh-CN"/>
              </w:rPr>
              <w:t>26</w:t>
            </w:r>
          </w:p>
        </w:tc>
        <w:tc>
          <w:tcPr>
            <w:tcW w:w="2009" w:type="dxa"/>
            <w:vAlign w:val="center"/>
          </w:tcPr>
          <w:p>
            <w:pPr>
              <w:keepNext w:val="0"/>
              <w:keepLines w:val="0"/>
              <w:pageBreakBefore w:val="0"/>
              <w:kinsoku/>
              <w:wordWrap/>
              <w:overflowPunct/>
              <w:topLinePunct w:val="0"/>
              <w:autoSpaceDE/>
              <w:autoSpaceDN/>
              <w:bidi w:val="0"/>
              <w:spacing w:line="400" w:lineRule="atLeast"/>
              <w:jc w:val="center"/>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rPr>
              <w:t>解释权</w:t>
            </w:r>
          </w:p>
        </w:tc>
        <w:tc>
          <w:tcPr>
            <w:tcW w:w="6620" w:type="dxa"/>
            <w:vAlign w:val="center"/>
          </w:tcPr>
          <w:p>
            <w:pPr>
              <w:keepNext w:val="0"/>
              <w:keepLines w:val="0"/>
              <w:pageBreakBefore w:val="0"/>
              <w:kinsoku/>
              <w:wordWrap/>
              <w:overflowPunct/>
              <w:topLinePunct w:val="0"/>
              <w:autoSpaceDE/>
              <w:autoSpaceDN/>
              <w:bidi w:val="0"/>
              <w:spacing w:line="400" w:lineRule="atLeast"/>
              <w:textAlignment w:val="auto"/>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rPr>
              <w:t>构成本</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文件的各个组成文件应互为解释，互为说明；如有不明确或不一致，构成合同文件组成内容的，以合同文件约定内容为准，且以专用合同条款约定的合同文件优先顺序解释；仅适用于招标投标阶段的约定，按采购公告、</w:t>
            </w:r>
            <w:r>
              <w:rPr>
                <w:rFonts w:hint="eastAsia" w:ascii="宋体" w:hAnsi="宋体" w:eastAsia="宋体" w:cs="宋体"/>
                <w:color w:val="auto"/>
                <w:sz w:val="21"/>
                <w:szCs w:val="21"/>
                <w:highlight w:val="none"/>
                <w:lang w:eastAsia="zh-CN"/>
              </w:rPr>
              <w:t>投标人</w:t>
            </w:r>
            <w:r>
              <w:rPr>
                <w:rFonts w:hint="eastAsia" w:ascii="宋体" w:hAnsi="宋体" w:eastAsia="宋体" w:cs="宋体"/>
                <w:color w:val="auto"/>
                <w:sz w:val="21"/>
                <w:szCs w:val="21"/>
                <w:highlight w:val="none"/>
              </w:rPr>
              <w:t>须知、评标办法、投标文件格式的先后顺序解释；同一文件中就同一事项的约定不一致的，以逻辑顺序在后者为准；同一文件不同版本之间有不一致的，以形成时间在后者为准。按本款前述约定仍不能形成结论的，由招标采购单位负责解释。</w:t>
            </w:r>
          </w:p>
        </w:tc>
      </w:tr>
    </w:tbl>
    <w:p>
      <w:pPr>
        <w:pStyle w:val="236"/>
        <w:widowControl w:val="0"/>
        <w:snapToGrid w:val="0"/>
        <w:spacing w:line="500" w:lineRule="exact"/>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br w:type="page"/>
      </w:r>
      <w:r>
        <w:rPr>
          <w:rFonts w:hint="eastAsia" w:ascii="宋体" w:hAnsi="宋体" w:eastAsia="宋体" w:cs="宋体"/>
          <w:color w:val="auto"/>
          <w:sz w:val="32"/>
          <w:szCs w:val="32"/>
          <w:highlight w:val="none"/>
        </w:rPr>
        <w:t>国有企业采购活动现场确认声明书</w:t>
      </w:r>
    </w:p>
    <w:p>
      <w:pPr>
        <w:pStyle w:val="236"/>
        <w:keepNext w:val="0"/>
        <w:keepLines w:val="0"/>
        <w:pageBreakBefore w:val="0"/>
        <w:widowControl w:val="0"/>
        <w:kinsoku/>
        <w:wordWrap/>
        <w:overflowPunct/>
        <w:topLinePunct w:val="0"/>
        <w:autoSpaceDE/>
        <w:autoSpaceDN/>
        <w:bidi w:val="0"/>
        <w:snapToGrid w:val="0"/>
        <w:spacing w:line="440" w:lineRule="exact"/>
        <w:jc w:val="both"/>
        <w:rPr>
          <w:rFonts w:hint="eastAsia" w:ascii="宋体" w:hAnsi="宋体" w:eastAsia="宋体" w:cs="宋体"/>
          <w:b/>
          <w:color w:val="auto"/>
          <w:sz w:val="24"/>
          <w:szCs w:val="24"/>
          <w:highlight w:val="none"/>
        </w:rPr>
      </w:pPr>
      <w:r>
        <w:rPr>
          <w:rFonts w:hint="eastAsia" w:ascii="宋体" w:hAnsi="宋体" w:eastAsia="宋体" w:cs="宋体"/>
          <w:color w:val="auto"/>
          <w:kern w:val="0"/>
          <w:sz w:val="24"/>
          <w:szCs w:val="24"/>
          <w:highlight w:val="none"/>
          <w:u w:val="single"/>
          <w:lang w:eastAsia="zh-CN"/>
        </w:rPr>
        <w:t>温州市兴城工程造价审计咨询事务所（普通合伙）</w:t>
      </w:r>
      <w:r>
        <w:rPr>
          <w:rFonts w:hint="eastAsia" w:ascii="宋体" w:hAnsi="宋体" w:eastAsia="宋体" w:cs="宋体"/>
          <w:color w:val="auto"/>
          <w:kern w:val="0"/>
          <w:sz w:val="24"/>
          <w:szCs w:val="24"/>
          <w:highlight w:val="none"/>
        </w:rPr>
        <w:t>：</w:t>
      </w:r>
    </w:p>
    <w:p>
      <w:pPr>
        <w:pStyle w:val="236"/>
        <w:keepNext w:val="0"/>
        <w:keepLines w:val="0"/>
        <w:pageBreakBefore w:val="0"/>
        <w:widowControl w:val="0"/>
        <w:kinsoku/>
        <w:wordWrap/>
        <w:overflowPunct/>
        <w:topLinePunct w:val="0"/>
        <w:autoSpaceDE/>
        <w:autoSpaceDN/>
        <w:bidi w:val="0"/>
        <w:snapToGrid w:val="0"/>
        <w:spacing w:line="440" w:lineRule="exact"/>
        <w:ind w:firstLine="504" w:firstLineChars="200"/>
        <w:jc w:val="both"/>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本人经由</w:t>
      </w:r>
      <w:r>
        <w:rPr>
          <w:rFonts w:hint="eastAsia" w:ascii="宋体" w:hAnsi="宋体" w:eastAsia="宋体" w:cs="宋体"/>
          <w:color w:val="auto"/>
          <w:spacing w:val="6"/>
          <w:sz w:val="24"/>
          <w:szCs w:val="24"/>
          <w:highlight w:val="none"/>
          <w:u w:val="single"/>
        </w:rPr>
        <w:t xml:space="preserve">             （单位）</w:t>
      </w:r>
      <w:r>
        <w:rPr>
          <w:rFonts w:hint="eastAsia" w:ascii="宋体" w:hAnsi="宋体" w:eastAsia="宋体" w:cs="宋体"/>
          <w:color w:val="auto"/>
          <w:spacing w:val="6"/>
          <w:sz w:val="24"/>
          <w:szCs w:val="24"/>
          <w:highlight w:val="none"/>
        </w:rPr>
        <w:t>负责人</w:t>
      </w:r>
      <w:r>
        <w:rPr>
          <w:rFonts w:hint="eastAsia" w:ascii="宋体" w:hAnsi="宋体" w:eastAsia="宋体" w:cs="宋体"/>
          <w:color w:val="auto"/>
          <w:spacing w:val="6"/>
          <w:sz w:val="24"/>
          <w:szCs w:val="24"/>
          <w:highlight w:val="none"/>
          <w:u w:val="single"/>
        </w:rPr>
        <w:t xml:space="preserve">      （姓名）</w:t>
      </w:r>
      <w:r>
        <w:rPr>
          <w:rFonts w:hint="eastAsia" w:ascii="宋体" w:hAnsi="宋体" w:eastAsia="宋体" w:cs="宋体"/>
          <w:color w:val="auto"/>
          <w:spacing w:val="6"/>
          <w:sz w:val="24"/>
          <w:szCs w:val="24"/>
          <w:highlight w:val="none"/>
        </w:rPr>
        <w:t>合法授权参</w:t>
      </w:r>
      <w:r>
        <w:rPr>
          <w:rFonts w:hint="eastAsia" w:ascii="宋体" w:hAnsi="宋体" w:eastAsia="宋体" w:cs="宋体"/>
          <w:color w:val="auto"/>
          <w:spacing w:val="6"/>
          <w:sz w:val="24"/>
          <w:szCs w:val="24"/>
          <w:highlight w:val="none"/>
          <w:lang w:val="en-US" w:eastAsia="zh-CN"/>
        </w:rPr>
        <w:t>加</w:t>
      </w:r>
      <w:r>
        <w:rPr>
          <w:rFonts w:hint="eastAsia" w:ascii="宋体" w:hAnsi="宋体" w:eastAsia="宋体" w:cs="宋体"/>
          <w:color w:val="auto"/>
          <w:spacing w:val="6"/>
          <w:sz w:val="24"/>
          <w:szCs w:val="24"/>
          <w:highlight w:val="none"/>
          <w:u w:val="single"/>
          <w:lang w:val="en-US" w:eastAsia="zh-CN"/>
        </w:rPr>
        <w:t xml:space="preserve"> </w:t>
      </w:r>
      <w:r>
        <w:rPr>
          <w:rFonts w:hint="eastAsia" w:hAnsi="宋体" w:cs="宋体"/>
          <w:color w:val="auto"/>
          <w:spacing w:val="6"/>
          <w:sz w:val="24"/>
          <w:szCs w:val="24"/>
          <w:highlight w:val="none"/>
          <w:u w:val="single"/>
          <w:lang w:val="en-US" w:eastAsia="zh-CN"/>
        </w:rPr>
        <w:t>瓯窑产业化项目研发生产提效设备-陶艺工作室仪器设备</w:t>
      </w:r>
      <w:r>
        <w:rPr>
          <w:rFonts w:hint="eastAsia" w:ascii="宋体" w:hAnsi="宋体" w:eastAsia="宋体" w:cs="宋体"/>
          <w:color w:val="auto"/>
          <w:spacing w:val="6"/>
          <w:sz w:val="24"/>
          <w:szCs w:val="24"/>
          <w:highlight w:val="none"/>
        </w:rPr>
        <w:t>（项目编号：</w:t>
      </w:r>
      <w:r>
        <w:rPr>
          <w:rFonts w:hint="eastAsia" w:ascii="宋体" w:hAnsi="宋体" w:eastAsia="宋体" w:cs="宋体"/>
          <w:color w:val="auto"/>
          <w:spacing w:val="6"/>
          <w:sz w:val="24"/>
          <w:szCs w:val="24"/>
          <w:highlight w:val="none"/>
          <w:u w:val="single"/>
          <w:lang w:val="en-US" w:eastAsia="zh-CN"/>
        </w:rPr>
        <w:t>WGSS-GYNY-Z-2025018</w:t>
      </w:r>
      <w:r>
        <w:rPr>
          <w:rFonts w:hint="eastAsia" w:ascii="宋体" w:hAnsi="宋体" w:eastAsia="宋体" w:cs="宋体"/>
          <w:color w:val="auto"/>
          <w:spacing w:val="6"/>
          <w:sz w:val="24"/>
          <w:szCs w:val="24"/>
          <w:highlight w:val="none"/>
        </w:rPr>
        <w:t>）国有企业采购活动，经与本单位法人代表</w:t>
      </w:r>
      <w:r>
        <w:rPr>
          <w:rFonts w:hint="eastAsia" w:ascii="宋体" w:hAnsi="宋体" w:eastAsia="宋体" w:cs="宋体"/>
          <w:color w:val="auto"/>
          <w:spacing w:val="6"/>
          <w:sz w:val="24"/>
          <w:szCs w:val="24"/>
          <w:highlight w:val="none"/>
          <w:u w:val="single"/>
          <w:lang w:val="en-US" w:eastAsia="zh-CN"/>
        </w:rPr>
        <w:t xml:space="preserve">     </w:t>
      </w:r>
      <w:r>
        <w:rPr>
          <w:rFonts w:hint="eastAsia" w:ascii="宋体" w:hAnsi="宋体" w:eastAsia="宋体" w:cs="宋体"/>
          <w:color w:val="auto"/>
          <w:spacing w:val="6"/>
          <w:sz w:val="24"/>
          <w:szCs w:val="24"/>
          <w:highlight w:val="none"/>
        </w:rPr>
        <w:t xml:space="preserve">（负责人）联系确认，现就有关公平竞争事项郑重声明如下： </w:t>
      </w:r>
    </w:p>
    <w:p>
      <w:pPr>
        <w:pStyle w:val="198"/>
        <w:keepNext w:val="0"/>
        <w:keepLines w:val="0"/>
        <w:pageBreakBefore w:val="0"/>
        <w:widowControl/>
        <w:numPr>
          <w:ilvl w:val="0"/>
          <w:numId w:val="4"/>
        </w:numPr>
        <w:kinsoku/>
        <w:wordWrap/>
        <w:overflowPunct/>
        <w:topLinePunct w:val="0"/>
        <w:autoSpaceDE/>
        <w:autoSpaceDN/>
        <w:bidi w:val="0"/>
        <w:snapToGrid w:val="0"/>
        <w:spacing w:line="440" w:lineRule="exact"/>
        <w:ind w:firstLine="453" w:firstLineChars="18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本单位与采购人之间 □不存在利害关系 □存在下列利害关系</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pPr>
        <w:pStyle w:val="198"/>
        <w:keepNext w:val="0"/>
        <w:keepLines w:val="0"/>
        <w:pageBreakBefore w:val="0"/>
        <w:widowControl/>
        <w:kinsoku/>
        <w:wordWrap/>
        <w:overflowPunct/>
        <w:topLinePunct w:val="0"/>
        <w:autoSpaceDE/>
        <w:autoSpaceDN/>
        <w:bidi w:val="0"/>
        <w:snapToGrid w:val="0"/>
        <w:spacing w:line="44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A.投资关系    B.行政隶属关系    C.业务指导关系</w:t>
      </w:r>
    </w:p>
    <w:p>
      <w:pPr>
        <w:pStyle w:val="198"/>
        <w:keepNext w:val="0"/>
        <w:keepLines w:val="0"/>
        <w:pageBreakBefore w:val="0"/>
        <w:widowControl/>
        <w:kinsoku/>
        <w:wordWrap/>
        <w:overflowPunct/>
        <w:topLinePunct w:val="0"/>
        <w:autoSpaceDE/>
        <w:autoSpaceDN/>
        <w:bidi w:val="0"/>
        <w:snapToGrid w:val="0"/>
        <w:spacing w:line="44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D.其他可能</w:t>
      </w:r>
      <w:r>
        <w:rPr>
          <w:rFonts w:hint="eastAsia" w:ascii="宋体" w:hAnsi="宋体" w:eastAsia="宋体" w:cs="宋体"/>
          <w:color w:val="auto"/>
          <w:sz w:val="24"/>
          <w:szCs w:val="24"/>
          <w:highlight w:val="none"/>
        </w:rPr>
        <w:t>影响采购公正的</w:t>
      </w:r>
      <w:r>
        <w:rPr>
          <w:rFonts w:hint="eastAsia" w:ascii="宋体" w:hAnsi="宋体" w:eastAsia="宋体" w:cs="宋体"/>
          <w:color w:val="auto"/>
          <w:kern w:val="0"/>
          <w:sz w:val="24"/>
          <w:szCs w:val="24"/>
          <w:highlight w:val="none"/>
        </w:rPr>
        <w:t>利害关系</w:t>
      </w:r>
      <w:r>
        <w:rPr>
          <w:rFonts w:hint="eastAsia" w:ascii="宋体" w:hAnsi="宋体" w:eastAsia="宋体" w:cs="宋体"/>
          <w:color w:val="auto"/>
          <w:kern w:val="0"/>
          <w:sz w:val="24"/>
          <w:szCs w:val="24"/>
          <w:highlight w:val="none"/>
          <w:u w:val="single"/>
        </w:rPr>
        <w:t xml:space="preserve">（如有，请如实说明）                 </w:t>
      </w:r>
      <w:r>
        <w:rPr>
          <w:rFonts w:hint="eastAsia" w:ascii="宋体" w:hAnsi="宋体" w:eastAsia="宋体" w:cs="宋体"/>
          <w:color w:val="auto"/>
          <w:kern w:val="0"/>
          <w:sz w:val="24"/>
          <w:szCs w:val="24"/>
          <w:highlight w:val="none"/>
        </w:rPr>
        <w:t>。</w:t>
      </w:r>
    </w:p>
    <w:p>
      <w:pPr>
        <w:pStyle w:val="198"/>
        <w:keepNext w:val="0"/>
        <w:keepLines w:val="0"/>
        <w:pageBreakBefore w:val="0"/>
        <w:widowControl/>
        <w:kinsoku/>
        <w:wordWrap/>
        <w:overflowPunct/>
        <w:topLinePunct w:val="0"/>
        <w:autoSpaceDE/>
        <w:autoSpaceDN/>
        <w:bidi w:val="0"/>
        <w:snapToGrid w:val="0"/>
        <w:spacing w:line="440" w:lineRule="exact"/>
        <w:ind w:firstLine="504"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spacing w:val="6"/>
          <w:sz w:val="24"/>
          <w:szCs w:val="24"/>
          <w:highlight w:val="none"/>
        </w:rPr>
        <w:t>二、</w:t>
      </w:r>
      <w:r>
        <w:rPr>
          <w:rFonts w:hint="eastAsia" w:ascii="宋体" w:hAnsi="宋体" w:eastAsia="宋体" w:cs="宋体"/>
          <w:color w:val="auto"/>
          <w:kern w:val="0"/>
          <w:sz w:val="24"/>
          <w:szCs w:val="24"/>
          <w:highlight w:val="none"/>
        </w:rPr>
        <w:t>现已清楚知道参加本项目采购活动的其他所有供应商名称，本单位 □与其他所有供应商之间均不存在利害关系 □与</w:t>
      </w:r>
      <w:r>
        <w:rPr>
          <w:rFonts w:hint="eastAsia" w:ascii="宋体" w:hAnsi="宋体" w:eastAsia="宋体" w:cs="宋体"/>
          <w:color w:val="auto"/>
          <w:kern w:val="0"/>
          <w:sz w:val="24"/>
          <w:szCs w:val="24"/>
          <w:highlight w:val="none"/>
          <w:u w:val="single"/>
        </w:rPr>
        <w:t xml:space="preserve">             （供应商名称）</w:t>
      </w:r>
      <w:r>
        <w:rPr>
          <w:rFonts w:hint="eastAsia" w:ascii="宋体" w:hAnsi="宋体" w:eastAsia="宋体" w:cs="宋体"/>
          <w:color w:val="auto"/>
          <w:kern w:val="0"/>
          <w:sz w:val="24"/>
          <w:szCs w:val="24"/>
          <w:highlight w:val="none"/>
        </w:rPr>
        <w:t>之间存在下列利害关系</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A.法定代表人或负责人或实际控制人是同一人</w:t>
      </w:r>
    </w:p>
    <w:p>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B.法定代表人或负责人或实际控制人是夫妻关系</w:t>
      </w:r>
    </w:p>
    <w:p>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C.法定代表人或负责人或实际控制人是直系血亲关系</w:t>
      </w:r>
    </w:p>
    <w:p>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kern w:val="0"/>
          <w:sz w:val="24"/>
          <w:szCs w:val="24"/>
          <w:highlight w:val="none"/>
        </w:rPr>
        <w:t xml:space="preserve">  D.法定代表人或负责人或实际控制人存在三代以内旁系血亲关系</w:t>
      </w:r>
    </w:p>
    <w:p>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E.法定代表人或负责人或实际控制人存在近姻亲关系</w:t>
      </w:r>
    </w:p>
    <w:p>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F.法定代表人或负责人或实际控制人存在股份控制或实际控制关系</w:t>
      </w:r>
    </w:p>
    <w:p>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outlineLvl w:val="9"/>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  G.存在共同直接或间接投资设立子公司、联营企业和合营企业情况</w:t>
      </w:r>
    </w:p>
    <w:p>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 xml:space="preserve">  H.存在分级代理或代销关系、同一生产制造商关系、</w:t>
      </w:r>
      <w:r>
        <w:rPr>
          <w:rFonts w:hint="eastAsia" w:ascii="宋体" w:hAnsi="宋体" w:eastAsia="宋体" w:cs="宋体"/>
          <w:color w:val="auto"/>
          <w:sz w:val="24"/>
          <w:szCs w:val="24"/>
          <w:highlight w:val="none"/>
        </w:rPr>
        <w:t>管理关系、重要业务（占主营业务收入50%以上）或重要财务往来关系（如融资）等其他实质性控制关系</w:t>
      </w:r>
    </w:p>
    <w:p>
      <w:pPr>
        <w:pStyle w:val="236"/>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jc w:val="both"/>
        <w:textAlignment w:val="baseline"/>
        <w:rPr>
          <w:rFonts w:hint="eastAsia" w:ascii="宋体" w:hAnsi="宋体" w:eastAsia="宋体" w:cs="宋体"/>
          <w:color w:val="auto"/>
          <w:spacing w:val="6"/>
          <w:sz w:val="24"/>
          <w:szCs w:val="24"/>
          <w:highlight w:val="none"/>
        </w:rPr>
      </w:pPr>
      <w:r>
        <w:rPr>
          <w:rFonts w:hint="eastAsia" w:ascii="宋体" w:hAnsi="宋体" w:eastAsia="宋体" w:cs="宋体"/>
          <w:color w:val="auto"/>
          <w:sz w:val="24"/>
          <w:szCs w:val="24"/>
          <w:highlight w:val="none"/>
        </w:rPr>
        <w:t xml:space="preserve">  I</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其他利害关系情况</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rPr>
        <w:t>。</w:t>
      </w:r>
    </w:p>
    <w:p>
      <w:pPr>
        <w:pStyle w:val="198"/>
        <w:keepNext w:val="0"/>
        <w:keepLines w:val="0"/>
        <w:pageBreakBefore w:val="0"/>
        <w:widowControl/>
        <w:numPr>
          <w:ilvl w:val="0"/>
          <w:numId w:val="5"/>
        </w:numPr>
        <w:kinsoku/>
        <w:wordWrap/>
        <w:overflowPunct/>
        <w:topLinePunct w:val="0"/>
        <w:autoSpaceDE/>
        <w:autoSpaceDN/>
        <w:bidi w:val="0"/>
        <w:snapToGrid w:val="0"/>
        <w:spacing w:line="440" w:lineRule="exact"/>
        <w:ind w:firstLine="453" w:firstLineChars="189"/>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现已清楚知道并</w:t>
      </w:r>
      <w:r>
        <w:rPr>
          <w:rFonts w:hint="eastAsia" w:ascii="宋体" w:hAnsi="宋体" w:eastAsia="宋体" w:cs="宋体"/>
          <w:color w:val="auto"/>
          <w:kern w:val="0"/>
          <w:sz w:val="24"/>
          <w:szCs w:val="24"/>
          <w:highlight w:val="none"/>
        </w:rPr>
        <w:t>严格遵守国有企业采购法律法规和现场纪律。</w:t>
      </w:r>
    </w:p>
    <w:p>
      <w:pPr>
        <w:pStyle w:val="198"/>
        <w:keepNext w:val="0"/>
        <w:keepLines w:val="0"/>
        <w:pageBreakBefore w:val="0"/>
        <w:widowControl/>
        <w:numPr>
          <w:ilvl w:val="0"/>
          <w:numId w:val="5"/>
        </w:numPr>
        <w:kinsoku/>
        <w:wordWrap/>
        <w:overflowPunct/>
        <w:topLinePunct w:val="0"/>
        <w:autoSpaceDE/>
        <w:autoSpaceDN/>
        <w:bidi w:val="0"/>
        <w:snapToGrid w:val="0"/>
        <w:spacing w:line="440" w:lineRule="exact"/>
        <w:ind w:firstLine="453" w:firstLineChars="189"/>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我发现</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供应商之间存在或可能存在上述第二条第</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项利害关系。</w:t>
      </w:r>
    </w:p>
    <w:p>
      <w:pPr>
        <w:pStyle w:val="236"/>
        <w:keepNext w:val="0"/>
        <w:keepLines w:val="0"/>
        <w:pageBreakBefore w:val="0"/>
        <w:widowControl w:val="0"/>
        <w:kinsoku/>
        <w:wordWrap/>
        <w:overflowPunct/>
        <w:topLinePunct w:val="0"/>
        <w:autoSpaceDE/>
        <w:autoSpaceDN/>
        <w:bidi w:val="0"/>
        <w:snapToGrid w:val="0"/>
        <w:spacing w:line="440" w:lineRule="exact"/>
        <w:ind w:firstLine="480" w:firstLineChars="200"/>
        <w:jc w:val="center"/>
        <w:rPr>
          <w:rFonts w:hint="eastAsia" w:ascii="宋体" w:hAnsi="宋体" w:eastAsia="宋体" w:cs="宋体"/>
          <w:color w:val="auto"/>
          <w:sz w:val="28"/>
          <w:szCs w:val="21"/>
          <w:highlight w:val="none"/>
          <w:lang w:eastAsia="zh-CN"/>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供应商代表签名</w:t>
      </w:r>
      <w:r>
        <w:rPr>
          <w:rFonts w:hint="eastAsia" w:ascii="宋体" w:hAnsi="宋体" w:eastAsia="宋体" w:cs="宋体"/>
          <w:color w:val="auto"/>
          <w:sz w:val="24"/>
          <w:szCs w:val="24"/>
          <w:highlight w:val="none"/>
          <w:lang w:eastAsia="zh-CN"/>
        </w:rPr>
        <w:t>：</w:t>
      </w:r>
    </w:p>
    <w:p>
      <w:pPr>
        <w:pStyle w:val="236"/>
        <w:keepNext w:val="0"/>
        <w:keepLines w:val="0"/>
        <w:pageBreakBefore w:val="0"/>
        <w:widowControl w:val="0"/>
        <w:kinsoku/>
        <w:wordWrap/>
        <w:overflowPunct/>
        <w:topLinePunct w:val="0"/>
        <w:autoSpaceDE/>
        <w:autoSpaceDN/>
        <w:bidi w:val="0"/>
        <w:snapToGrid w:val="0"/>
        <w:spacing w:line="440" w:lineRule="exact"/>
        <w:jc w:val="right"/>
        <w:outlineLvl w:val="9"/>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2025年  月  日</w:t>
      </w:r>
    </w:p>
    <w:p>
      <w:pPr>
        <w:spacing w:line="360" w:lineRule="auto"/>
        <w:jc w:val="center"/>
        <w:outlineLvl w:val="1"/>
        <w:rPr>
          <w:rFonts w:hint="eastAsia" w:ascii="宋体" w:hAnsi="宋体" w:eastAsia="宋体" w:cs="宋体"/>
          <w:b/>
          <w:bCs/>
          <w:color w:val="auto"/>
          <w:sz w:val="30"/>
          <w:highlight w:val="none"/>
        </w:rPr>
      </w:pPr>
      <w:r>
        <w:rPr>
          <w:rFonts w:hint="eastAsia" w:ascii="宋体" w:hAnsi="宋体" w:eastAsia="宋体" w:cs="宋体"/>
          <w:b/>
          <w:bCs/>
          <w:color w:val="auto"/>
          <w:sz w:val="28"/>
          <w:highlight w:val="none"/>
        </w:rPr>
        <w:br w:type="page"/>
      </w:r>
      <w:bookmarkStart w:id="46" w:name="_Toc4426"/>
      <w:r>
        <w:rPr>
          <w:rFonts w:hint="eastAsia" w:ascii="宋体" w:hAnsi="宋体" w:eastAsia="宋体" w:cs="宋体"/>
          <w:b/>
          <w:bCs/>
          <w:color w:val="auto"/>
          <w:sz w:val="28"/>
          <w:highlight w:val="none"/>
        </w:rPr>
        <w:t>（二）总 则</w:t>
      </w:r>
      <w:bookmarkEnd w:id="44"/>
      <w:bookmarkEnd w:id="45"/>
      <w:bookmarkEnd w:id="46"/>
    </w:p>
    <w:p>
      <w:pPr>
        <w:numPr>
          <w:ilvl w:val="0"/>
          <w:numId w:val="6"/>
        </w:numPr>
        <w:snapToGrid w:val="0"/>
        <w:spacing w:line="360" w:lineRule="auto"/>
        <w:ind w:left="538" w:hanging="538" w:hangingChars="255"/>
        <w:rPr>
          <w:rFonts w:hint="eastAsia" w:ascii="宋体" w:hAnsi="宋体" w:eastAsia="宋体" w:cs="宋体"/>
          <w:b/>
          <w:color w:val="auto"/>
          <w:highlight w:val="none"/>
        </w:rPr>
      </w:pPr>
      <w:r>
        <w:rPr>
          <w:rFonts w:hint="eastAsia" w:ascii="宋体" w:hAnsi="宋体" w:eastAsia="宋体" w:cs="宋体"/>
          <w:b/>
          <w:color w:val="auto"/>
          <w:highlight w:val="none"/>
        </w:rPr>
        <w:t>说明</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本次招标工作是按照</w:t>
      </w:r>
      <w:r>
        <w:rPr>
          <w:rFonts w:hint="eastAsia" w:ascii="宋体" w:hAnsi="宋体" w:eastAsia="宋体" w:cs="宋体"/>
          <w:color w:val="auto"/>
          <w:highlight w:val="none"/>
          <w:lang w:eastAsia="zh-CN"/>
        </w:rPr>
        <w:t>《温州市市属国有企业采购管理办法》</w:t>
      </w:r>
      <w:r>
        <w:rPr>
          <w:rFonts w:hint="eastAsia" w:ascii="宋体" w:hAnsi="宋体" w:eastAsia="宋体" w:cs="宋体"/>
          <w:color w:val="auto"/>
          <w:highlight w:val="none"/>
        </w:rPr>
        <w:t>和浙江省及项目所在地的有关招投标规定，结合本项目的实际，组织和实施。</w:t>
      </w:r>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定义及解释</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招标代理机构：</w:t>
      </w:r>
      <w:r>
        <w:rPr>
          <w:rFonts w:hint="eastAsia" w:ascii="宋体" w:hAnsi="宋体" w:eastAsia="宋体" w:cs="宋体"/>
          <w:color w:val="auto"/>
          <w:highlight w:val="none"/>
          <w:lang w:eastAsia="zh-CN"/>
        </w:rPr>
        <w:t>温州市兴城工程造价审计咨询事务所（普通合伙）</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b/>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：系响应招标、参加投标竞争的依法成立的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中标人：系在本次招标中，中标的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评标委员会：评标委员会是依据</w:t>
      </w:r>
      <w:r>
        <w:rPr>
          <w:rFonts w:hint="eastAsia" w:ascii="宋体" w:hAnsi="宋体" w:eastAsia="宋体" w:cs="宋体"/>
          <w:color w:val="auto"/>
          <w:highlight w:val="none"/>
          <w:lang w:eastAsia="zh-CN"/>
        </w:rPr>
        <w:t>《温州市市属国有企业采购管理办法》</w:t>
      </w:r>
      <w:r>
        <w:rPr>
          <w:rFonts w:hint="eastAsia" w:ascii="宋体" w:hAnsi="宋体" w:eastAsia="宋体" w:cs="宋体"/>
          <w:color w:val="auto"/>
          <w:highlight w:val="none"/>
        </w:rPr>
        <w:t>和浙江省及项目所在地的有关招投标规定，结合本项目的实际组建的专门负责招标评标工作的临时性机构。</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日期：指公历日。</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合同：指由招标所产生的合同或合约文件。</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“书面形式”是指任何手写的、打印的或印刷的文件，包括电报和传真发送。</w:t>
      </w:r>
    </w:p>
    <w:p>
      <w:pPr>
        <w:numPr>
          <w:ilvl w:val="0"/>
          <w:numId w:val="6"/>
        </w:numPr>
        <w:snapToGrid w:val="0"/>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合格的</w:t>
      </w:r>
      <w:r>
        <w:rPr>
          <w:rFonts w:hint="eastAsia" w:ascii="宋体" w:hAnsi="宋体" w:eastAsia="宋体" w:cs="宋体"/>
          <w:b/>
          <w:color w:val="auto"/>
          <w:highlight w:val="none"/>
          <w:lang w:eastAsia="zh-CN"/>
        </w:rPr>
        <w:t>投标供应商：详见采购公告</w:t>
      </w:r>
    </w:p>
    <w:p>
      <w:pPr>
        <w:numPr>
          <w:ilvl w:val="0"/>
          <w:numId w:val="6"/>
        </w:numPr>
        <w:snapToGrid w:val="0"/>
        <w:spacing w:line="360" w:lineRule="auto"/>
        <w:ind w:left="841" w:hanging="841" w:hangingChars="399"/>
        <w:rPr>
          <w:rFonts w:hint="eastAsia" w:ascii="宋体" w:hAnsi="宋体" w:eastAsia="宋体" w:cs="宋体"/>
          <w:b/>
          <w:color w:val="auto"/>
          <w:highlight w:val="none"/>
          <w:lang w:val="en-US" w:eastAsia="zh-CN"/>
        </w:rPr>
      </w:pPr>
      <w:r>
        <w:rPr>
          <w:rFonts w:hint="eastAsia" w:ascii="宋体" w:hAnsi="宋体" w:eastAsia="宋体" w:cs="宋体"/>
          <w:b/>
          <w:color w:val="auto"/>
          <w:highlight w:val="none"/>
          <w:lang w:val="en-US" w:eastAsia="zh-CN"/>
        </w:rPr>
        <w:t>联合体投标：本项目不接受。</w:t>
      </w:r>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信用记录：</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信用信息查询的截止时点：投标截止时间前。</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查询渠道与留存方式：招标采购单位登录“信用中国”（</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HYPERLINK "http://www.creditchina.gov.cn/"</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www.creditchina.gov.cn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）、“中国政府采购网”（</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HYPERLINK "http://www.ccgp.gov.cn/"</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www.ccgp.gov.cn</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）网站查询各投标供应商信用记录，网页截图并打印存档。</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不良信用记录指：被列入失信被执行人、重大税收违法案件当事人名单、政府采购严重违法失信行为记录名单及其他不满足</w:t>
      </w:r>
      <w:r>
        <w:rPr>
          <w:rFonts w:hint="eastAsia" w:ascii="宋体" w:hAnsi="宋体" w:eastAsia="宋体" w:cs="宋体"/>
          <w:color w:val="auto"/>
          <w:highlight w:val="none"/>
          <w:lang w:eastAsia="zh-CN"/>
        </w:rPr>
        <w:t>《温州市市属国有企业采购管理办法》第十</w:t>
      </w:r>
      <w:r>
        <w:rPr>
          <w:rFonts w:hint="eastAsia" w:ascii="宋体" w:hAnsi="宋体" w:eastAsia="宋体" w:cs="宋体"/>
          <w:color w:val="auto"/>
          <w:highlight w:val="none"/>
          <w:lang w:val="en-US" w:eastAsia="zh-CN"/>
        </w:rPr>
        <w:t>八</w:t>
      </w:r>
      <w:r>
        <w:rPr>
          <w:rFonts w:hint="eastAsia" w:ascii="宋体" w:hAnsi="宋体" w:eastAsia="宋体" w:cs="宋体"/>
          <w:color w:val="auto"/>
          <w:highlight w:val="none"/>
          <w:lang w:eastAsia="zh-CN"/>
        </w:rPr>
        <w:t>条</w:t>
      </w:r>
      <w:r>
        <w:rPr>
          <w:rFonts w:hint="eastAsia" w:ascii="宋体" w:hAnsi="宋体" w:eastAsia="宋体" w:cs="宋体"/>
          <w:color w:val="auto"/>
          <w:highlight w:val="none"/>
        </w:rPr>
        <w:t>规定条件。存在不良信用记录的投标供应商，将被拒绝参与政府采购活动。</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联合体投标时，招标采购单位将对所有联合体成员进行信用记录查询，联合体成员存在不良信用记录的，视同联合体存在不良信用记录。</w:t>
      </w:r>
    </w:p>
    <w:p>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保密与披露事项</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不得串通，以不正当的手段妨碍排挤其他</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，扰乱市场，破坏公平竞争原则。</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自购买招标文件之日起，须承诺承担本招标项目的保密义务，不得将因本次招标获得的信息向第三方外传。</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有权将</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提供的所有资料向其他政府部门或有关的非政府机构负责评审投标文件的人员或与评标有关的人员披露。</w:t>
      </w:r>
    </w:p>
    <w:p>
      <w:pPr>
        <w:numPr>
          <w:ilvl w:val="1"/>
          <w:numId w:val="6"/>
        </w:numPr>
        <w:tabs>
          <w:tab w:val="left" w:pos="592"/>
        </w:tabs>
        <w:snapToGrid w:val="0"/>
        <w:spacing w:line="360" w:lineRule="auto"/>
        <w:ind w:left="588" w:hanging="588" w:hangingChars="280"/>
        <w:rPr>
          <w:rFonts w:hint="eastAsia" w:ascii="宋体" w:hAnsi="宋体" w:eastAsia="宋体" w:cs="宋体"/>
          <w:b/>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有权在认为适当时，或在任何第三者提出要求（书面或其他方式）时，无须事先征求中标人同意而披露关于已订立合约的资料、中标人的名称及地址、中标服务的有关信息以及合约条款等。</w:t>
      </w:r>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投标费用</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应承担所有与编写和提交投标文件有关的费用，不论投标的结果如何，</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和招标代理机构在任何情况下均无义务和责任承担这些费用。</w:t>
      </w:r>
    </w:p>
    <w:p>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踏勘现场</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自行前往现场踏勘，以便</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获取有关编制投标文件和签署合同所涉及现场的资料，</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承担现场踏勘所发生的费用。</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由于对现场条件不了解而造成中标后发生一切不良后果和风险，均由</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自负。</w:t>
      </w:r>
    </w:p>
    <w:p>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投标委托</w:t>
      </w:r>
    </w:p>
    <w:p>
      <w:pPr>
        <w:tabs>
          <w:tab w:val="left" w:pos="1003"/>
        </w:tabs>
        <w:snapToGrid w:val="0"/>
        <w:spacing w:line="360" w:lineRule="auto"/>
        <w:ind w:left="525" w:leftChars="250"/>
        <w:rPr>
          <w:rFonts w:hint="eastAsia" w:ascii="宋体" w:hAnsi="宋体" w:eastAsia="宋体" w:cs="宋体"/>
          <w:color w:val="auto"/>
          <w:highlight w:val="none"/>
          <w:lang w:eastAsia="zh-CN"/>
        </w:rPr>
      </w:pPr>
      <w:r>
        <w:rPr>
          <w:rFonts w:hint="eastAsia" w:ascii="宋体" w:hAnsi="宋体" w:eastAsia="宋体" w:cs="宋体"/>
          <w:color w:val="auto"/>
          <w:highlight w:val="none"/>
        </w:rPr>
        <w:t>如</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代表不是法定代表人，须持有《法定代表人授权委托书》（见第五部分）</w:t>
      </w:r>
      <w:r>
        <w:rPr>
          <w:rFonts w:hint="eastAsia" w:ascii="宋体" w:hAnsi="宋体" w:eastAsia="宋体" w:cs="宋体"/>
          <w:color w:val="auto"/>
          <w:highlight w:val="none"/>
          <w:lang w:eastAsia="zh-CN"/>
        </w:rPr>
        <w:t>。</w:t>
      </w:r>
    </w:p>
    <w:p>
      <w:pPr>
        <w:tabs>
          <w:tab w:val="left" w:pos="1003"/>
        </w:tabs>
        <w:snapToGrid w:val="0"/>
        <w:spacing w:line="360" w:lineRule="auto"/>
        <w:ind w:firstLine="630" w:firstLineChars="300"/>
        <w:rPr>
          <w:rFonts w:hint="eastAsia" w:ascii="宋体" w:hAnsi="宋体" w:eastAsia="宋体" w:cs="宋体"/>
          <w:color w:val="auto"/>
          <w:highlight w:val="none"/>
        </w:rPr>
      </w:pPr>
    </w:p>
    <w:p>
      <w:pPr>
        <w:spacing w:line="360" w:lineRule="auto"/>
        <w:jc w:val="center"/>
        <w:outlineLvl w:val="1"/>
        <w:rPr>
          <w:rFonts w:hint="eastAsia" w:ascii="宋体" w:hAnsi="宋体" w:eastAsia="宋体" w:cs="宋体"/>
          <w:b/>
          <w:bCs/>
          <w:color w:val="auto"/>
          <w:sz w:val="28"/>
          <w:highlight w:val="none"/>
        </w:rPr>
      </w:pPr>
      <w:bookmarkStart w:id="47" w:name="_Toc495977855"/>
      <w:bookmarkStart w:id="48" w:name="_Toc5642"/>
      <w:bookmarkStart w:id="49" w:name="_Toc6900"/>
      <w:bookmarkStart w:id="50" w:name="_Toc4791"/>
      <w:r>
        <w:rPr>
          <w:rFonts w:hint="eastAsia" w:ascii="宋体" w:hAnsi="宋体" w:eastAsia="宋体" w:cs="宋体"/>
          <w:b/>
          <w:bCs/>
          <w:color w:val="auto"/>
          <w:sz w:val="28"/>
          <w:highlight w:val="none"/>
        </w:rPr>
        <w:t>（三）招标文件</w:t>
      </w:r>
      <w:bookmarkEnd w:id="47"/>
      <w:r>
        <w:rPr>
          <w:rFonts w:hint="eastAsia" w:ascii="宋体" w:hAnsi="宋体" w:eastAsia="宋体" w:cs="宋体"/>
          <w:b/>
          <w:bCs/>
          <w:color w:val="auto"/>
          <w:sz w:val="28"/>
          <w:highlight w:val="none"/>
        </w:rPr>
        <w:t>说明</w:t>
      </w:r>
      <w:bookmarkEnd w:id="48"/>
      <w:bookmarkEnd w:id="49"/>
      <w:bookmarkEnd w:id="50"/>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招标文件构成</w:t>
      </w:r>
      <w:bookmarkStart w:id="51" w:name="_Hlt509038174"/>
      <w:bookmarkEnd w:id="51"/>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 xml:space="preserve">招标文件是用以阐明所需货物、服务及工程，以及招标、投标程序和相应的合同条款。“招标文件”由下述部分组成： </w:t>
      </w:r>
    </w:p>
    <w:p>
      <w:pPr>
        <w:snapToGrid w:val="0"/>
        <w:spacing w:line="360" w:lineRule="auto"/>
        <w:ind w:left="839" w:leftChars="257" w:hanging="299" w:hangingChars="142"/>
        <w:rPr>
          <w:rFonts w:hint="eastAsia" w:ascii="宋体" w:hAnsi="宋体" w:eastAsia="宋体" w:cs="宋体"/>
          <w:b/>
          <w:bCs/>
          <w:color w:val="auto"/>
          <w:highlight w:val="none"/>
          <w:lang w:eastAsia="zh-CN"/>
        </w:rPr>
      </w:pPr>
      <w:r>
        <w:rPr>
          <w:rFonts w:hint="eastAsia" w:ascii="宋体" w:hAnsi="宋体" w:eastAsia="宋体" w:cs="宋体"/>
          <w:b/>
          <w:bCs/>
          <w:color w:val="auto"/>
          <w:highlight w:val="none"/>
        </w:rPr>
        <w:t xml:space="preserve">第一部分   </w:t>
      </w:r>
      <w:r>
        <w:rPr>
          <w:rFonts w:hint="eastAsia" w:ascii="宋体" w:hAnsi="宋体" w:eastAsia="宋体" w:cs="宋体"/>
          <w:b/>
          <w:bCs/>
          <w:color w:val="auto"/>
          <w:highlight w:val="none"/>
          <w:lang w:eastAsia="zh-CN"/>
        </w:rPr>
        <w:t>采购公告</w:t>
      </w:r>
    </w:p>
    <w:p>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第二部分   投标须知及前附表</w:t>
      </w:r>
    </w:p>
    <w:p>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第三部分   招标内容及技术要求</w:t>
      </w:r>
    </w:p>
    <w:p>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第四部分   合同条款</w:t>
      </w:r>
    </w:p>
    <w:p>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第五部分   投标文件格式</w:t>
      </w:r>
    </w:p>
    <w:p>
      <w:pPr>
        <w:snapToGrid w:val="0"/>
        <w:spacing w:line="360" w:lineRule="auto"/>
        <w:ind w:left="839" w:leftChars="257" w:hanging="299" w:hangingChars="142"/>
        <w:rPr>
          <w:rFonts w:hint="eastAsia" w:ascii="宋体" w:hAnsi="宋体" w:eastAsia="宋体" w:cs="宋体"/>
          <w:b/>
          <w:bCs/>
          <w:color w:val="auto"/>
          <w:highlight w:val="none"/>
        </w:rPr>
      </w:pPr>
      <w:r>
        <w:rPr>
          <w:rFonts w:hint="eastAsia" w:ascii="宋体" w:hAnsi="宋体" w:eastAsia="宋体" w:cs="宋体"/>
          <w:b/>
          <w:bCs/>
          <w:color w:val="auto"/>
          <w:highlight w:val="none"/>
        </w:rPr>
        <w:t>第六部分   评标办法</w:t>
      </w:r>
    </w:p>
    <w:p>
      <w:pPr>
        <w:snapToGrid w:val="0"/>
        <w:spacing w:line="360" w:lineRule="auto"/>
        <w:ind w:left="839" w:leftChars="257" w:hanging="299" w:hangingChars="142"/>
        <w:rPr>
          <w:rFonts w:hint="eastAsia" w:ascii="宋体" w:hAnsi="宋体" w:eastAsia="宋体" w:cs="宋体"/>
          <w:color w:val="auto"/>
          <w:sz w:val="30"/>
          <w:highlight w:val="none"/>
        </w:rPr>
      </w:pPr>
      <w:r>
        <w:rPr>
          <w:rFonts w:hint="eastAsia" w:ascii="宋体" w:hAnsi="宋体" w:eastAsia="宋体" w:cs="宋体"/>
          <w:b/>
          <w:bCs/>
          <w:color w:val="auto"/>
          <w:highlight w:val="none"/>
        </w:rPr>
        <w:t>第七部分   补充通知及答疑（如有）</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应详细阅读招标文件的全部内容。如果</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没有按照招标文件要求提交全部资料或者投标文件没有对招标文件在各方面的要求都做出实质性响应，是</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的风险。没有实质上响应招标文件要求的投标将被否决。</w:t>
      </w:r>
    </w:p>
    <w:p>
      <w:pPr>
        <w:numPr>
          <w:ilvl w:val="1"/>
          <w:numId w:val="6"/>
        </w:numPr>
        <w:tabs>
          <w:tab w:val="left" w:pos="592"/>
        </w:tabs>
        <w:snapToGrid w:val="0"/>
        <w:spacing w:line="360" w:lineRule="auto"/>
        <w:ind w:left="566" w:hanging="565" w:hangingChars="28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spacing w:val="-4"/>
          <w:kern w:val="0"/>
          <w:szCs w:val="21"/>
          <w:highlight w:val="none"/>
        </w:rPr>
        <w:t>本招标文件要求</w:t>
      </w:r>
      <w:r>
        <w:rPr>
          <w:rFonts w:hint="eastAsia" w:ascii="宋体" w:hAnsi="宋体" w:eastAsia="宋体" w:cs="宋体"/>
          <w:snapToGrid w:val="0"/>
          <w:color w:val="auto"/>
          <w:spacing w:val="-4"/>
          <w:kern w:val="0"/>
          <w:szCs w:val="21"/>
          <w:highlight w:val="none"/>
          <w:lang w:eastAsia="zh-CN"/>
        </w:rPr>
        <w:t>投标供应商</w:t>
      </w:r>
      <w:r>
        <w:rPr>
          <w:rFonts w:hint="eastAsia" w:ascii="宋体" w:hAnsi="宋体" w:eastAsia="宋体" w:cs="宋体"/>
          <w:snapToGrid w:val="0"/>
          <w:color w:val="auto"/>
          <w:spacing w:val="-4"/>
          <w:kern w:val="0"/>
          <w:szCs w:val="21"/>
          <w:highlight w:val="none"/>
        </w:rPr>
        <w:t>作出实质性响应的有关技术和商务条款，将在该条款前以“▲”醒目标识</w:t>
      </w:r>
      <w:r>
        <w:rPr>
          <w:rFonts w:hint="eastAsia" w:ascii="宋体" w:hAnsi="宋体" w:eastAsia="宋体" w:cs="宋体"/>
          <w:snapToGrid w:val="0"/>
          <w:color w:val="auto"/>
          <w:kern w:val="0"/>
          <w:szCs w:val="21"/>
          <w:highlight w:val="none"/>
        </w:rPr>
        <w:t>。</w:t>
      </w:r>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招标文件的澄清</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任何要求对招标文件进行澄清的投标人，均应在答疑截止期规定时间以前按</w:t>
      </w:r>
      <w:r>
        <w:rPr>
          <w:rFonts w:hint="eastAsia" w:ascii="宋体" w:hAnsi="宋体" w:eastAsia="宋体" w:cs="宋体"/>
          <w:color w:val="auto"/>
          <w:highlight w:val="none"/>
          <w:lang w:eastAsia="zh-CN"/>
        </w:rPr>
        <w:t>采购公告</w:t>
      </w:r>
      <w:r>
        <w:rPr>
          <w:rFonts w:hint="eastAsia" w:ascii="宋体" w:hAnsi="宋体" w:eastAsia="宋体" w:cs="宋体"/>
          <w:color w:val="auto"/>
          <w:highlight w:val="none"/>
        </w:rPr>
        <w:t>书中的通讯地址以书面形式传真或寄送给采购代理机构，采购代理机构对答疑截止期规定时间以前收到的任何澄清要求将以书面形式予以答复，同时将以书面、传真或在“温州国企采购平台”与“乐采云”发布公告等类似的形式通知已领取招标文件的每一投标人。答复中包括原提出的问题，但不包括问题的来源。</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将视情况确定是否有必要召开标前会，如果召开时会将标前会的通知（包括时间和地点）发给所有</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招标文件的修改</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在投标截止时间前任何时候，</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无论是出于何种原因，均可对招标文件用补充文件的方式进行修改。</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对招标文件的修改，将以书面、电子邮件或传真的形式通知已领取招标文件的每一</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应立即以书面形式回复确认已收到修改文件。</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为使投标人有足够的时间按采购文件的修改要求修正投标文件，</w:t>
      </w:r>
      <w:r>
        <w:rPr>
          <w:rFonts w:hint="eastAsia" w:ascii="宋体" w:hAnsi="宋体" w:eastAsia="宋体" w:cs="宋体"/>
          <w:color w:val="auto"/>
          <w:highlight w:val="none"/>
          <w:lang w:val="en-US" w:eastAsia="zh-CN"/>
        </w:rPr>
        <w:t>采购人</w:t>
      </w:r>
      <w:r>
        <w:rPr>
          <w:rFonts w:hint="eastAsia" w:ascii="宋体" w:hAnsi="宋体" w:eastAsia="宋体" w:cs="宋体"/>
          <w:color w:val="auto"/>
          <w:highlight w:val="none"/>
        </w:rPr>
        <w:t>可酌情推迟投标的截止日期和开标日期，并将具体变更情况在“浙江省政府采购网”（http://zfcg.czt.zj.gov.cn/）、温州国企采购平台（https://wzgzw-cg.zhengcaiyun.cn/）及</w:t>
      </w:r>
      <w:r>
        <w:rPr>
          <w:rFonts w:hint="eastAsia" w:ascii="宋体" w:hAnsi="宋体" w:eastAsia="宋体" w:cs="宋体"/>
          <w:color w:val="auto"/>
          <w:highlight w:val="none"/>
          <w:lang w:eastAsia="zh-CN"/>
        </w:rPr>
        <w:t>相关网站</w:t>
      </w:r>
      <w:r>
        <w:rPr>
          <w:rFonts w:hint="eastAsia" w:ascii="宋体" w:hAnsi="宋体" w:eastAsia="宋体" w:cs="宋体"/>
          <w:color w:val="auto"/>
          <w:highlight w:val="none"/>
        </w:rPr>
        <w:t>发布公告等类似的形式通知上述每一</w:t>
      </w:r>
      <w:r>
        <w:rPr>
          <w:rFonts w:hint="eastAsia" w:ascii="宋体" w:hAnsi="宋体" w:eastAsia="宋体" w:cs="宋体"/>
          <w:color w:val="auto"/>
          <w:highlight w:val="none"/>
          <w:lang w:val="en-US" w:eastAsia="zh-CN"/>
        </w:rPr>
        <w:t>投标供应商</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补充文件将作为招标文件的组成部分，对所有</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有约束力。</w:t>
      </w:r>
    </w:p>
    <w:p>
      <w:pPr>
        <w:tabs>
          <w:tab w:val="left" w:pos="592"/>
          <w:tab w:val="left" w:pos="1003"/>
        </w:tabs>
        <w:snapToGrid w:val="0"/>
        <w:spacing w:line="360" w:lineRule="auto"/>
        <w:ind w:left="588"/>
        <w:rPr>
          <w:rFonts w:hint="eastAsia" w:ascii="宋体" w:hAnsi="宋体" w:eastAsia="宋体" w:cs="宋体"/>
          <w:color w:val="auto"/>
          <w:highlight w:val="none"/>
        </w:rPr>
      </w:pPr>
    </w:p>
    <w:p>
      <w:pPr>
        <w:spacing w:line="360" w:lineRule="auto"/>
        <w:jc w:val="center"/>
        <w:outlineLvl w:val="1"/>
        <w:rPr>
          <w:rFonts w:hint="eastAsia" w:ascii="宋体" w:hAnsi="宋体" w:eastAsia="宋体" w:cs="宋体"/>
          <w:b/>
          <w:bCs/>
          <w:color w:val="auto"/>
          <w:sz w:val="28"/>
          <w:highlight w:val="none"/>
        </w:rPr>
      </w:pPr>
      <w:bookmarkStart w:id="52" w:name="_Toc29048"/>
      <w:bookmarkStart w:id="53" w:name="_Toc21776"/>
      <w:bookmarkStart w:id="54" w:name="_Toc23326"/>
      <w:r>
        <w:rPr>
          <w:rFonts w:hint="eastAsia" w:ascii="宋体" w:hAnsi="宋体" w:eastAsia="宋体" w:cs="宋体"/>
          <w:b/>
          <w:bCs/>
          <w:color w:val="auto"/>
          <w:sz w:val="28"/>
          <w:highlight w:val="none"/>
        </w:rPr>
        <w:t>（四）投标文件的编制</w:t>
      </w:r>
      <w:bookmarkEnd w:id="52"/>
      <w:bookmarkEnd w:id="53"/>
      <w:bookmarkEnd w:id="54"/>
    </w:p>
    <w:p>
      <w:pPr>
        <w:numPr>
          <w:ilvl w:val="0"/>
          <w:numId w:val="6"/>
        </w:numPr>
        <w:snapToGrid w:val="0"/>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rPr>
        <w:t>投标文件的语言和计量单位</w:t>
      </w:r>
    </w:p>
    <w:p>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提交的投标文件以及</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与</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就有关投标的所有来往函电均应使用中文。</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投标文件应字迹清楚、内容齐全、不得涂改。如有修改，修改处须有法定代表人或其授权代表签章。</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所提供的技术文件和资料，包括图纸中的说明，应使用中文简化字。所使用的计量单位，应使用国家法定计量单位。</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必须按招标文件的要求提供相关技术参数、资料，包括采用的计量单位，并保证投标文件的正确性和真实性，否则评标委员会将作出不利于其投标的评定。不按招标文件的要求提供的投标文件可能导致无效 。</w:t>
      </w:r>
    </w:p>
    <w:p>
      <w:pPr>
        <w:numPr>
          <w:ilvl w:val="0"/>
          <w:numId w:val="6"/>
        </w:numPr>
        <w:snapToGrid w:val="0"/>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rPr>
        <w:t>投标文件的组成（具体格式详见本文件第五部分，表格可以按同样格式扩展）</w:t>
      </w:r>
    </w:p>
    <w:p>
      <w:pPr>
        <w:numPr>
          <w:ilvl w:val="1"/>
          <w:numId w:val="6"/>
        </w:numPr>
        <w:tabs>
          <w:tab w:val="left" w:pos="592"/>
        </w:tabs>
        <w:snapToGrid w:val="0"/>
        <w:spacing w:line="360" w:lineRule="auto"/>
        <w:ind w:left="588" w:hanging="588" w:hangingChars="2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投标文件由</w:t>
      </w:r>
      <w:r>
        <w:rPr>
          <w:rFonts w:hint="eastAsia" w:ascii="宋体" w:hAnsi="宋体" w:eastAsia="宋体" w:cs="宋体"/>
          <w:color w:val="auto"/>
          <w:sz w:val="21"/>
          <w:szCs w:val="21"/>
          <w:highlight w:val="none"/>
          <w:lang w:val="en-US" w:eastAsia="zh-CN"/>
        </w:rPr>
        <w:t>以下</w:t>
      </w:r>
      <w:r>
        <w:rPr>
          <w:rFonts w:hint="eastAsia" w:ascii="宋体" w:hAnsi="宋体" w:eastAsia="宋体" w:cs="宋体"/>
          <w:color w:val="auto"/>
          <w:sz w:val="21"/>
          <w:szCs w:val="21"/>
          <w:highlight w:val="none"/>
        </w:rPr>
        <w:t>部分组成。</w:t>
      </w:r>
    </w:p>
    <w:p>
      <w:pPr>
        <w:keepNext w:val="0"/>
        <w:keepLines w:val="0"/>
        <w:pageBreakBefore w:val="0"/>
        <w:numPr>
          <w:ilvl w:val="0"/>
          <w:numId w:val="7"/>
        </w:numPr>
        <w:tabs>
          <w:tab w:val="left" w:pos="6358"/>
        </w:tabs>
        <w:kinsoku/>
        <w:wordWrap/>
        <w:overflowPunct/>
        <w:topLinePunct w:val="0"/>
        <w:bidi w:val="0"/>
        <w:snapToGrid w:val="0"/>
        <w:spacing w:line="360" w:lineRule="auto"/>
        <w:ind w:left="567"/>
        <w:textAlignment w:val="auto"/>
        <w:rPr>
          <w:rFonts w:hint="eastAsia" w:ascii="宋体" w:hAnsi="宋体" w:eastAsia="宋体" w:cs="宋体"/>
          <w:b/>
          <w:color w:val="auto"/>
          <w:highlight w:val="none"/>
          <w:lang w:val="en-US" w:eastAsia="zh-CN"/>
        </w:rPr>
      </w:pPr>
      <w:r>
        <w:rPr>
          <w:rFonts w:hint="eastAsia" w:ascii="宋体" w:hAnsi="宋体" w:eastAsia="宋体" w:cs="宋体"/>
          <w:b/>
          <w:color w:val="auto"/>
          <w:highlight w:val="none"/>
          <w:lang w:val="en-US" w:eastAsia="zh-CN"/>
        </w:rPr>
        <w:t xml:space="preserve"> 资格审查文件：</w:t>
      </w:r>
    </w:p>
    <w:p>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color w:val="auto"/>
          <w:highlight w:val="none"/>
        </w:rPr>
      </w:pPr>
      <w:r>
        <w:rPr>
          <w:rFonts w:hint="eastAsia" w:ascii="宋体" w:hAnsi="宋体" w:eastAsia="宋体" w:cs="宋体"/>
          <w:bCs/>
          <w:color w:val="auto"/>
          <w:szCs w:val="24"/>
          <w:highlight w:val="none"/>
        </w:rPr>
        <w:t>投标供应商营业执照</w:t>
      </w:r>
      <w:r>
        <w:rPr>
          <w:rFonts w:hint="eastAsia" w:ascii="宋体" w:hAnsi="宋体" w:eastAsia="宋体" w:cs="宋体"/>
          <w:bCs/>
          <w:color w:val="auto"/>
          <w:szCs w:val="24"/>
          <w:highlight w:val="none"/>
          <w:lang w:eastAsia="zh-CN"/>
        </w:rPr>
        <w:t>。</w:t>
      </w:r>
    </w:p>
    <w:p>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color w:val="auto"/>
          <w:highlight w:val="none"/>
        </w:rPr>
      </w:pPr>
      <w:r>
        <w:rPr>
          <w:rFonts w:hint="eastAsia" w:ascii="宋体" w:hAnsi="宋体" w:eastAsia="宋体" w:cs="宋体"/>
          <w:bCs/>
          <w:color w:val="auto"/>
          <w:szCs w:val="24"/>
          <w:highlight w:val="none"/>
        </w:rPr>
        <w:t>关于满足</w:t>
      </w:r>
      <w:r>
        <w:rPr>
          <w:rFonts w:hint="eastAsia" w:ascii="宋体" w:hAnsi="宋体" w:eastAsia="宋体" w:cs="宋体"/>
          <w:bCs/>
          <w:color w:val="auto"/>
          <w:szCs w:val="24"/>
          <w:highlight w:val="none"/>
          <w:lang w:eastAsia="zh-CN"/>
        </w:rPr>
        <w:t>《温州市市属国有企业采购管理办法》第十</w:t>
      </w:r>
      <w:r>
        <w:rPr>
          <w:rFonts w:hint="eastAsia" w:ascii="宋体" w:hAnsi="宋体" w:eastAsia="宋体" w:cs="宋体"/>
          <w:bCs/>
          <w:color w:val="auto"/>
          <w:szCs w:val="24"/>
          <w:highlight w:val="none"/>
          <w:lang w:val="en-US" w:eastAsia="zh-CN"/>
        </w:rPr>
        <w:t>八</w:t>
      </w:r>
      <w:r>
        <w:rPr>
          <w:rFonts w:hint="eastAsia" w:ascii="宋体" w:hAnsi="宋体" w:eastAsia="宋体" w:cs="宋体"/>
          <w:bCs/>
          <w:color w:val="auto"/>
          <w:szCs w:val="24"/>
          <w:highlight w:val="none"/>
          <w:lang w:eastAsia="zh-CN"/>
        </w:rPr>
        <w:t>条</w:t>
      </w:r>
      <w:r>
        <w:rPr>
          <w:rFonts w:hint="eastAsia" w:ascii="宋体" w:hAnsi="宋体" w:eastAsia="宋体" w:cs="宋体"/>
          <w:bCs/>
          <w:color w:val="auto"/>
          <w:szCs w:val="24"/>
          <w:highlight w:val="none"/>
        </w:rPr>
        <w:t>规定的承诺函。</w:t>
      </w:r>
    </w:p>
    <w:p>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color w:val="auto"/>
          <w:highlight w:val="none"/>
        </w:rPr>
      </w:pPr>
      <w:r>
        <w:rPr>
          <w:rFonts w:hint="eastAsia" w:ascii="宋体" w:hAnsi="宋体" w:eastAsia="宋体" w:cs="宋体"/>
          <w:color w:val="auto"/>
          <w:szCs w:val="21"/>
          <w:highlight w:val="none"/>
        </w:rPr>
        <w:t>未被“信用中国” ( www.creditchina.gov.cn )、中国政府采购网(www.ccgp.gov.cn ] 列入失信被执行人、重大税收违法案件当事人名单、政府采购严重违法失信行为记录名单。（以采购组织机构在开标当日在“信用中国”（www.creditchina.gov.cn）、中国政府采购网（www.ccgp.gov.cn）网页查询记录为准。）</w:t>
      </w:r>
    </w:p>
    <w:p>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b w:val="0"/>
          <w:bCs/>
          <w:color w:val="auto"/>
          <w:highlight w:val="none"/>
        </w:rPr>
      </w:pPr>
      <w:r>
        <w:rPr>
          <w:rFonts w:hint="eastAsia" w:ascii="宋体" w:hAnsi="宋体" w:eastAsia="宋体" w:cs="宋体"/>
          <w:b w:val="0"/>
          <w:bCs/>
          <w:color w:val="auto"/>
          <w:highlight w:val="none"/>
        </w:rPr>
        <w:t>参加国有企业采购活动前3年内在经营活动中有/无重大违法记录的书面声明；</w:t>
      </w:r>
    </w:p>
    <w:p>
      <w:pPr>
        <w:numPr>
          <w:ilvl w:val="0"/>
          <w:numId w:val="8"/>
        </w:numPr>
        <w:tabs>
          <w:tab w:val="left" w:pos="1260"/>
        </w:tabs>
        <w:snapToGrid w:val="0"/>
        <w:spacing w:line="400" w:lineRule="exact"/>
        <w:ind w:left="1372" w:leftChars="0" w:hanging="646" w:firstLineChars="0"/>
        <w:jc w:val="both"/>
        <w:rPr>
          <w:rFonts w:hint="eastAsia" w:ascii="宋体" w:hAnsi="宋体" w:eastAsia="宋体" w:cs="宋体"/>
          <w:b w:val="0"/>
          <w:bCs/>
          <w:color w:val="auto"/>
          <w:highlight w:val="none"/>
        </w:rPr>
      </w:pPr>
      <w:r>
        <w:rPr>
          <w:rFonts w:hint="eastAsia" w:ascii="宋体" w:hAnsi="宋体" w:eastAsia="宋体" w:cs="宋体"/>
          <w:b w:val="0"/>
          <w:bCs/>
          <w:color w:val="auto"/>
          <w:sz w:val="21"/>
          <w:szCs w:val="21"/>
          <w:highlight w:val="none"/>
        </w:rPr>
        <w:t>投标保证金缴纳凭证</w:t>
      </w:r>
      <w:r>
        <w:rPr>
          <w:rFonts w:hint="eastAsia" w:ascii="宋体" w:hAnsi="宋体" w:eastAsia="宋体" w:cs="宋体"/>
          <w:b w:val="0"/>
          <w:bCs/>
          <w:color w:val="auto"/>
          <w:sz w:val="21"/>
          <w:szCs w:val="21"/>
          <w:highlight w:val="none"/>
          <w:lang w:eastAsia="zh-CN"/>
        </w:rPr>
        <w:t>。</w:t>
      </w:r>
    </w:p>
    <w:p>
      <w:pPr>
        <w:keepNext w:val="0"/>
        <w:keepLines w:val="0"/>
        <w:pageBreakBefore w:val="0"/>
        <w:numPr>
          <w:ilvl w:val="0"/>
          <w:numId w:val="7"/>
        </w:numPr>
        <w:tabs>
          <w:tab w:val="left" w:pos="6358"/>
        </w:tabs>
        <w:kinsoku/>
        <w:wordWrap/>
        <w:overflowPunct/>
        <w:topLinePunct w:val="0"/>
        <w:bidi w:val="0"/>
        <w:snapToGrid w:val="0"/>
        <w:spacing w:line="360" w:lineRule="auto"/>
        <w:ind w:left="567"/>
        <w:textAlignment w:val="auto"/>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报价文件：</w:t>
      </w:r>
    </w:p>
    <w:p>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封面；</w:t>
      </w:r>
    </w:p>
    <w:p>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目录；</w:t>
      </w:r>
    </w:p>
    <w:p>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开标一览表；</w:t>
      </w:r>
    </w:p>
    <w:p>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highlight w:val="none"/>
          <w:lang w:eastAsia="zh-CN"/>
        </w:rPr>
        <w:t>报价</w:t>
      </w:r>
      <w:r>
        <w:rPr>
          <w:rFonts w:hint="eastAsia" w:ascii="宋体" w:hAnsi="宋体" w:eastAsia="宋体" w:cs="宋体"/>
          <w:color w:val="auto"/>
          <w:highlight w:val="none"/>
          <w:lang w:val="en-US" w:eastAsia="zh-CN"/>
        </w:rPr>
        <w:t>明细</w:t>
      </w:r>
      <w:r>
        <w:rPr>
          <w:rFonts w:hint="eastAsia" w:ascii="宋体" w:hAnsi="宋体" w:eastAsia="宋体" w:cs="宋体"/>
          <w:color w:val="auto"/>
          <w:highlight w:val="none"/>
        </w:rPr>
        <w:t>表</w:t>
      </w:r>
      <w:r>
        <w:rPr>
          <w:rFonts w:hint="eastAsia" w:ascii="宋体" w:hAnsi="宋体" w:eastAsia="宋体" w:cs="宋体"/>
          <w:color w:val="auto"/>
          <w:szCs w:val="21"/>
          <w:highlight w:val="none"/>
        </w:rPr>
        <w:t>；</w:t>
      </w:r>
    </w:p>
    <w:p>
      <w:pPr>
        <w:numPr>
          <w:ilvl w:val="0"/>
          <w:numId w:val="9"/>
        </w:numPr>
        <w:tabs>
          <w:tab w:val="left" w:pos="128"/>
          <w:tab w:val="left" w:pos="1260"/>
        </w:tabs>
        <w:snapToGrid w:val="0"/>
        <w:spacing w:line="400" w:lineRule="exact"/>
        <w:ind w:left="1151" w:leftChars="0" w:hanging="425" w:firstLineChars="0"/>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认为需要提供的文件和资料。</w:t>
      </w:r>
    </w:p>
    <w:p>
      <w:pPr>
        <w:keepNext w:val="0"/>
        <w:keepLines w:val="0"/>
        <w:pageBreakBefore w:val="0"/>
        <w:numPr>
          <w:ilvl w:val="0"/>
          <w:numId w:val="7"/>
        </w:numPr>
        <w:tabs>
          <w:tab w:val="left" w:pos="6358"/>
        </w:tabs>
        <w:kinsoku/>
        <w:wordWrap/>
        <w:overflowPunct/>
        <w:topLinePunct w:val="0"/>
        <w:bidi w:val="0"/>
        <w:snapToGrid w:val="0"/>
        <w:spacing w:line="360" w:lineRule="auto"/>
        <w:ind w:left="567"/>
        <w:textAlignment w:val="auto"/>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商务技术文件</w:t>
      </w:r>
      <w:r>
        <w:rPr>
          <w:rFonts w:hint="eastAsia" w:ascii="宋体" w:hAnsi="宋体" w:eastAsia="宋体" w:cs="宋体"/>
          <w:b/>
          <w:color w:val="auto"/>
          <w:highlight w:val="none"/>
        </w:rPr>
        <w:t>：</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封面；</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目录；</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投标函；</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lang w:eastAsia="zh-CN"/>
        </w:rPr>
        <w:t>法定代表人授权委托书；</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法定代表人身份证明；</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投标供应商</w:t>
      </w:r>
      <w:r>
        <w:rPr>
          <w:rFonts w:hint="eastAsia" w:ascii="宋体" w:hAnsi="宋体" w:eastAsia="宋体" w:cs="宋体"/>
          <w:color w:val="auto"/>
          <w:szCs w:val="22"/>
          <w:highlight w:val="none"/>
        </w:rPr>
        <w:t>情况说明；</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lang w:eastAsia="zh-CN"/>
        </w:rPr>
        <w:t>投标供应商20</w:t>
      </w:r>
      <w:r>
        <w:rPr>
          <w:rFonts w:hint="eastAsia" w:ascii="宋体" w:hAnsi="宋体" w:eastAsia="宋体" w:cs="宋体"/>
          <w:color w:val="auto"/>
          <w:szCs w:val="22"/>
          <w:highlight w:val="none"/>
          <w:lang w:val="en-US" w:eastAsia="zh-CN"/>
        </w:rPr>
        <w:t>2</w:t>
      </w:r>
      <w:r>
        <w:rPr>
          <w:rFonts w:hint="eastAsia" w:ascii="宋体" w:hAnsi="宋体" w:cs="宋体"/>
          <w:color w:val="auto"/>
          <w:szCs w:val="22"/>
          <w:highlight w:val="none"/>
          <w:lang w:val="en-US" w:eastAsia="zh-CN"/>
        </w:rPr>
        <w:t>2</w:t>
      </w:r>
      <w:r>
        <w:rPr>
          <w:rFonts w:hint="eastAsia" w:ascii="宋体" w:hAnsi="宋体" w:eastAsia="宋体" w:cs="宋体"/>
          <w:color w:val="auto"/>
          <w:szCs w:val="22"/>
          <w:highlight w:val="none"/>
          <w:lang w:eastAsia="zh-CN"/>
        </w:rPr>
        <w:t>年1月</w:t>
      </w:r>
      <w:r>
        <w:rPr>
          <w:rFonts w:hint="eastAsia" w:ascii="宋体" w:hAnsi="宋体" w:eastAsia="宋体" w:cs="宋体"/>
          <w:color w:val="auto"/>
          <w:szCs w:val="22"/>
          <w:highlight w:val="none"/>
          <w:lang w:val="en-US" w:eastAsia="zh-CN"/>
        </w:rPr>
        <w:t>1日</w:t>
      </w:r>
      <w:r>
        <w:rPr>
          <w:rFonts w:hint="eastAsia" w:ascii="宋体" w:hAnsi="宋体" w:eastAsia="宋体" w:cs="宋体"/>
          <w:color w:val="auto"/>
          <w:szCs w:val="22"/>
          <w:highlight w:val="none"/>
          <w:lang w:eastAsia="zh-CN"/>
        </w:rPr>
        <w:t>以来同类项目供货业绩一览表；</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b w:val="0"/>
          <w:bCs w:val="0"/>
          <w:color w:val="auto"/>
          <w:kern w:val="2"/>
          <w:sz w:val="21"/>
          <w:szCs w:val="24"/>
          <w:highlight w:val="none"/>
          <w:lang w:val="en-US" w:eastAsia="zh-CN" w:bidi="ar-SA"/>
        </w:rPr>
        <w:t>供货详细清单</w:t>
      </w:r>
      <w:r>
        <w:rPr>
          <w:rFonts w:hint="eastAsia" w:ascii="宋体" w:hAnsi="宋体" w:eastAsia="宋体" w:cs="宋体"/>
          <w:color w:val="auto"/>
          <w:szCs w:val="22"/>
          <w:highlight w:val="none"/>
        </w:rPr>
        <w:t>；</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color w:val="auto"/>
          <w:szCs w:val="22"/>
          <w:highlight w:val="none"/>
        </w:rPr>
      </w:pPr>
      <w:r>
        <w:rPr>
          <w:rFonts w:hint="eastAsia" w:ascii="宋体" w:hAnsi="宋体" w:eastAsia="宋体" w:cs="宋体"/>
          <w:b w:val="0"/>
          <w:bCs w:val="0"/>
          <w:color w:val="auto"/>
          <w:kern w:val="2"/>
          <w:sz w:val="21"/>
          <w:szCs w:val="24"/>
          <w:highlight w:val="none"/>
          <w:lang w:val="en-US" w:eastAsia="zh-CN" w:bidi="ar-SA"/>
        </w:rPr>
        <w:t>投标产品技术响应表</w:t>
      </w:r>
      <w:r>
        <w:rPr>
          <w:rFonts w:hint="eastAsia" w:ascii="宋体" w:hAnsi="宋体" w:eastAsia="宋体" w:cs="宋体"/>
          <w:color w:val="auto"/>
          <w:szCs w:val="22"/>
          <w:highlight w:val="none"/>
          <w:lang w:eastAsia="zh-CN"/>
        </w:rPr>
        <w:t>；</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随机备品、备件和专用工具清单；</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技术（或商务）偏离表；</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服务承诺；</w:t>
      </w:r>
    </w:p>
    <w:p>
      <w:pPr>
        <w:keepNext w:val="0"/>
        <w:keepLines w:val="0"/>
        <w:pageBreakBefore w:val="0"/>
        <w:numPr>
          <w:ilvl w:val="0"/>
          <w:numId w:val="10"/>
        </w:numPr>
        <w:kinsoku/>
        <w:wordWrap/>
        <w:overflowPunct/>
        <w:topLinePunct w:val="0"/>
        <w:bidi w:val="0"/>
        <w:snapToGrid w:val="0"/>
        <w:spacing w:line="360" w:lineRule="auto"/>
        <w:ind w:left="1146" w:leftChars="0" w:firstLineChars="0"/>
        <w:textAlignment w:val="auto"/>
        <w:rPr>
          <w:rFonts w:hint="eastAsia" w:ascii="宋体" w:hAnsi="宋体" w:eastAsia="宋体" w:cs="宋体"/>
          <w:b w:val="0"/>
          <w:bCs w:val="0"/>
          <w:color w:val="auto"/>
          <w:kern w:val="2"/>
          <w:sz w:val="21"/>
          <w:szCs w:val="24"/>
          <w:highlight w:val="none"/>
          <w:lang w:val="en-US" w:eastAsia="zh-CN" w:bidi="ar-SA"/>
        </w:rPr>
      </w:pPr>
      <w:r>
        <w:rPr>
          <w:rFonts w:hint="eastAsia" w:ascii="宋体" w:hAnsi="宋体" w:eastAsia="宋体" w:cs="宋体"/>
          <w:b w:val="0"/>
          <w:bCs w:val="0"/>
          <w:color w:val="auto"/>
          <w:kern w:val="2"/>
          <w:sz w:val="21"/>
          <w:szCs w:val="24"/>
          <w:highlight w:val="none"/>
          <w:lang w:val="en-US" w:eastAsia="zh-CN" w:bidi="ar-SA"/>
        </w:rPr>
        <w:t>招标文件要求提供的其他文件和资料及投标供应商认为需要提供的文件和资料。</w:t>
      </w:r>
    </w:p>
    <w:p>
      <w:pPr>
        <w:numPr>
          <w:ilvl w:val="0"/>
          <w:numId w:val="6"/>
        </w:numPr>
        <w:tabs>
          <w:tab w:val="clear" w:pos="687"/>
        </w:tabs>
        <w:snapToGrid w:val="0"/>
        <w:spacing w:line="360" w:lineRule="exact"/>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投标文件格式填写说明</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供应商应在认真阅读</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lang w:eastAsia="zh-CN"/>
        </w:rPr>
        <w:t>文件所有内容的基础上，按照招标文件中规定的格式和顺序编制电子加密响应文件并进行关联定位，混乱的编排或关联导致投标响应文件被误读或采购人查找不到有效文件是投标供应商的风险。未提供格式的，请各投标单位自行拟定格式。</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必须保证投标文件所提供的全部资料真实可靠，并接受</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对其中任何资料进一步审查的要求。提供虚假证明的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将被取消投标资格，并予以公告。</w:t>
      </w:r>
    </w:p>
    <w:p>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rPr>
        <w:t>投标文件须对招标文件中的内容做出实质性和完整的响应（文中带“▲”标识），否则其投标将视作无效标。</w:t>
      </w:r>
    </w:p>
    <w:p>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rPr>
        <w:t>投标文件的格式：</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提交的投标文件应当使用招标文件所提供的投标文件全部格式（表格可以按同样格式扩展）。</w:t>
      </w:r>
    </w:p>
    <w:p>
      <w:pPr>
        <w:numPr>
          <w:ilvl w:val="0"/>
          <w:numId w:val="6"/>
        </w:numPr>
        <w:snapToGrid w:val="0"/>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lang w:eastAsia="zh-CN"/>
        </w:rPr>
        <w:t>投标供应商</w:t>
      </w:r>
      <w:r>
        <w:rPr>
          <w:rFonts w:hint="eastAsia" w:ascii="宋体" w:hAnsi="宋体" w:eastAsia="宋体" w:cs="宋体"/>
          <w:b/>
          <w:bCs/>
          <w:color w:val="auto"/>
          <w:highlight w:val="none"/>
        </w:rPr>
        <w:t>其他文件的编制及编目</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其他文件由</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视需要自行编制。规格幅面（A4）应与正文一致，附于正文之后。</w:t>
      </w:r>
    </w:p>
    <w:p>
      <w:pPr>
        <w:numPr>
          <w:ilvl w:val="0"/>
          <w:numId w:val="6"/>
        </w:numPr>
        <w:snapToGrid w:val="0"/>
        <w:spacing w:line="360" w:lineRule="auto"/>
        <w:ind w:left="841" w:hanging="841" w:hangingChars="399"/>
        <w:rPr>
          <w:rFonts w:hint="eastAsia" w:ascii="宋体" w:hAnsi="宋体" w:eastAsia="宋体" w:cs="宋体"/>
          <w:color w:val="auto"/>
          <w:szCs w:val="21"/>
          <w:highlight w:val="none"/>
          <w:lang w:eastAsia="zh-CN"/>
        </w:rPr>
      </w:pPr>
      <w:r>
        <w:rPr>
          <w:rFonts w:hint="eastAsia" w:ascii="宋体" w:hAnsi="宋体" w:eastAsia="宋体" w:cs="宋体"/>
          <w:b/>
          <w:color w:val="auto"/>
          <w:highlight w:val="none"/>
        </w:rPr>
        <w:t>投标报价</w:t>
      </w:r>
    </w:p>
    <w:p>
      <w:pPr>
        <w:numPr>
          <w:ilvl w:val="1"/>
          <w:numId w:val="6"/>
        </w:numPr>
        <w:tabs>
          <w:tab w:val="left" w:pos="610"/>
        </w:tabs>
        <w:snapToGrid w:val="0"/>
        <w:spacing w:line="360" w:lineRule="auto"/>
        <w:ind w:left="588" w:hanging="588" w:hangingChars="28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招标代理费、乐采云系统服务费（如有）、专利技术、知识产权、售后服务费及其他实物和技术工作收费等所有为完成本项目所发生的全部相关费用均包含在所报价格中。对于采购人提出的技术实现方式、手段和要求，供应商必须无条件服从并完成有关工作，不再另计费用。采购人可根据项目实际适当调整采购需求，最终将根据成交单价和验收情况在成交金额内据实结算。供应商报价时应充分考虑风险，对最终没有发生的采购，相应的金额将从结算总价中扣除。</w:t>
      </w:r>
    </w:p>
    <w:p>
      <w:pPr>
        <w:numPr>
          <w:ilvl w:val="1"/>
          <w:numId w:val="6"/>
        </w:numPr>
        <w:tabs>
          <w:tab w:val="left" w:pos="610"/>
        </w:tabs>
        <w:snapToGrid w:val="0"/>
        <w:spacing w:line="360" w:lineRule="auto"/>
        <w:ind w:left="588" w:hanging="588" w:hangingChars="280"/>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eastAsia="zh-CN"/>
        </w:rPr>
        <w:t>供应商对报价的准确性和完整性负责，任何漏报、错报等均是供应商的风险。供应商应充分考虑合同履行期间的市场风险（包括但不限于增加耗材、材料涨价、人工、运输成本增加等因素）、国家政策调整风险和在合同实施过程中发生的所有费用（包括但不限于采购文件未列明，而投标供应商认为必须的费用），并计入报价。在合同实施时，采购人将不予支付中标人没有列入的项目费用，并认为此项目的费用已包括在投标总报价中。对本项目合同中最终没有发生的内容，相应的金额将从结算总价中扣除，供应商不得提出任何补偿。</w:t>
      </w:r>
    </w:p>
    <w:p>
      <w:pPr>
        <w:numPr>
          <w:ilvl w:val="1"/>
          <w:numId w:val="6"/>
        </w:numPr>
        <w:tabs>
          <w:tab w:val="left" w:pos="610"/>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供应商应对现场和实施条件进行查勘，投标报价时需充分考虑交货期要求下的成本和项目实施场地的位置、周边环境、道路、装卸、保管、安装限制以及其他与完成合同工作有关的其他资料、影响投标报价的所有因素，自愿承担相应风险与责任。现场无相关场地布置生活区和办公区，需自行考虑本项目实施期间办公及住宿事宜，以满足项目需求；供应商提交投标文件，视为供应商已对现场及周围环境进行了踏勘，并已充分了解评估现场及周围环境对项目可能产生的影响，自愿承担相应风险与责任。项目现场与现有道路的连通，供应商应结合项目场地及周边道路状况，与采购人协商确定利用现有路网还是开辟其他临时通道，临时通道的接驳费用由供应商承担，并且与之相关产生的费用（维护修复费、完工恢复等所有费用）在供应商投标报价中综合考虑。供应商有义务配合本项目的主体及其他配套工作的管理、协调、照管和服务工作，由此发生的费用被认为已经包括在供应商的投标总报价中。</w:t>
      </w:r>
    </w:p>
    <w:p>
      <w:pPr>
        <w:numPr>
          <w:ilvl w:val="1"/>
          <w:numId w:val="6"/>
        </w:numPr>
        <w:tabs>
          <w:tab w:val="left" w:pos="610"/>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本次采购，只允许有一个报价，并只有一次投标报价，投标供应商应在各自技术和商务占优势的基础上并充分考虑本次采购的重要性，提供对采购人最优惠的投标报价。</w:t>
      </w:r>
    </w:p>
    <w:p>
      <w:pPr>
        <w:numPr>
          <w:ilvl w:val="1"/>
          <w:numId w:val="6"/>
        </w:numPr>
        <w:tabs>
          <w:tab w:val="left" w:pos="610"/>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Cs w:val="21"/>
          <w:highlight w:val="none"/>
          <w:lang w:eastAsia="zh-CN"/>
        </w:rPr>
        <w:t>对于投标报价的具体要求详见本招标文件“第三部分”相应内容。</w:t>
      </w:r>
    </w:p>
    <w:p>
      <w:pPr>
        <w:numPr>
          <w:ilvl w:val="0"/>
          <w:numId w:val="6"/>
        </w:numPr>
        <w:snapToGrid w:val="0"/>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 投标保证金</w:t>
      </w:r>
    </w:p>
    <w:p>
      <w:pPr>
        <w:numPr>
          <w:ilvl w:val="1"/>
          <w:numId w:val="6"/>
        </w:numPr>
        <w:snapToGrid w:val="0"/>
        <w:spacing w:line="360" w:lineRule="auto"/>
        <w:ind w:left="837" w:leftChars="0" w:hanging="837" w:hangingChars="399"/>
        <w:rPr>
          <w:rFonts w:hint="eastAsia" w:ascii="宋体" w:hAnsi="宋体" w:eastAsia="宋体" w:cs="宋体"/>
          <w:color w:val="auto"/>
          <w:highlight w:val="none"/>
          <w:u w:val="none"/>
        </w:rPr>
      </w:pPr>
      <w:r>
        <w:rPr>
          <w:rFonts w:hint="eastAsia" w:ascii="宋体" w:hAnsi="宋体" w:eastAsia="宋体" w:cs="宋体"/>
          <w:color w:val="auto"/>
          <w:highlight w:val="none"/>
          <w:u w:val="none"/>
        </w:rPr>
        <w:t>投标人应于相应的投标截止日期前向</w:t>
      </w:r>
      <w:r>
        <w:rPr>
          <w:rFonts w:hint="eastAsia" w:ascii="宋体" w:hAnsi="宋体" w:eastAsia="宋体" w:cs="宋体"/>
          <w:color w:val="auto"/>
          <w:highlight w:val="none"/>
          <w:u w:val="none"/>
          <w:lang w:eastAsia="zh-CN"/>
        </w:rPr>
        <w:t>采购人</w:t>
      </w:r>
      <w:r>
        <w:rPr>
          <w:rFonts w:hint="eastAsia" w:ascii="宋体" w:hAnsi="宋体" w:eastAsia="宋体" w:cs="宋体"/>
          <w:color w:val="auto"/>
          <w:highlight w:val="none"/>
          <w:u w:val="none"/>
        </w:rPr>
        <w:t>提供人民币</w:t>
      </w:r>
      <w:r>
        <w:rPr>
          <w:rFonts w:hint="eastAsia" w:ascii="宋体" w:hAnsi="宋体" w:eastAsia="宋体" w:cs="宋体"/>
          <w:b/>
          <w:bCs/>
          <w:color w:val="auto"/>
          <w:highlight w:val="none"/>
          <w:u w:val="single"/>
          <w:lang w:val="en-US" w:eastAsia="zh-CN"/>
        </w:rPr>
        <w:t xml:space="preserve"> </w:t>
      </w:r>
      <w:r>
        <w:rPr>
          <w:rFonts w:hint="eastAsia" w:ascii="宋体" w:hAnsi="宋体" w:cs="宋体"/>
          <w:b/>
          <w:bCs/>
          <w:color w:val="auto"/>
          <w:highlight w:val="none"/>
          <w:u w:val="single"/>
          <w:lang w:val="en-US" w:eastAsia="zh-CN"/>
        </w:rPr>
        <w:t>15000</w:t>
      </w:r>
      <w:r>
        <w:rPr>
          <w:rFonts w:hint="eastAsia" w:ascii="宋体" w:hAnsi="宋体" w:eastAsia="宋体" w:cs="宋体"/>
          <w:b/>
          <w:bCs/>
          <w:color w:val="auto"/>
          <w:highlight w:val="none"/>
          <w:u w:val="single"/>
          <w:lang w:val="en-US" w:eastAsia="zh-CN"/>
        </w:rPr>
        <w:t xml:space="preserve"> </w:t>
      </w:r>
      <w:r>
        <w:rPr>
          <w:rFonts w:hint="eastAsia" w:ascii="宋体" w:hAnsi="宋体" w:eastAsia="宋体" w:cs="宋体"/>
          <w:b/>
          <w:bCs/>
          <w:color w:val="auto"/>
          <w:highlight w:val="none"/>
          <w:u w:val="none"/>
        </w:rPr>
        <w:t>元整</w:t>
      </w:r>
      <w:r>
        <w:rPr>
          <w:rFonts w:hint="eastAsia" w:ascii="宋体" w:hAnsi="宋体" w:eastAsia="宋体" w:cs="宋体"/>
          <w:color w:val="auto"/>
          <w:highlight w:val="none"/>
          <w:u w:val="none"/>
        </w:rPr>
        <w:t>的投标保证金，否则将作无效标处理。</w:t>
      </w:r>
    </w:p>
    <w:p>
      <w:pPr>
        <w:numPr>
          <w:ilvl w:val="1"/>
          <w:numId w:val="6"/>
        </w:numPr>
        <w:snapToGrid w:val="0"/>
        <w:spacing w:line="360" w:lineRule="auto"/>
        <w:ind w:left="837" w:leftChars="0" w:hanging="837" w:hangingChars="399"/>
        <w:rPr>
          <w:rFonts w:hint="eastAsia" w:ascii="宋体" w:hAnsi="宋体" w:eastAsia="宋体" w:cs="宋体"/>
          <w:color w:val="auto"/>
          <w:highlight w:val="none"/>
        </w:rPr>
      </w:pPr>
      <w:r>
        <w:rPr>
          <w:rFonts w:hint="eastAsia" w:ascii="宋体" w:hAnsi="宋体" w:eastAsia="宋体" w:cs="宋体"/>
          <w:color w:val="auto"/>
          <w:highlight w:val="none"/>
        </w:rPr>
        <w:t>保证金提缴形式：采用银行转账形式；</w:t>
      </w:r>
    </w:p>
    <w:p>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lang w:eastAsia="zh-CN"/>
        </w:rPr>
      </w:pPr>
      <w:r>
        <w:rPr>
          <w:rFonts w:hint="eastAsia" w:ascii="宋体" w:hAnsi="宋体" w:eastAsia="宋体" w:cs="宋体"/>
          <w:color w:val="auto"/>
          <w:highlight w:val="none"/>
        </w:rPr>
        <w:t>单位名称：</w:t>
      </w:r>
      <w:r>
        <w:rPr>
          <w:rFonts w:hint="eastAsia" w:ascii="宋体" w:hAnsi="宋体" w:eastAsia="宋体" w:cs="宋体"/>
          <w:color w:val="auto"/>
          <w:sz w:val="21"/>
          <w:szCs w:val="21"/>
          <w:highlight w:val="none"/>
          <w:u w:val="none"/>
          <w:lang w:eastAsia="zh-CN"/>
        </w:rPr>
        <w:t>温州市兴城工程造价审计咨询事务所（普通合伙）</w:t>
      </w:r>
    </w:p>
    <w:p>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lang w:val="en-US"/>
        </w:rPr>
      </w:pPr>
      <w:r>
        <w:rPr>
          <w:rFonts w:hint="eastAsia" w:ascii="宋体" w:hAnsi="宋体" w:eastAsia="宋体" w:cs="宋体"/>
          <w:color w:val="auto"/>
          <w:highlight w:val="none"/>
        </w:rPr>
        <w:t>开 户 行：</w:t>
      </w:r>
      <w:r>
        <w:rPr>
          <w:rFonts w:hint="eastAsia" w:ascii="宋体" w:hAnsi="宋体" w:eastAsia="宋体" w:cs="宋体"/>
          <w:color w:val="auto"/>
          <w:sz w:val="21"/>
          <w:szCs w:val="21"/>
          <w:highlight w:val="none"/>
          <w:lang w:eastAsia="zh-CN"/>
        </w:rPr>
        <w:t>温州银行股份有限公司市府路支行</w:t>
      </w:r>
    </w:p>
    <w:p>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lang w:eastAsia="zh-CN"/>
        </w:rPr>
      </w:pPr>
      <w:r>
        <w:rPr>
          <w:rFonts w:hint="eastAsia" w:ascii="宋体" w:hAnsi="宋体" w:eastAsia="宋体" w:cs="宋体"/>
          <w:color w:val="auto"/>
          <w:highlight w:val="none"/>
        </w:rPr>
        <w:t>帐    号：</w:t>
      </w:r>
      <w:r>
        <w:rPr>
          <w:rFonts w:hint="eastAsia" w:ascii="宋体" w:hAnsi="宋体" w:eastAsia="宋体" w:cs="宋体"/>
          <w:color w:val="auto"/>
          <w:sz w:val="21"/>
          <w:szCs w:val="21"/>
          <w:highlight w:val="none"/>
          <w:lang w:eastAsia="zh-CN"/>
        </w:rPr>
        <w:t>757000120190019985</w:t>
      </w:r>
    </w:p>
    <w:p>
      <w:pPr>
        <w:numPr>
          <w:ilvl w:val="1"/>
          <w:numId w:val="6"/>
        </w:numPr>
        <w:snapToGrid w:val="0"/>
        <w:spacing w:line="360" w:lineRule="auto"/>
        <w:ind w:left="837" w:leftChars="0" w:hanging="837" w:hangingChars="399"/>
        <w:rPr>
          <w:rFonts w:hint="eastAsia" w:ascii="宋体" w:hAnsi="宋体" w:eastAsia="宋体" w:cs="宋体"/>
          <w:color w:val="auto"/>
          <w:highlight w:val="none"/>
        </w:rPr>
      </w:pPr>
      <w:r>
        <w:rPr>
          <w:rFonts w:hint="eastAsia" w:ascii="宋体" w:hAnsi="宋体" w:eastAsia="宋体" w:cs="宋体"/>
          <w:color w:val="auto"/>
          <w:highlight w:val="none"/>
        </w:rPr>
        <w:t>中标供应商的投标保证金在与采购人签订了采购合同后5个工作日内无息退还，未中标投标供应商的投标保证金将在中标通知书发出后5个工作日内无息退还。</w:t>
      </w:r>
    </w:p>
    <w:p>
      <w:pPr>
        <w:numPr>
          <w:ilvl w:val="1"/>
          <w:numId w:val="6"/>
        </w:numPr>
        <w:snapToGrid w:val="0"/>
        <w:spacing w:line="360" w:lineRule="auto"/>
        <w:ind w:left="837" w:leftChars="0" w:hanging="837" w:hangingChars="399"/>
        <w:rPr>
          <w:rFonts w:hint="eastAsia" w:ascii="宋体" w:hAnsi="宋体" w:eastAsia="宋体" w:cs="宋体"/>
          <w:color w:val="auto"/>
          <w:highlight w:val="none"/>
        </w:rPr>
      </w:pPr>
      <w:r>
        <w:rPr>
          <w:rFonts w:hint="eastAsia" w:ascii="宋体" w:hAnsi="宋体" w:eastAsia="宋体" w:cs="宋体"/>
          <w:color w:val="auto"/>
          <w:highlight w:val="none"/>
        </w:rPr>
        <w:t>▲ 发生下列情况之一，投标保证金将不予退还：</w:t>
      </w:r>
    </w:p>
    <w:p>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（1） 投标供应商在招标文件规定的投标有效期内撤回投标；</w:t>
      </w:r>
    </w:p>
    <w:p>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（2） 中标供应商未按中标通知书中规定的时间与采购人签订合同；</w:t>
      </w:r>
    </w:p>
    <w:p>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（3） 中标供应商在规定期限内未能根据招标文件要求提供履约保证金；</w:t>
      </w:r>
    </w:p>
    <w:p>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（4） 投标供应商在投标时提供虚假材料或虚假承诺，经评标委员会确认属实的；</w:t>
      </w:r>
    </w:p>
    <w:p>
      <w:pPr>
        <w:tabs>
          <w:tab w:val="left" w:pos="851"/>
          <w:tab w:val="left" w:pos="1470"/>
        </w:tabs>
        <w:snapToGrid w:val="0"/>
        <w:spacing w:line="360" w:lineRule="auto"/>
        <w:ind w:firstLine="840" w:firstLineChars="400"/>
        <w:jc w:val="both"/>
        <w:rPr>
          <w:rFonts w:hint="eastAsia" w:ascii="宋体" w:hAnsi="宋体" w:eastAsia="宋体" w:cs="宋体"/>
          <w:color w:val="auto"/>
          <w:highlight w:val="none"/>
        </w:rPr>
      </w:pPr>
      <w:r>
        <w:rPr>
          <w:rFonts w:hint="eastAsia" w:ascii="宋体" w:hAnsi="宋体" w:eastAsia="宋体" w:cs="宋体"/>
          <w:color w:val="auto"/>
          <w:highlight w:val="none"/>
        </w:rPr>
        <w:t>（5） 经查实，投标供应商在本次采购活动中存在违法违规行为，或法律法规规定的其他</w:t>
      </w:r>
    </w:p>
    <w:p>
      <w:pPr>
        <w:tabs>
          <w:tab w:val="left" w:pos="851"/>
          <w:tab w:val="left" w:pos="1470"/>
        </w:tabs>
        <w:snapToGrid w:val="0"/>
        <w:spacing w:line="360" w:lineRule="auto"/>
        <w:ind w:firstLine="840" w:firstLineChars="400"/>
        <w:jc w:val="both"/>
        <w:rPr>
          <w:rFonts w:hint="eastAsia" w:ascii="宋体" w:hAnsi="宋体" w:eastAsia="宋体" w:cs="宋体"/>
          <w:b/>
          <w:color w:val="auto"/>
          <w:highlight w:val="none"/>
        </w:rPr>
      </w:pPr>
      <w:r>
        <w:rPr>
          <w:rFonts w:hint="eastAsia" w:ascii="宋体" w:hAnsi="宋体" w:eastAsia="宋体" w:cs="宋体"/>
          <w:color w:val="auto"/>
          <w:highlight w:val="none"/>
        </w:rPr>
        <w:t>条件。</w:t>
      </w:r>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投标有效期</w:t>
      </w:r>
    </w:p>
    <w:p>
      <w:pPr>
        <w:numPr>
          <w:ilvl w:val="1"/>
          <w:numId w:val="6"/>
        </w:numPr>
        <w:tabs>
          <w:tab w:val="left" w:pos="592"/>
        </w:tabs>
        <w:snapToGrid w:val="0"/>
        <w:spacing w:line="360" w:lineRule="auto"/>
        <w:ind w:left="588" w:hanging="590" w:hangingChars="280"/>
        <w:rPr>
          <w:rFonts w:hint="eastAsia" w:ascii="宋体" w:hAnsi="宋体" w:eastAsia="宋体" w:cs="宋体"/>
          <w:color w:val="auto"/>
          <w:highlight w:val="none"/>
        </w:rPr>
      </w:pPr>
      <w:r>
        <w:rPr>
          <w:rFonts w:hint="eastAsia" w:ascii="宋体" w:hAnsi="宋体" w:eastAsia="宋体" w:cs="宋体"/>
          <w:b/>
          <w:color w:val="auto"/>
          <w:sz w:val="21"/>
          <w:szCs w:val="21"/>
          <w:highlight w:val="none"/>
          <w:u w:val="single"/>
        </w:rPr>
        <w:t>▲投标有效期见投标供应商须知前附表，投标文件有效期短于这个规定期限的将被拒绝。</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 w:val="21"/>
          <w:szCs w:val="21"/>
          <w:highlight w:val="none"/>
        </w:rPr>
        <w:t>在投标供应商须知前附表规定的投标有效期内，投标供应商不得要求撤销或修改其投标文件</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sz w:val="21"/>
          <w:szCs w:val="21"/>
          <w:highlight w:val="none"/>
        </w:rPr>
        <w:t>特殊情况下，在原投标有效期截止前，采购人可与投标供应商协商延长投标有效期，这种要求和答复均以书面形式进行。投标供应商可拒绝接受延期要求，而不会导致投标保证金不予退还。同意延长投标有效期的投标供应商不得修改投标文件。有关退还和不予退还投标保证金的规定在投标有效期的延长期内继续有效</w:t>
      </w:r>
      <w:r>
        <w:rPr>
          <w:rFonts w:hint="eastAsia" w:ascii="宋体" w:hAnsi="宋体" w:eastAsia="宋体" w:cs="宋体"/>
          <w:color w:val="auto"/>
          <w:sz w:val="21"/>
          <w:szCs w:val="21"/>
          <w:highlight w:val="none"/>
          <w:lang w:eastAsia="zh-CN"/>
        </w:rPr>
        <w:t>。</w:t>
      </w:r>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投标文件的式样和签署</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投标供应商准备“电子加密投标文件”在线上传递交一份，“电子加密投标文件”分为“资格审查文件”、“商务技术文件”和“报价文件”三个类别。投标供应商应按</w:t>
      </w:r>
      <w:r>
        <w:rPr>
          <w:rFonts w:hint="eastAsia" w:ascii="宋体" w:hAnsi="宋体" w:eastAsia="宋体" w:cs="宋体"/>
          <w:color w:val="auto"/>
          <w:highlight w:val="none"/>
          <w:lang w:val="en-US" w:eastAsia="zh-CN"/>
        </w:rPr>
        <w:t>乐</w:t>
      </w:r>
      <w:r>
        <w:rPr>
          <w:rFonts w:hint="eastAsia" w:ascii="宋体" w:hAnsi="宋体" w:eastAsia="宋体" w:cs="宋体"/>
          <w:color w:val="auto"/>
          <w:highlight w:val="none"/>
        </w:rPr>
        <w:t>采云平台供应商项目采购-电子招投标操作指南</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"https://help.zcy.gov.cn/web/site_2/2018/12-28/2573.html）及本采购文件要求制作"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及本</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要求制作</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。“备份投标文件”</w:t>
      </w:r>
      <w:r>
        <w:rPr>
          <w:rFonts w:hint="eastAsia" w:ascii="宋体" w:hAnsi="宋体" w:eastAsia="宋体" w:cs="宋体"/>
          <w:color w:val="auto"/>
          <w:highlight w:val="none"/>
          <w:lang w:eastAsia="zh-CN"/>
        </w:rPr>
        <w:t>（如有）</w:t>
      </w:r>
      <w:r>
        <w:rPr>
          <w:rFonts w:hint="eastAsia" w:ascii="宋体" w:hAnsi="宋体" w:eastAsia="宋体" w:cs="宋体"/>
          <w:color w:val="auto"/>
          <w:highlight w:val="none"/>
        </w:rPr>
        <w:t>：</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"mailto:按政采云平台项目采购-电子招投标操作指南制作备份投标文件（后缀名为.bfbs），在开标时间后15分钟内以电子邮件形式递交至采购代理机构邮箱（103874679@qq.com）。"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投标截止时间前以压缩文件形式加密发送至</w:t>
      </w:r>
      <w:r>
        <w:rPr>
          <w:rFonts w:hint="eastAsia" w:ascii="宋体" w:hAnsi="宋体" w:eastAsia="宋体" w:cs="宋体"/>
          <w:color w:val="auto"/>
          <w:highlight w:val="none"/>
          <w:lang w:eastAsia="zh-CN"/>
        </w:rPr>
        <w:t>招标代理机构</w:t>
      </w:r>
      <w:r>
        <w:rPr>
          <w:rFonts w:hint="eastAsia" w:ascii="宋体" w:hAnsi="宋体" w:eastAsia="宋体" w:cs="宋体"/>
          <w:color w:val="auto"/>
          <w:highlight w:val="none"/>
        </w:rPr>
        <w:t>邮箱</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，并在</w:t>
      </w:r>
      <w:r>
        <w:rPr>
          <w:rFonts w:hint="eastAsia" w:ascii="宋体" w:hAnsi="宋体" w:eastAsia="宋体" w:cs="宋体"/>
          <w:color w:val="auto"/>
          <w:highlight w:val="none"/>
          <w:lang w:val="zh-CN"/>
        </w:rPr>
        <w:t>接到在线解密通知后</w:t>
      </w:r>
      <w:r>
        <w:rPr>
          <w:rFonts w:hint="eastAsia" w:ascii="宋体" w:hAnsi="宋体" w:eastAsia="宋体" w:cs="宋体"/>
          <w:color w:val="auto"/>
          <w:highlight w:val="none"/>
        </w:rPr>
        <w:t>30分钟</w:t>
      </w:r>
      <w:r>
        <w:rPr>
          <w:rFonts w:hint="eastAsia" w:ascii="宋体" w:hAnsi="宋体" w:eastAsia="宋体" w:cs="宋体"/>
          <w:color w:val="auto"/>
          <w:highlight w:val="none"/>
          <w:lang w:val="zh-CN"/>
        </w:rPr>
        <w:t>内发送压缩文件密码至</w:t>
      </w:r>
      <w:r>
        <w:rPr>
          <w:rFonts w:hint="eastAsia" w:ascii="宋体" w:hAnsi="宋体" w:eastAsia="宋体" w:cs="宋体"/>
          <w:color w:val="auto"/>
          <w:highlight w:val="none"/>
          <w:lang w:eastAsia="zh-CN"/>
        </w:rPr>
        <w:t>招标代理机构</w:t>
      </w:r>
      <w:r>
        <w:rPr>
          <w:rFonts w:hint="eastAsia" w:ascii="宋体" w:hAnsi="宋体" w:eastAsia="宋体" w:cs="宋体"/>
          <w:color w:val="auto"/>
          <w:highlight w:val="none"/>
        </w:rPr>
        <w:t>邮箱（邮箱号码：</w:t>
      </w:r>
      <w:r>
        <w:rPr>
          <w:rFonts w:hint="eastAsia" w:ascii="宋体" w:hAnsi="宋体" w:eastAsia="宋体" w:cs="宋体"/>
          <w:color w:val="auto"/>
          <w:highlight w:val="none"/>
          <w:lang w:val="zh-CN"/>
        </w:rPr>
        <w:fldChar w:fldCharType="begin"/>
      </w:r>
      <w:r>
        <w:rPr>
          <w:rFonts w:hint="eastAsia" w:ascii="宋体" w:hAnsi="宋体" w:eastAsia="宋体" w:cs="宋体"/>
          <w:color w:val="auto"/>
          <w:highlight w:val="none"/>
          <w:lang w:val="zh-CN"/>
        </w:rPr>
        <w:instrText xml:space="preserve"> HYPERLINK "mailto:103874679@qq.com）。" </w:instrText>
      </w:r>
      <w:r>
        <w:rPr>
          <w:rFonts w:hint="eastAsia" w:ascii="宋体" w:hAnsi="宋体" w:eastAsia="宋体" w:cs="宋体"/>
          <w:color w:val="auto"/>
          <w:highlight w:val="none"/>
          <w:lang w:val="zh-CN"/>
        </w:rPr>
        <w:fldChar w:fldCharType="separate"/>
      </w:r>
      <w:r>
        <w:rPr>
          <w:rFonts w:hint="eastAsia" w:ascii="宋体" w:hAnsi="宋体" w:eastAsia="宋体" w:cs="宋体"/>
          <w:color w:val="auto"/>
          <w:highlight w:val="none"/>
          <w:lang w:val="en-US" w:eastAsia="zh-CN"/>
        </w:rPr>
        <w:t>1589009783@qq.com</w:t>
      </w:r>
      <w:r>
        <w:rPr>
          <w:rFonts w:hint="eastAsia" w:ascii="宋体" w:hAnsi="宋体" w:eastAsia="宋体" w:cs="宋体"/>
          <w:color w:val="auto"/>
          <w:highlight w:val="none"/>
          <w:lang w:val="zh-CN"/>
        </w:rPr>
        <w:t>）</w:t>
      </w:r>
      <w:r>
        <w:rPr>
          <w:rFonts w:hint="eastAsia" w:ascii="宋体" w:hAnsi="宋体" w:eastAsia="宋体" w:cs="宋体"/>
          <w:color w:val="auto"/>
          <w:highlight w:val="none"/>
          <w:lang w:val="zh-CN"/>
        </w:rPr>
        <w:fldChar w:fldCharType="end"/>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u w:val="wave"/>
        </w:rPr>
        <w:t>投标文件中所涉及的公章必须是</w:t>
      </w:r>
      <w:r>
        <w:rPr>
          <w:rFonts w:hint="eastAsia" w:ascii="宋体" w:hAnsi="宋体" w:eastAsia="宋体" w:cs="宋体"/>
          <w:color w:val="auto"/>
          <w:highlight w:val="none"/>
          <w:u w:val="wave"/>
          <w:lang w:eastAsia="zh-CN"/>
        </w:rPr>
        <w:t>投标供应商</w:t>
      </w:r>
      <w:r>
        <w:rPr>
          <w:rFonts w:hint="eastAsia" w:ascii="宋体" w:hAnsi="宋体" w:eastAsia="宋体" w:cs="宋体"/>
          <w:color w:val="auto"/>
          <w:highlight w:val="none"/>
          <w:u w:val="wave"/>
        </w:rPr>
        <w:t>全称的</w:t>
      </w:r>
      <w:r>
        <w:rPr>
          <w:rFonts w:hint="eastAsia" w:ascii="宋体" w:hAnsi="宋体" w:eastAsia="宋体" w:cs="宋体"/>
          <w:color w:val="auto"/>
          <w:highlight w:val="none"/>
          <w:u w:val="wave"/>
          <w:lang w:eastAsia="zh-CN"/>
        </w:rPr>
        <w:t>公章或</w:t>
      </w:r>
      <w:r>
        <w:rPr>
          <w:rFonts w:hint="eastAsia" w:ascii="宋体" w:hAnsi="宋体" w:eastAsia="宋体" w:cs="宋体"/>
          <w:color w:val="auto"/>
          <w:highlight w:val="none"/>
          <w:u w:val="wave"/>
          <w:lang w:val="en-US" w:eastAsia="zh-CN"/>
        </w:rPr>
        <w:t>电子签</w:t>
      </w:r>
      <w:r>
        <w:rPr>
          <w:rFonts w:hint="eastAsia" w:ascii="宋体" w:hAnsi="宋体" w:eastAsia="宋体" w:cs="宋体"/>
          <w:color w:val="auto"/>
          <w:highlight w:val="none"/>
          <w:u w:val="wave"/>
        </w:rPr>
        <w:t>章，不得使用投标专用章、合同章等类似图章代替</w:t>
      </w:r>
      <w:r>
        <w:rPr>
          <w:rFonts w:hint="eastAsia" w:ascii="宋体" w:hAnsi="宋体" w:eastAsia="宋体" w:cs="宋体"/>
          <w:color w:val="auto"/>
          <w:highlight w:val="none"/>
          <w:u w:val="wave"/>
          <w:lang w:eastAsia="zh-CN"/>
        </w:rPr>
        <w:t>。</w:t>
      </w:r>
    </w:p>
    <w:p>
      <w:pPr>
        <w:numPr>
          <w:ilvl w:val="1"/>
          <w:numId w:val="6"/>
        </w:numPr>
        <w:tabs>
          <w:tab w:val="left" w:pos="640"/>
          <w:tab w:val="clear" w:pos="1003"/>
        </w:tabs>
        <w:snapToGrid w:val="0"/>
        <w:spacing w:line="360" w:lineRule="auto"/>
        <w:ind w:left="580" w:hanging="579" w:hangingChars="276"/>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u w:val="wave"/>
        </w:rPr>
        <w:t>传真和电传的投标文件将被否决</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投标文件不得涂改和增删，如有修改错漏处，必须由同一签署人签字或盖章。</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投标文件因字迹潦草或表达不清所引起的后果由</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负责。</w:t>
      </w:r>
    </w:p>
    <w:p>
      <w:pPr>
        <w:keepNext w:val="0"/>
        <w:keepLines w:val="0"/>
        <w:pageBreakBefore w:val="0"/>
        <w:numPr>
          <w:ilvl w:val="0"/>
          <w:numId w:val="6"/>
        </w:numPr>
        <w:kinsoku/>
        <w:wordWrap/>
        <w:overflowPunct/>
        <w:topLinePunct w:val="0"/>
        <w:bidi w:val="0"/>
        <w:snapToGrid w:val="0"/>
        <w:spacing w:line="360" w:lineRule="auto"/>
        <w:ind w:left="841" w:hanging="841" w:hangingChars="399"/>
        <w:textAlignment w:val="auto"/>
        <w:rPr>
          <w:rFonts w:hint="eastAsia" w:ascii="宋体" w:hAnsi="宋体" w:eastAsia="宋体" w:cs="宋体"/>
          <w:b/>
          <w:color w:val="auto"/>
          <w:highlight w:val="none"/>
        </w:rPr>
      </w:pPr>
      <w:bookmarkStart w:id="55" w:name="_Toc22658"/>
      <w:bookmarkStart w:id="56" w:name="_Toc4616"/>
      <w:bookmarkStart w:id="57" w:name="_Toc495977857"/>
      <w:r>
        <w:rPr>
          <w:rFonts w:hint="eastAsia" w:ascii="宋体" w:hAnsi="宋体" w:eastAsia="宋体" w:cs="宋体"/>
          <w:b/>
          <w:color w:val="auto"/>
          <w:highlight w:val="none"/>
        </w:rPr>
        <w:t>知识产权</w:t>
      </w:r>
    </w:p>
    <w:p>
      <w:pPr>
        <w:keepNext w:val="0"/>
        <w:keepLines w:val="0"/>
        <w:pageBreakBefore w:val="0"/>
        <w:numPr>
          <w:ilvl w:val="1"/>
          <w:numId w:val="6"/>
        </w:numPr>
        <w:tabs>
          <w:tab w:val="left" w:pos="592"/>
        </w:tabs>
        <w:kinsoku/>
        <w:wordWrap/>
        <w:overflowPunct/>
        <w:topLinePunct w:val="0"/>
        <w:bidi w:val="0"/>
        <w:snapToGrid w:val="0"/>
        <w:spacing w:line="360" w:lineRule="auto"/>
        <w:ind w:left="588" w:hanging="588" w:hangingChars="280"/>
        <w:textAlignment w:val="auto"/>
        <w:rPr>
          <w:rFonts w:hint="eastAsia" w:ascii="宋体" w:hAnsi="宋体" w:eastAsia="宋体" w:cs="宋体"/>
          <w:b/>
          <w:color w:val="auto"/>
          <w:sz w:val="24"/>
          <w:highlight w:val="none"/>
        </w:rPr>
      </w:pPr>
      <w:r>
        <w:rPr>
          <w:rFonts w:hint="eastAsia" w:ascii="宋体" w:hAnsi="宋体" w:eastAsia="宋体" w:cs="宋体"/>
          <w:color w:val="auto"/>
          <w:highlight w:val="none"/>
        </w:rPr>
        <w:t>投标报价应包括所有应支付的对专利权和</w:t>
      </w:r>
      <w:r>
        <w:rPr>
          <w:rFonts w:hint="eastAsia" w:ascii="宋体" w:hAnsi="宋体" w:eastAsia="宋体" w:cs="宋体"/>
          <w:color w:val="auto"/>
          <w:spacing w:val="-10"/>
          <w:highlight w:val="none"/>
        </w:rPr>
        <w:t>版权、设计或其他知识产权而需要向其他方支付的版税。</w:t>
      </w:r>
    </w:p>
    <w:p>
      <w:pPr>
        <w:keepNext w:val="0"/>
        <w:keepLines w:val="0"/>
        <w:pageBreakBefore w:val="0"/>
        <w:numPr>
          <w:ilvl w:val="0"/>
          <w:numId w:val="6"/>
        </w:numPr>
        <w:kinsoku/>
        <w:wordWrap/>
        <w:overflowPunct/>
        <w:topLinePunct w:val="0"/>
        <w:bidi w:val="0"/>
        <w:snapToGrid w:val="0"/>
        <w:spacing w:line="360" w:lineRule="auto"/>
        <w:ind w:left="841" w:hanging="841" w:hangingChars="399"/>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串通投标行为</w:t>
      </w:r>
    </w:p>
    <w:p>
      <w:pPr>
        <w:keepNext w:val="0"/>
        <w:keepLines w:val="0"/>
        <w:pageBreakBefore w:val="0"/>
        <w:numPr>
          <w:ilvl w:val="1"/>
          <w:numId w:val="6"/>
        </w:numPr>
        <w:tabs>
          <w:tab w:val="left" w:pos="592"/>
        </w:tabs>
        <w:kinsoku/>
        <w:wordWrap/>
        <w:overflowPunct/>
        <w:topLinePunct w:val="0"/>
        <w:bidi w:val="0"/>
        <w:snapToGrid w:val="0"/>
        <w:spacing w:line="360" w:lineRule="auto"/>
        <w:ind w:left="588" w:hanging="588" w:hangingChars="280"/>
        <w:textAlignment w:val="auto"/>
        <w:rPr>
          <w:rFonts w:hint="eastAsia" w:ascii="宋体" w:hAnsi="宋体" w:eastAsia="宋体" w:cs="宋体"/>
          <w:color w:val="auto"/>
          <w:highlight w:val="none"/>
        </w:rPr>
      </w:pP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或招标采购单位有下列情形之一的，应按串通行为认定：</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的投标文件由同一单位或人员编制的； </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不同供应商委托同一单位或人员办理投标事宜的；</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的投标文件中的内容出现非正常的一致，或者报价细目呈明显规律性变化，或在完全可比的情况下投标总价均高于市场平均价的； </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的投标文件载明的项目管理或实施人员出现同一单位的工作人员或同一人的；</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的授权代表为同一单位的工作人员的； </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不同投标供应商的投标保证金从同一单位或者个人的账户转出</w:t>
      </w:r>
      <w:r>
        <w:rPr>
          <w:rFonts w:hint="eastAsia" w:ascii="宋体" w:hAnsi="宋体" w:eastAsia="宋体" w:cs="宋体"/>
          <w:color w:val="auto"/>
          <w:highlight w:val="none"/>
          <w:lang w:eastAsia="zh-CN"/>
        </w:rPr>
        <w:t>；</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的投标文件相互混装，或在一个</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的投标文件内遗留有其他</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的签名、盖章等不属于本</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参加国企采购必需的信息资料的； </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采购响应截止时间后，招标采购单位协助</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 xml:space="preserve">撤换或更改投标文件的； </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招标采购单位泄露有意向参加国企采购的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名称、数量等应当保密的事项的；</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不同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之间私下达成书面或口头协议，指定一家</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中标或轮流中标的；</w:t>
      </w:r>
    </w:p>
    <w:p>
      <w:pPr>
        <w:widowControl/>
        <w:numPr>
          <w:ilvl w:val="0"/>
          <w:numId w:val="11"/>
        </w:numPr>
        <w:snapToGrid w:val="0"/>
        <w:spacing w:line="400" w:lineRule="atLeast"/>
        <w:rPr>
          <w:rFonts w:hint="eastAsia" w:ascii="宋体" w:hAnsi="宋体" w:eastAsia="宋体" w:cs="宋体"/>
          <w:color w:val="auto"/>
          <w:highlight w:val="none"/>
        </w:rPr>
      </w:pPr>
      <w:r>
        <w:rPr>
          <w:rFonts w:hint="eastAsia" w:ascii="宋体" w:hAnsi="宋体" w:eastAsia="宋体" w:cs="宋体"/>
          <w:color w:val="auto"/>
          <w:highlight w:val="none"/>
        </w:rPr>
        <w:t>法律、法规或规章规定的其他串通行为。</w:t>
      </w:r>
    </w:p>
    <w:p>
      <w:pPr>
        <w:snapToGrid w:val="0"/>
        <w:rPr>
          <w:rFonts w:hint="eastAsia" w:ascii="宋体" w:hAnsi="宋体" w:eastAsia="宋体" w:cs="宋体"/>
          <w:color w:val="auto"/>
          <w:highlight w:val="none"/>
        </w:rPr>
      </w:pPr>
    </w:p>
    <w:p>
      <w:pPr>
        <w:keepNext w:val="0"/>
        <w:keepLines w:val="0"/>
        <w:pageBreakBefore w:val="0"/>
        <w:numPr>
          <w:ilvl w:val="0"/>
          <w:numId w:val="6"/>
        </w:numPr>
        <w:kinsoku/>
        <w:wordWrap/>
        <w:overflowPunct/>
        <w:topLinePunct w:val="0"/>
        <w:bidi w:val="0"/>
        <w:snapToGrid w:val="0"/>
        <w:spacing w:line="360" w:lineRule="auto"/>
        <w:ind w:left="841" w:hanging="841" w:hangingChars="399"/>
        <w:textAlignment w:val="auto"/>
        <w:rPr>
          <w:rFonts w:hint="eastAsia" w:ascii="宋体" w:hAnsi="宋体" w:eastAsia="宋体" w:cs="宋体"/>
          <w:b/>
          <w:color w:val="auto"/>
          <w:highlight w:val="none"/>
        </w:rPr>
      </w:pPr>
      <w:r>
        <w:rPr>
          <w:rFonts w:hint="eastAsia" w:ascii="宋体" w:hAnsi="宋体" w:eastAsia="宋体" w:cs="宋体"/>
          <w:b/>
          <w:color w:val="auto"/>
          <w:highlight w:val="none"/>
        </w:rPr>
        <w:t>出现以下情形，中止电子交易活动：</w:t>
      </w:r>
    </w:p>
    <w:p>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电子交易平台发生故障而无法登录访问的；</w:t>
      </w:r>
    </w:p>
    <w:p>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电子交易平台应用或数据库出现错误，不能进行正常操作的；</w:t>
      </w:r>
    </w:p>
    <w:p>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电子交易平台发现严重安全漏洞，有潜在泄密危险的；</w:t>
      </w:r>
    </w:p>
    <w:p>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病毒发作导致不能进行正常操作的；</w:t>
      </w:r>
    </w:p>
    <w:p>
      <w:pPr>
        <w:numPr>
          <w:ilvl w:val="0"/>
          <w:numId w:val="12"/>
        </w:numPr>
        <w:tabs>
          <w:tab w:val="left" w:pos="1480"/>
        </w:tabs>
        <w:snapToGrid w:val="0"/>
        <w:spacing w:line="400" w:lineRule="atLeast"/>
        <w:ind w:left="1478" w:leftChars="306" w:hanging="835" w:hangingChars="398"/>
        <w:jc w:val="both"/>
        <w:rPr>
          <w:rFonts w:hint="eastAsia" w:ascii="宋体" w:hAnsi="宋体" w:eastAsia="宋体" w:cs="宋体"/>
          <w:color w:val="auto"/>
          <w:szCs w:val="22"/>
          <w:highlight w:val="none"/>
        </w:rPr>
      </w:pPr>
      <w:r>
        <w:rPr>
          <w:rFonts w:hint="eastAsia" w:ascii="宋体" w:hAnsi="宋体" w:eastAsia="宋体" w:cs="宋体"/>
          <w:color w:val="auto"/>
          <w:szCs w:val="22"/>
          <w:highlight w:val="none"/>
        </w:rPr>
        <w:t>其他无法保证电子交易的公平、公正和安全的情况。</w:t>
      </w:r>
    </w:p>
    <w:p>
      <w:pPr>
        <w:snapToGrid w:val="0"/>
        <w:spacing w:line="420" w:lineRule="exact"/>
        <w:ind w:firstLine="422" w:firstLineChars="200"/>
        <w:jc w:val="both"/>
        <w:rPr>
          <w:rFonts w:hint="eastAsia" w:ascii="宋体" w:hAnsi="宋体" w:eastAsia="宋体" w:cs="宋体"/>
          <w:b/>
          <w:bCs/>
          <w:color w:val="auto"/>
          <w:sz w:val="28"/>
          <w:highlight w:val="none"/>
        </w:rPr>
      </w:pPr>
      <w:r>
        <w:rPr>
          <w:rFonts w:hint="eastAsia" w:ascii="宋体" w:hAnsi="宋体" w:eastAsia="宋体" w:cs="宋体"/>
          <w:b/>
          <w:bCs/>
          <w:color w:val="auto"/>
          <w:szCs w:val="21"/>
          <w:highlight w:val="none"/>
        </w:rPr>
        <w:t>出现上述情形，不影响采购公平、公正性的，采购组织机构可以待上述情形消除后继续组织电子交易活动；影响或可能影响采购公平、公正性的，重新采购。</w:t>
      </w:r>
    </w:p>
    <w:p>
      <w:pPr>
        <w:spacing w:line="360" w:lineRule="auto"/>
        <w:jc w:val="center"/>
        <w:outlineLvl w:val="1"/>
        <w:rPr>
          <w:rFonts w:hint="eastAsia" w:ascii="宋体" w:hAnsi="宋体" w:eastAsia="宋体" w:cs="宋体"/>
          <w:b/>
          <w:bCs/>
          <w:color w:val="auto"/>
          <w:sz w:val="28"/>
          <w:highlight w:val="none"/>
        </w:rPr>
      </w:pPr>
      <w:bookmarkStart w:id="58" w:name="_Toc26132"/>
      <w:r>
        <w:rPr>
          <w:rFonts w:hint="eastAsia" w:ascii="宋体" w:hAnsi="宋体" w:eastAsia="宋体" w:cs="宋体"/>
          <w:b/>
          <w:bCs/>
          <w:color w:val="auto"/>
          <w:sz w:val="28"/>
          <w:highlight w:val="none"/>
        </w:rPr>
        <w:t>（五）投标文件的递交</w:t>
      </w:r>
      <w:bookmarkEnd w:id="55"/>
      <w:bookmarkEnd w:id="56"/>
      <w:bookmarkEnd w:id="57"/>
      <w:bookmarkEnd w:id="58"/>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投标截止时间</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本次招标的投标截止时间及投标文件递交截止时间：见本招标文件“</w:t>
      </w:r>
      <w:r>
        <w:rPr>
          <w:rFonts w:hint="eastAsia" w:ascii="宋体" w:hAnsi="宋体" w:eastAsia="宋体" w:cs="宋体"/>
          <w:color w:val="auto"/>
          <w:kern w:val="28"/>
          <w:highlight w:val="none"/>
          <w:lang w:eastAsia="zh-CN"/>
        </w:rPr>
        <w:t>采购公告</w:t>
      </w:r>
      <w:r>
        <w:rPr>
          <w:rFonts w:hint="eastAsia" w:ascii="宋体" w:hAnsi="宋体" w:eastAsia="宋体" w:cs="宋体"/>
          <w:color w:val="auto"/>
          <w:kern w:val="28"/>
          <w:highlight w:val="none"/>
        </w:rPr>
        <w:t>”</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b/>
          <w:color w:val="auto"/>
          <w:highlight w:val="none"/>
        </w:rPr>
      </w:pPr>
      <w:r>
        <w:rPr>
          <w:rFonts w:hint="eastAsia" w:ascii="宋体" w:hAnsi="宋体" w:eastAsia="宋体" w:cs="宋体"/>
          <w:color w:val="auto"/>
          <w:highlight w:val="none"/>
        </w:rPr>
        <w:t>在推迟了投标截止时间的情况下，招标单位和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受投标截止时间制约的所有权利和义务均应延长至新的截止时间。</w:t>
      </w:r>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投标文件的补充、修改与撤回</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投标截止时间前可以补充、修改或撤回投标文件。补充或者修改投标文件的，应当先行撤回原文件，补充、修改后重新递交。投标截止时间前未完成递交的，视为撤回投标文件</w:t>
      </w:r>
      <w:r>
        <w:rPr>
          <w:rFonts w:hint="eastAsia" w:ascii="宋体" w:hAnsi="宋体" w:eastAsia="宋体" w:cs="宋体"/>
          <w:color w:val="auto"/>
          <w:highlight w:val="none"/>
          <w:lang w:eastAsia="zh-CN"/>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在投标截止时间，</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不得对其投标文件做任何补充或修改，亦不得撤回其投标。</w:t>
      </w:r>
    </w:p>
    <w:p>
      <w:pPr>
        <w:tabs>
          <w:tab w:val="left" w:pos="592"/>
          <w:tab w:val="left" w:pos="1003"/>
        </w:tabs>
        <w:snapToGrid w:val="0"/>
        <w:spacing w:line="360" w:lineRule="auto"/>
        <w:rPr>
          <w:rFonts w:hint="eastAsia" w:ascii="宋体" w:hAnsi="宋体" w:eastAsia="宋体" w:cs="宋体"/>
          <w:color w:val="auto"/>
          <w:highlight w:val="none"/>
        </w:rPr>
      </w:pPr>
    </w:p>
    <w:p>
      <w:pPr>
        <w:spacing w:line="360" w:lineRule="auto"/>
        <w:jc w:val="center"/>
        <w:outlineLvl w:val="1"/>
        <w:rPr>
          <w:rFonts w:hint="eastAsia" w:ascii="宋体" w:hAnsi="宋体" w:eastAsia="宋体" w:cs="宋体"/>
          <w:b/>
          <w:bCs/>
          <w:color w:val="auto"/>
          <w:sz w:val="28"/>
          <w:highlight w:val="none"/>
        </w:rPr>
      </w:pPr>
      <w:bookmarkStart w:id="59" w:name="_Toc495977858"/>
      <w:bookmarkStart w:id="60" w:name="_Toc31268"/>
      <w:bookmarkStart w:id="61" w:name="_Toc30775"/>
      <w:bookmarkStart w:id="62" w:name="_Toc31314"/>
      <w:r>
        <w:rPr>
          <w:rFonts w:hint="eastAsia" w:ascii="宋体" w:hAnsi="宋体" w:eastAsia="宋体" w:cs="宋体"/>
          <w:b/>
          <w:bCs/>
          <w:color w:val="auto"/>
          <w:sz w:val="28"/>
          <w:highlight w:val="none"/>
        </w:rPr>
        <w:t>（六）开标与评审</w:t>
      </w:r>
      <w:bookmarkEnd w:id="59"/>
      <w:bookmarkEnd w:id="60"/>
      <w:bookmarkEnd w:id="61"/>
      <w:bookmarkEnd w:id="62"/>
    </w:p>
    <w:p>
      <w:pPr>
        <w:numPr>
          <w:ilvl w:val="0"/>
          <w:numId w:val="6"/>
        </w:numPr>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开标</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开标时间和地点：见本招标文件“</w:t>
      </w:r>
      <w:r>
        <w:rPr>
          <w:rFonts w:hint="eastAsia" w:ascii="宋体" w:hAnsi="宋体" w:eastAsia="宋体" w:cs="宋体"/>
          <w:color w:val="auto"/>
          <w:kern w:val="28"/>
          <w:highlight w:val="none"/>
          <w:lang w:eastAsia="zh-CN"/>
        </w:rPr>
        <w:t>采购公告</w:t>
      </w:r>
      <w:r>
        <w:rPr>
          <w:rFonts w:hint="eastAsia" w:ascii="宋体" w:hAnsi="宋体" w:eastAsia="宋体" w:cs="宋体"/>
          <w:color w:val="auto"/>
          <w:kern w:val="28"/>
          <w:highlight w:val="none"/>
        </w:rPr>
        <w:t>”</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val="zh-CN"/>
        </w:rPr>
        <w:t>投标</w:t>
      </w:r>
      <w:r>
        <w:rPr>
          <w:rFonts w:hint="eastAsia" w:ascii="宋体" w:hAnsi="宋体" w:eastAsia="宋体" w:cs="宋体"/>
          <w:color w:val="auto"/>
          <w:highlight w:val="none"/>
        </w:rPr>
        <w:t>供应商应当在接到解密通知后30分钟内自行完成“电子加密投标文件”的在线解密</w:t>
      </w:r>
      <w:r>
        <w:rPr>
          <w:rFonts w:hint="eastAsia" w:ascii="宋体" w:hAnsi="宋体" w:eastAsia="宋体" w:cs="宋体"/>
          <w:color w:val="auto"/>
          <w:highlight w:val="none"/>
          <w:lang w:eastAsia="zh-CN"/>
        </w:rPr>
        <w:t>。</w:t>
      </w:r>
    </w:p>
    <w:p>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开标程序</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向各供应商发出电子加密投标文件【开始解密】通知，由供应商按</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规定的时间内自行进行投标文件解密。供应商在规定的时间内无法完成已递交的“电子加密投标文件”解密的，如已按规定递交了备份投标文件的，将由采购组织机构按“</w:t>
      </w:r>
      <w:r>
        <w:rPr>
          <w:rFonts w:hint="eastAsia" w:ascii="宋体" w:hAnsi="宋体" w:cs="宋体"/>
          <w:color w:val="auto"/>
          <w:highlight w:val="none"/>
          <w:lang w:eastAsia="zh-CN"/>
        </w:rPr>
        <w:t>乐采云平台</w:t>
      </w:r>
      <w:r>
        <w:rPr>
          <w:rFonts w:hint="eastAsia" w:ascii="宋体" w:hAnsi="宋体" w:eastAsia="宋体" w:cs="宋体"/>
          <w:color w:val="auto"/>
          <w:highlight w:val="none"/>
        </w:rPr>
        <w:t>”操作规范将备份投标文件上传至“</w:t>
      </w:r>
      <w:r>
        <w:rPr>
          <w:rFonts w:hint="eastAsia" w:ascii="宋体" w:hAnsi="宋体" w:cs="宋体"/>
          <w:color w:val="auto"/>
          <w:highlight w:val="none"/>
          <w:lang w:eastAsia="zh-CN"/>
        </w:rPr>
        <w:t>乐采云平台</w:t>
      </w:r>
      <w:r>
        <w:rPr>
          <w:rFonts w:hint="eastAsia" w:ascii="宋体" w:hAnsi="宋体" w:eastAsia="宋体" w:cs="宋体"/>
          <w:color w:val="auto"/>
          <w:highlight w:val="none"/>
        </w:rPr>
        <w:t>”，上传成功后，“电子加密投标文件”自动失效。</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由</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或代理机构根据法律法规和</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的规定，检查投标文件提供的资格审查件是否齐全、是否满足</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的要求</w:t>
      </w:r>
      <w:r>
        <w:rPr>
          <w:rFonts w:hint="eastAsia" w:ascii="宋体" w:hAnsi="宋体" w:eastAsia="宋体" w:cs="宋体"/>
          <w:color w:val="auto"/>
          <w:highlight w:val="none"/>
          <w:lang w:val="zh-CN"/>
        </w:rPr>
        <w:t>，若资格审查不符合招标文件要求不进入后续评审阶段。</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rPr>
        <w:t>评标委员会对商务技术文件进行评审，</w:t>
      </w:r>
      <w:r>
        <w:rPr>
          <w:rFonts w:hint="eastAsia" w:ascii="宋体" w:hAnsi="宋体" w:eastAsia="宋体" w:cs="宋体"/>
          <w:color w:val="auto"/>
          <w:highlight w:val="none"/>
          <w:lang w:val="zh-CN"/>
        </w:rPr>
        <w:t>评审内容包括符合性审查，资信、技术评估及比较等。商务技术文件符合性审查通过的供应商，进入商务技术评分环节。符合性审查不通过的，其不再进入后续评审阶段。</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进入后续评审阶段的，评标委员会对其报价情况进行评审。</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评标委员会根据综合得分情况，</w:t>
      </w:r>
      <w:r>
        <w:rPr>
          <w:rFonts w:hint="eastAsia" w:ascii="宋体" w:hAnsi="宋体" w:eastAsia="宋体" w:cs="宋体"/>
          <w:color w:val="auto"/>
          <w:highlight w:val="none"/>
        </w:rPr>
        <w:t>按照评审得分由高到低顺序推荐</w:t>
      </w:r>
      <w:r>
        <w:rPr>
          <w:rFonts w:hint="eastAsia" w:ascii="宋体" w:hAnsi="宋体" w:eastAsia="宋体" w:cs="宋体"/>
          <w:color w:val="auto"/>
          <w:highlight w:val="none"/>
          <w:lang w:val="zh-CN"/>
        </w:rPr>
        <w:t>推荐综合得分排名第一的供应商为中标候选人。</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rPr>
      </w:pPr>
      <w:r>
        <w:rPr>
          <w:rFonts w:hint="eastAsia" w:ascii="宋体" w:hAnsi="宋体" w:eastAsia="宋体" w:cs="宋体"/>
          <w:color w:val="auto"/>
          <w:highlight w:val="none"/>
          <w:lang w:val="zh-CN"/>
        </w:rPr>
        <w:t>在系统上公布评审结果。</w:t>
      </w:r>
    </w:p>
    <w:p>
      <w:pPr>
        <w:pStyle w:val="15"/>
        <w:ind w:firstLine="482" w:firstLineChars="200"/>
        <w:rPr>
          <w:rFonts w:hint="eastAsia" w:ascii="宋体" w:hAnsi="宋体" w:eastAsia="宋体" w:cs="宋体"/>
          <w:color w:val="auto"/>
          <w:highlight w:val="none"/>
        </w:rPr>
      </w:pPr>
      <w:r>
        <w:rPr>
          <w:rFonts w:hint="eastAsia" w:ascii="宋体" w:hAnsi="宋体" w:eastAsia="宋体" w:cs="宋体"/>
          <w:b/>
          <w:bCs/>
          <w:color w:val="auto"/>
          <w:szCs w:val="21"/>
          <w:highlight w:val="none"/>
        </w:rPr>
        <w:t>特别说明：</w:t>
      </w:r>
      <w:r>
        <w:rPr>
          <w:rFonts w:hint="eastAsia" w:ascii="宋体" w:hAnsi="宋体" w:eastAsia="宋体" w:cs="宋体"/>
          <w:b/>
          <w:bCs/>
          <w:color w:val="auto"/>
          <w:szCs w:val="21"/>
          <w:highlight w:val="none"/>
          <w:lang w:val="en-US" w:eastAsia="zh-CN"/>
        </w:rPr>
        <w:t>乐</w:t>
      </w:r>
      <w:r>
        <w:rPr>
          <w:rFonts w:hint="eastAsia" w:ascii="宋体" w:hAnsi="宋体" w:eastAsia="宋体" w:cs="宋体"/>
          <w:b/>
          <w:bCs/>
          <w:color w:val="auto"/>
          <w:szCs w:val="21"/>
          <w:highlight w:val="none"/>
        </w:rPr>
        <w:t>采云公司如对电子化开标及评审程序有调整的，按调整后的程序操作。</w:t>
      </w:r>
    </w:p>
    <w:p>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评标委员会</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本次招标依法组建评标委员会。</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评标委员会依法根据</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的规定，按对每一个</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的投标文件进行评审、提交评标报告。</w:t>
      </w:r>
    </w:p>
    <w:p>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评标原则和评标方法</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评标基本原则：评标工作应依据</w:t>
      </w:r>
      <w:r>
        <w:rPr>
          <w:rFonts w:hint="eastAsia" w:ascii="宋体" w:hAnsi="宋体" w:eastAsia="宋体" w:cs="宋体"/>
          <w:color w:val="auto"/>
          <w:highlight w:val="none"/>
          <w:lang w:eastAsia="zh-CN"/>
        </w:rPr>
        <w:t>《温州市市属国有企业采购管理办法》</w:t>
      </w:r>
      <w:r>
        <w:rPr>
          <w:rFonts w:hint="eastAsia" w:ascii="宋体" w:hAnsi="宋体" w:eastAsia="宋体" w:cs="宋体"/>
          <w:color w:val="auto"/>
          <w:highlight w:val="none"/>
        </w:rPr>
        <w:t>以及国家和地方政府有关政府采购的有关规定，遵循“公开、公平、公正、择优、信用”的原则。</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评标方法：本次招标的评标方法详见本招标文件“第六部分”。</w:t>
      </w:r>
    </w:p>
    <w:p>
      <w:pPr>
        <w:numPr>
          <w:ilvl w:val="0"/>
          <w:numId w:val="6"/>
        </w:numPr>
        <w:spacing w:line="360" w:lineRule="auto"/>
        <w:ind w:left="841" w:hanging="841" w:hangingChars="399"/>
        <w:rPr>
          <w:rFonts w:hint="eastAsia" w:ascii="宋体" w:hAnsi="宋体" w:eastAsia="宋体" w:cs="宋体"/>
          <w:color w:val="auto"/>
          <w:highlight w:val="none"/>
        </w:rPr>
      </w:pPr>
      <w:r>
        <w:rPr>
          <w:rFonts w:hint="eastAsia" w:ascii="宋体" w:hAnsi="宋体" w:eastAsia="宋体" w:cs="宋体"/>
          <w:b/>
          <w:color w:val="auto"/>
          <w:highlight w:val="none"/>
        </w:rPr>
        <w:t>评标工作程序</w:t>
      </w:r>
    </w:p>
    <w:p>
      <w:pPr>
        <w:numPr>
          <w:ilvl w:val="1"/>
          <w:numId w:val="6"/>
        </w:numPr>
        <w:tabs>
          <w:tab w:val="left" w:pos="592"/>
        </w:tabs>
        <w:snapToGrid w:val="0"/>
        <w:spacing w:line="360" w:lineRule="exact"/>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评审：</w:t>
      </w:r>
    </w:p>
    <w:p>
      <w:pPr>
        <w:keepNext w:val="0"/>
        <w:keepLines w:val="0"/>
        <w:pageBreakBefore w:val="0"/>
        <w:numPr>
          <w:ilvl w:val="0"/>
          <w:numId w:val="13"/>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资格性审查：</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或代理机构根据法律法规和</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的规定，审查投标文件提供的资格证明文件是否齐全、是否满足</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的要求等。</w:t>
      </w:r>
    </w:p>
    <w:p>
      <w:pPr>
        <w:keepNext w:val="0"/>
        <w:keepLines w:val="0"/>
        <w:pageBreakBefore w:val="0"/>
        <w:numPr>
          <w:ilvl w:val="0"/>
          <w:numId w:val="13"/>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符合性审查：评标委员会对符合资格的投标供应商的投标文件进行符合性审查，从投标文件的有效性、完整性和对</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的响应程度进行检查，以确定是否对</w:t>
      </w:r>
      <w:r>
        <w:rPr>
          <w:rFonts w:hint="eastAsia" w:ascii="宋体" w:hAnsi="宋体" w:eastAsia="宋体" w:cs="宋体"/>
          <w:color w:val="auto"/>
          <w:highlight w:val="none"/>
          <w:lang w:eastAsia="zh-CN"/>
        </w:rPr>
        <w:t>招标文件</w:t>
      </w:r>
      <w:r>
        <w:rPr>
          <w:rFonts w:hint="eastAsia" w:ascii="宋体" w:hAnsi="宋体" w:eastAsia="宋体" w:cs="宋体"/>
          <w:color w:val="auto"/>
          <w:highlight w:val="none"/>
        </w:rPr>
        <w:t>的实质性要求作出响应。</w:t>
      </w:r>
    </w:p>
    <w:p>
      <w:pPr>
        <w:keepNext w:val="0"/>
        <w:keepLines w:val="0"/>
        <w:pageBreakBefore w:val="0"/>
        <w:numPr>
          <w:ilvl w:val="0"/>
          <w:numId w:val="13"/>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▲在资格性审查、符合性审查及详细评审投标文件时出现下列情况，按照</w:t>
      </w:r>
      <w:r>
        <w:rPr>
          <w:rFonts w:hint="eastAsia" w:ascii="宋体" w:hAnsi="宋体" w:eastAsia="宋体" w:cs="宋体"/>
          <w:b/>
          <w:bCs/>
          <w:color w:val="auto"/>
          <w:highlight w:val="none"/>
        </w:rPr>
        <w:t>无效投标</w:t>
      </w:r>
      <w:r>
        <w:rPr>
          <w:rFonts w:hint="eastAsia" w:ascii="宋体" w:hAnsi="宋体" w:eastAsia="宋体" w:cs="宋体"/>
          <w:color w:val="auto"/>
          <w:highlight w:val="none"/>
        </w:rPr>
        <w:t>处理</w:t>
      </w:r>
      <w:r>
        <w:rPr>
          <w:rFonts w:hint="eastAsia" w:ascii="宋体" w:hAnsi="宋体" w:eastAsia="宋体" w:cs="宋体"/>
          <w:b/>
          <w:bCs/>
          <w:color w:val="auto"/>
          <w:highlight w:val="none"/>
        </w:rPr>
        <w:t>：</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报价不是固定价的；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投标报价超</w:t>
      </w:r>
      <w:r>
        <w:rPr>
          <w:rFonts w:hint="eastAsia" w:ascii="宋体" w:hAnsi="宋体" w:eastAsia="宋体" w:cs="宋体"/>
          <w:color w:val="auto"/>
          <w:szCs w:val="22"/>
          <w:highlight w:val="none"/>
          <w:lang w:eastAsia="zh-CN"/>
        </w:rPr>
        <w:t>过采购预算或</w:t>
      </w:r>
      <w:r>
        <w:rPr>
          <w:rFonts w:hint="eastAsia" w:ascii="宋体" w:hAnsi="宋体" w:eastAsia="宋体" w:cs="宋体"/>
          <w:color w:val="auto"/>
          <w:szCs w:val="22"/>
          <w:highlight w:val="none"/>
        </w:rPr>
        <w:t>最高限价的；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投标有效期不足的；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报价出现前后不一致，又不接受评标委员会修正的；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highlight w:val="none"/>
        </w:rPr>
      </w:pPr>
      <w:r>
        <w:rPr>
          <w:rFonts w:hint="eastAsia" w:ascii="宋体" w:hAnsi="宋体" w:eastAsia="宋体" w:cs="宋体"/>
          <w:color w:val="auto"/>
          <w:szCs w:val="22"/>
          <w:highlight w:val="none"/>
        </w:rPr>
        <w:t>“</w:t>
      </w:r>
      <w:r>
        <w:rPr>
          <w:rFonts w:hint="eastAsia" w:ascii="宋体" w:hAnsi="宋体" w:eastAsia="宋体" w:cs="宋体"/>
          <w:color w:val="auto"/>
          <w:szCs w:val="22"/>
          <w:highlight w:val="none"/>
          <w:lang w:eastAsia="zh-CN"/>
        </w:rPr>
        <w:t>资格审查文件</w:t>
      </w:r>
      <w:r>
        <w:rPr>
          <w:rFonts w:hint="eastAsia" w:ascii="宋体" w:hAnsi="宋体" w:eastAsia="宋体" w:cs="宋体"/>
          <w:color w:val="auto"/>
          <w:szCs w:val="22"/>
          <w:highlight w:val="none"/>
        </w:rPr>
        <w:t>”、“商务技术文件”、“报价文件”制作在一起的或“</w:t>
      </w:r>
      <w:r>
        <w:rPr>
          <w:rFonts w:hint="eastAsia" w:ascii="宋体" w:hAnsi="宋体" w:eastAsia="宋体" w:cs="宋体"/>
          <w:color w:val="auto"/>
          <w:szCs w:val="22"/>
          <w:highlight w:val="none"/>
          <w:lang w:eastAsia="zh-CN"/>
        </w:rPr>
        <w:t>资格审查文件</w:t>
      </w:r>
      <w:r>
        <w:rPr>
          <w:rFonts w:hint="eastAsia" w:ascii="宋体" w:hAnsi="宋体" w:eastAsia="宋体" w:cs="宋体"/>
          <w:color w:val="auto"/>
          <w:szCs w:val="22"/>
          <w:highlight w:val="none"/>
        </w:rPr>
        <w:t>”、“商务技术文件”中出现本项目的投标价格信息的；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highlight w:val="none"/>
        </w:rPr>
      </w:pPr>
      <w:r>
        <w:rPr>
          <w:rStyle w:val="232"/>
          <w:rFonts w:hint="eastAsia" w:ascii="宋体" w:hAnsi="宋体" w:eastAsia="宋体" w:cs="宋体"/>
          <w:color w:val="auto"/>
          <w:szCs w:val="21"/>
          <w:highlight w:val="none"/>
        </w:rPr>
        <w:t>未按</w:t>
      </w:r>
      <w:r>
        <w:rPr>
          <w:rStyle w:val="232"/>
          <w:rFonts w:hint="eastAsia" w:ascii="宋体" w:hAnsi="宋体" w:eastAsia="宋体" w:cs="宋体"/>
          <w:color w:val="auto"/>
          <w:szCs w:val="21"/>
          <w:highlight w:val="none"/>
          <w:lang w:eastAsia="zh-CN"/>
        </w:rPr>
        <w:t>招标文件</w:t>
      </w:r>
      <w:r>
        <w:rPr>
          <w:rStyle w:val="232"/>
          <w:rFonts w:hint="eastAsia" w:ascii="宋体" w:hAnsi="宋体" w:eastAsia="宋体" w:cs="宋体"/>
          <w:color w:val="auto"/>
          <w:szCs w:val="21"/>
          <w:highlight w:val="none"/>
        </w:rPr>
        <w:t>要求进行签字或盖章的；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1"/>
          <w:highlight w:val="none"/>
        </w:rPr>
        <w:t>未按招标</w:t>
      </w:r>
      <w:r>
        <w:rPr>
          <w:rFonts w:hint="eastAsia" w:ascii="宋体" w:hAnsi="宋体" w:eastAsia="宋体" w:cs="宋体"/>
          <w:color w:val="auto"/>
          <w:szCs w:val="21"/>
          <w:highlight w:val="none"/>
          <w:lang w:eastAsia="zh-CN"/>
        </w:rPr>
        <w:t>文件</w:t>
      </w:r>
      <w:r>
        <w:rPr>
          <w:rFonts w:hint="eastAsia" w:ascii="宋体" w:hAnsi="宋体" w:eastAsia="宋体" w:cs="宋体"/>
          <w:color w:val="auto"/>
          <w:szCs w:val="21"/>
          <w:highlight w:val="none"/>
        </w:rPr>
        <w:t>要求提供投标保证金的</w:t>
      </w:r>
      <w:r>
        <w:rPr>
          <w:rFonts w:hint="eastAsia" w:ascii="宋体" w:hAnsi="宋体" w:eastAsia="宋体" w:cs="宋体"/>
          <w:color w:val="auto"/>
          <w:szCs w:val="21"/>
          <w:highlight w:val="none"/>
          <w:lang w:eastAsia="zh-CN"/>
        </w:rPr>
        <w:t>；</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1"/>
          <w:highlight w:val="none"/>
        </w:rPr>
        <w:t>投标截止时间止，投标供应商仅递交了“备份投标文件”而未将电子加密投标文件上传至“</w:t>
      </w:r>
      <w:r>
        <w:rPr>
          <w:rFonts w:hint="eastAsia" w:ascii="宋体" w:hAnsi="宋体" w:cs="宋体"/>
          <w:color w:val="auto"/>
          <w:szCs w:val="21"/>
          <w:highlight w:val="none"/>
          <w:lang w:eastAsia="zh-CN"/>
        </w:rPr>
        <w:t>乐采云平台</w:t>
      </w:r>
      <w:r>
        <w:rPr>
          <w:rFonts w:hint="eastAsia" w:ascii="宋体" w:hAnsi="宋体" w:eastAsia="宋体" w:cs="宋体"/>
          <w:color w:val="auto"/>
          <w:szCs w:val="21"/>
          <w:highlight w:val="none"/>
        </w:rPr>
        <w:t>”的；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投标文件含有</w:t>
      </w:r>
      <w:r>
        <w:rPr>
          <w:rFonts w:hint="eastAsia" w:ascii="宋体" w:hAnsi="宋体" w:eastAsia="宋体" w:cs="宋体"/>
          <w:color w:val="auto"/>
          <w:szCs w:val="22"/>
          <w:highlight w:val="none"/>
          <w:lang w:eastAsia="zh-CN"/>
        </w:rPr>
        <w:t>采购人</w:t>
      </w:r>
      <w:r>
        <w:rPr>
          <w:rFonts w:hint="eastAsia" w:ascii="宋体" w:hAnsi="宋体" w:eastAsia="宋体" w:cs="宋体"/>
          <w:color w:val="auto"/>
          <w:szCs w:val="22"/>
          <w:highlight w:val="none"/>
        </w:rPr>
        <w:t>不能接受的附加条件的；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存在串标、抬标或弄虚作假情况的；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不具备</w:t>
      </w:r>
      <w:r>
        <w:rPr>
          <w:rFonts w:hint="eastAsia" w:ascii="宋体" w:hAnsi="宋体" w:eastAsia="宋体" w:cs="宋体"/>
          <w:color w:val="auto"/>
          <w:szCs w:val="22"/>
          <w:highlight w:val="none"/>
          <w:lang w:eastAsia="zh-CN"/>
        </w:rPr>
        <w:t>招标文件</w:t>
      </w:r>
      <w:r>
        <w:rPr>
          <w:rFonts w:hint="eastAsia" w:ascii="宋体" w:hAnsi="宋体" w:eastAsia="宋体" w:cs="宋体"/>
          <w:color w:val="auto"/>
          <w:szCs w:val="22"/>
          <w:highlight w:val="none"/>
        </w:rPr>
        <w:t>中规定资格要求的；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highlight w:val="none"/>
        </w:rPr>
        <w:t>未</w:t>
      </w:r>
      <w:r>
        <w:rPr>
          <w:rFonts w:hint="eastAsia" w:ascii="宋体" w:hAnsi="宋体" w:eastAsia="宋体" w:cs="宋体"/>
          <w:color w:val="auto"/>
          <w:highlight w:val="none"/>
          <w:lang w:eastAsia="zh-CN"/>
        </w:rPr>
        <w:t>在规定时间内解密的</w:t>
      </w:r>
      <w:r>
        <w:rPr>
          <w:rFonts w:hint="eastAsia" w:ascii="宋体" w:hAnsi="宋体" w:eastAsia="宋体" w:cs="宋体"/>
          <w:color w:val="auto"/>
          <w:highlight w:val="none"/>
        </w:rPr>
        <w:t>；</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未实质性响应</w:t>
      </w:r>
      <w:r>
        <w:rPr>
          <w:rFonts w:hint="eastAsia" w:ascii="宋体" w:hAnsi="宋体" w:eastAsia="宋体" w:cs="宋体"/>
          <w:color w:val="auto"/>
          <w:szCs w:val="22"/>
          <w:highlight w:val="none"/>
          <w:lang w:eastAsia="zh-CN"/>
        </w:rPr>
        <w:t>招标文件</w:t>
      </w:r>
      <w:r>
        <w:rPr>
          <w:rFonts w:hint="eastAsia" w:ascii="宋体" w:hAnsi="宋体" w:eastAsia="宋体" w:cs="宋体"/>
          <w:color w:val="auto"/>
          <w:szCs w:val="22"/>
          <w:highlight w:val="none"/>
        </w:rPr>
        <w:t>要求的；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主要技术要求不满足要求或商务有重大偏离或保留的；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若投标文件为授权代表签署而未提供有效的法定代表人授权书的；</w:t>
      </w:r>
    </w:p>
    <w:p>
      <w:pPr>
        <w:keepNext w:val="0"/>
        <w:keepLines w:val="0"/>
        <w:pageBreakBefore w:val="0"/>
        <w:widowControl w:val="0"/>
        <w:numPr>
          <w:ilvl w:val="0"/>
          <w:numId w:val="14"/>
        </w:numPr>
        <w:tabs>
          <w:tab w:val="left" w:pos="420"/>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存在不良信用记录的；</w:t>
      </w:r>
    </w:p>
    <w:p>
      <w:pPr>
        <w:keepNext w:val="0"/>
        <w:keepLines w:val="0"/>
        <w:pageBreakBefore w:val="0"/>
        <w:widowControl w:val="0"/>
        <w:numPr>
          <w:ilvl w:val="0"/>
          <w:numId w:val="14"/>
        </w:numPr>
        <w:tabs>
          <w:tab w:val="left" w:pos="420"/>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评标委员会认为投标供应商的报价明显低于其他通过符合性审查投标供应商的报价，有可能影响服务质量或者不能诚信履约且不能在规定时间内证明其报价合理性的；</w:t>
      </w:r>
    </w:p>
    <w:p>
      <w:pPr>
        <w:keepNext w:val="0"/>
        <w:keepLines w:val="0"/>
        <w:pageBreakBefore w:val="0"/>
        <w:widowControl w:val="0"/>
        <w:numPr>
          <w:ilvl w:val="0"/>
          <w:numId w:val="14"/>
        </w:numPr>
        <w:tabs>
          <w:tab w:val="left" w:pos="993"/>
        </w:tabs>
        <w:kinsoku/>
        <w:wordWrap/>
        <w:overflowPunct/>
        <w:topLinePunct w:val="0"/>
        <w:autoSpaceDE/>
        <w:autoSpaceDN/>
        <w:bidi w:val="0"/>
        <w:adjustRightInd/>
        <w:spacing w:line="400" w:lineRule="exact"/>
        <w:ind w:left="0" w:firstLine="1134"/>
        <w:jc w:val="both"/>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不符合法律、法规和</w:t>
      </w:r>
      <w:r>
        <w:rPr>
          <w:rFonts w:hint="eastAsia" w:ascii="宋体" w:hAnsi="宋体" w:eastAsia="宋体" w:cs="宋体"/>
          <w:color w:val="auto"/>
          <w:szCs w:val="22"/>
          <w:highlight w:val="none"/>
          <w:lang w:eastAsia="zh-CN"/>
        </w:rPr>
        <w:t>招标文件</w:t>
      </w:r>
      <w:r>
        <w:rPr>
          <w:rFonts w:hint="eastAsia" w:ascii="宋体" w:hAnsi="宋体" w:eastAsia="宋体" w:cs="宋体"/>
          <w:color w:val="auto"/>
          <w:szCs w:val="22"/>
          <w:highlight w:val="none"/>
        </w:rPr>
        <w:t>规定的其他实质性要求的。</w:t>
      </w:r>
    </w:p>
    <w:p>
      <w:pPr>
        <w:numPr>
          <w:ilvl w:val="1"/>
          <w:numId w:val="6"/>
        </w:numPr>
        <w:tabs>
          <w:tab w:val="left" w:pos="592"/>
        </w:tabs>
        <w:snapToGrid w:val="0"/>
        <w:spacing w:line="360" w:lineRule="exact"/>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澄清有关问题：对投标文件中含义不明确、同类问题表述不一致或者有明显文字和计算错误的内容，评标委员会以电子形式在线要求投标供应商作出必要的澄清、说明或者补正。投标供应商的澄清、说明或者补正在规定的时间内以电子形式在线提交（并加盖电子签章，或者由法定代表人或其授权的代表签字），并不得超出投标文件的范围或者改变投标文件的实质性内容。</w:t>
      </w:r>
      <w:r>
        <w:rPr>
          <w:rFonts w:hint="eastAsia" w:ascii="宋体" w:hAnsi="宋体" w:eastAsia="宋体" w:cs="宋体"/>
          <w:b/>
          <w:bCs/>
          <w:color w:val="auto"/>
          <w:szCs w:val="22"/>
          <w:highlight w:val="none"/>
        </w:rPr>
        <w:t>评标委员会将通过“</w:t>
      </w:r>
      <w:r>
        <w:rPr>
          <w:rFonts w:hint="eastAsia" w:ascii="宋体" w:hAnsi="宋体" w:eastAsia="宋体" w:cs="宋体"/>
          <w:b/>
          <w:bCs/>
          <w:color w:val="auto"/>
          <w:szCs w:val="22"/>
          <w:highlight w:val="none"/>
          <w:lang w:eastAsia="zh-CN"/>
        </w:rPr>
        <w:t>乐采云</w:t>
      </w:r>
      <w:r>
        <w:rPr>
          <w:rFonts w:hint="eastAsia" w:ascii="宋体" w:hAnsi="宋体" w:eastAsia="宋体" w:cs="宋体"/>
          <w:b/>
          <w:bCs/>
          <w:color w:val="auto"/>
          <w:szCs w:val="22"/>
          <w:highlight w:val="none"/>
        </w:rPr>
        <w:t>”在线询标的形式要求供应商在规定的时间内作出必要的澄清、说明或者补正。供应商的澄清、说明或者补正应当通过“</w:t>
      </w:r>
      <w:r>
        <w:rPr>
          <w:rFonts w:hint="eastAsia" w:ascii="宋体" w:hAnsi="宋体" w:eastAsia="宋体" w:cs="宋体"/>
          <w:b/>
          <w:bCs/>
          <w:color w:val="auto"/>
          <w:szCs w:val="22"/>
          <w:highlight w:val="none"/>
          <w:lang w:eastAsia="zh-CN"/>
        </w:rPr>
        <w:t>乐采云</w:t>
      </w:r>
      <w:r>
        <w:rPr>
          <w:rFonts w:hint="eastAsia" w:ascii="宋体" w:hAnsi="宋体" w:eastAsia="宋体" w:cs="宋体"/>
          <w:b/>
          <w:bCs/>
          <w:color w:val="auto"/>
          <w:szCs w:val="22"/>
          <w:highlight w:val="none"/>
        </w:rPr>
        <w:t>”在线答复形式提交，并加盖电子签章，或者由法定代表人或其授权的代表签字。</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比较与评价：评标委员会按招标文件第六部分“评标办法”。规定的评标方法和标准，对资格性检查和符合性检查合格的投标文件进行商务技术评估，综合比较与评价。</w:t>
      </w:r>
      <w:r>
        <w:rPr>
          <w:rFonts w:hint="eastAsia" w:ascii="宋体" w:hAnsi="宋体" w:eastAsia="宋体" w:cs="宋体"/>
          <w:snapToGrid w:val="0"/>
          <w:color w:val="auto"/>
          <w:kern w:val="0"/>
          <w:highlight w:val="none"/>
          <w:u w:val="wave"/>
        </w:rPr>
        <w:t xml:space="preserve">评标委员会对投标文件的判定，只依据投标文件内容本身，不依据任何外来证明 </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snapToGrid w:val="0"/>
          <w:color w:val="auto"/>
          <w:kern w:val="0"/>
          <w:sz w:val="21"/>
          <w:szCs w:val="21"/>
          <w:highlight w:val="none"/>
        </w:rPr>
        <w:t>本次招标评标采用综合评估法，</w:t>
      </w:r>
      <w:r>
        <w:rPr>
          <w:rFonts w:hint="eastAsia" w:ascii="宋体" w:hAnsi="宋体" w:eastAsia="宋体" w:cs="宋体"/>
          <w:snapToGrid w:val="0"/>
          <w:color w:val="auto"/>
          <w:kern w:val="0"/>
          <w:sz w:val="21"/>
          <w:szCs w:val="21"/>
          <w:highlight w:val="none"/>
          <w:lang w:val="en-US" w:eastAsia="zh-CN"/>
        </w:rPr>
        <w:t>详见第六部分评标办法</w:t>
      </w:r>
      <w:r>
        <w:rPr>
          <w:rFonts w:hint="eastAsia" w:ascii="宋体" w:hAnsi="宋体" w:eastAsia="宋体" w:cs="宋体"/>
          <w:snapToGrid w:val="0"/>
          <w:color w:val="auto"/>
          <w:kern w:val="0"/>
          <w:sz w:val="21"/>
          <w:szCs w:val="21"/>
          <w:highlight w:val="none"/>
        </w:rPr>
        <w:t>。</w:t>
      </w:r>
    </w:p>
    <w:p>
      <w:pPr>
        <w:numPr>
          <w:ilvl w:val="0"/>
          <w:numId w:val="6"/>
        </w:numPr>
        <w:spacing w:line="360" w:lineRule="auto"/>
        <w:ind w:left="841" w:hanging="841" w:hangingChars="399"/>
        <w:rPr>
          <w:rFonts w:hint="eastAsia" w:ascii="宋体" w:hAnsi="宋体" w:eastAsia="宋体" w:cs="宋体"/>
          <w:b/>
          <w:bCs/>
          <w:color w:val="auto"/>
          <w:highlight w:val="none"/>
        </w:rPr>
      </w:pPr>
      <w:r>
        <w:rPr>
          <w:rFonts w:hint="eastAsia" w:ascii="宋体" w:hAnsi="宋体" w:eastAsia="宋体" w:cs="宋体"/>
          <w:b/>
          <w:bCs/>
          <w:color w:val="auto"/>
          <w:highlight w:val="none"/>
        </w:rPr>
        <w:t>评标过程保密</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开标之后，直到授予</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合同止，凡是属于审查、澄清、评价和比较投标的有关资料以及授标意向等，均不得向</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或其他无关的人员透露。</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在评标期间，</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企图影响</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或评标委员会的任何活动，都将导致投标被否决，并由其承担相应的法律责任。</w:t>
      </w:r>
    </w:p>
    <w:p>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中标人的确定</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按评标委员会的评审结果，在评标委员会推荐的候选供应商中依法确定排名第一的候选供应商（投标价不超过采购预算资金的前提下）为中标供应商。</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将在“浙江省政府采购网”（http://zfcg.czt.zj.gov.cn/）</w:t>
      </w:r>
      <w:r>
        <w:rPr>
          <w:rFonts w:hint="eastAsia" w:ascii="宋体" w:hAnsi="宋体" w:eastAsia="宋体" w:cs="宋体"/>
          <w:color w:val="auto"/>
          <w:highlight w:val="none"/>
          <w:lang w:eastAsia="zh-CN"/>
        </w:rPr>
        <w:t>、</w:t>
      </w:r>
      <w:r>
        <w:rPr>
          <w:rFonts w:hint="eastAsia" w:ascii="宋体" w:hAnsi="宋体" w:eastAsia="宋体" w:cs="宋体"/>
          <w:color w:val="auto"/>
          <w:highlight w:val="none"/>
        </w:rPr>
        <w:t>“温州国企采购平台”（网址：https://wzgzw-cg.zhengcaiyun.cn/）</w:t>
      </w:r>
      <w:r>
        <w:rPr>
          <w:rFonts w:hint="eastAsia" w:ascii="宋体" w:hAnsi="宋体" w:eastAsia="宋体" w:cs="宋体"/>
          <w:color w:val="auto"/>
          <w:highlight w:val="none"/>
          <w:lang w:eastAsia="zh-CN"/>
        </w:rPr>
        <w:t>及相关网站</w:t>
      </w:r>
      <w:r>
        <w:rPr>
          <w:rFonts w:hint="eastAsia" w:ascii="宋体" w:hAnsi="宋体" w:eastAsia="宋体" w:cs="宋体"/>
          <w:color w:val="auto"/>
          <w:highlight w:val="none"/>
        </w:rPr>
        <w:t>发布《中标结果公示》，同时向中标供应商发出中标通知书。</w:t>
      </w:r>
    </w:p>
    <w:p>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lang w:val="en-US" w:eastAsia="zh-CN"/>
        </w:rPr>
        <w:t>拒绝</w:t>
      </w:r>
      <w:r>
        <w:rPr>
          <w:rFonts w:hint="eastAsia" w:ascii="宋体" w:hAnsi="宋体" w:eastAsia="宋体" w:cs="宋体"/>
          <w:b/>
          <w:color w:val="auto"/>
          <w:highlight w:val="none"/>
        </w:rPr>
        <w:t>任何或所有投标的权利</w:t>
      </w:r>
    </w:p>
    <w:p>
      <w:pPr>
        <w:numPr>
          <w:ilvl w:val="1"/>
          <w:numId w:val="6"/>
        </w:numPr>
        <w:tabs>
          <w:tab w:val="left" w:pos="592"/>
        </w:tabs>
        <w:snapToGrid w:val="0"/>
        <w:spacing w:line="360" w:lineRule="auto"/>
        <w:ind w:left="577" w:hanging="576" w:hangingChars="280"/>
        <w:rPr>
          <w:rFonts w:hint="eastAsia" w:ascii="宋体" w:hAnsi="宋体" w:eastAsia="宋体" w:cs="宋体"/>
          <w:b w:val="0"/>
          <w:bCs w:val="0"/>
          <w:color w:val="auto"/>
          <w:szCs w:val="21"/>
          <w:highlight w:val="none"/>
          <w:lang w:val="zh-CN" w:eastAsia="zh-CN"/>
        </w:rPr>
      </w:pPr>
      <w:r>
        <w:rPr>
          <w:rFonts w:hint="eastAsia" w:ascii="宋体" w:hAnsi="宋体" w:eastAsia="宋体" w:cs="宋体"/>
          <w:color w:val="auto"/>
          <w:spacing w:val="-2"/>
          <w:highlight w:val="none"/>
        </w:rPr>
        <w:t>评标委员会经评审，认为任何或所有投标都不符合招标文件要求的，可以否决任何或所有投标</w:t>
      </w:r>
      <w:r>
        <w:rPr>
          <w:rFonts w:hint="eastAsia" w:ascii="宋体" w:hAnsi="宋体" w:eastAsia="宋体" w:cs="宋体"/>
          <w:color w:val="auto"/>
          <w:highlight w:val="none"/>
        </w:rPr>
        <w:t>。</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lang w:val="zh-CN" w:eastAsia="zh-CN"/>
        </w:rPr>
      </w:pPr>
      <w:r>
        <w:rPr>
          <w:rFonts w:hint="eastAsia" w:ascii="宋体" w:hAnsi="宋体" w:eastAsia="宋体" w:cs="宋体"/>
          <w:b w:val="0"/>
          <w:bCs w:val="0"/>
          <w:color w:val="auto"/>
          <w:szCs w:val="21"/>
          <w:highlight w:val="none"/>
          <w:lang w:val="zh-CN" w:eastAsia="zh-CN"/>
        </w:rPr>
        <w:t>如果中标候选供应商的部分或全部投标高于</w:t>
      </w:r>
      <w:r>
        <w:rPr>
          <w:rFonts w:hint="eastAsia" w:ascii="宋体" w:hAnsi="宋体" w:eastAsia="宋体" w:cs="宋体"/>
          <w:b w:val="0"/>
          <w:bCs w:val="0"/>
          <w:color w:val="auto"/>
          <w:szCs w:val="21"/>
          <w:highlight w:val="none"/>
          <w:lang w:val="en-US" w:eastAsia="zh-CN"/>
        </w:rPr>
        <w:t>国企</w:t>
      </w:r>
      <w:r>
        <w:rPr>
          <w:rFonts w:hint="eastAsia" w:ascii="宋体" w:hAnsi="宋体" w:eastAsia="宋体" w:cs="宋体"/>
          <w:b w:val="0"/>
          <w:bCs w:val="0"/>
          <w:color w:val="auto"/>
          <w:szCs w:val="21"/>
          <w:highlight w:val="none"/>
          <w:lang w:val="zh-CN" w:eastAsia="zh-CN"/>
        </w:rPr>
        <w:t>采购预算金额时，采购代理机构将取消其中标资格，对受影响的投标人不承担任何责任，也无义务向受影响的投标人解释采取这一行动的理由。</w:t>
      </w:r>
    </w:p>
    <w:p>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b w:val="0"/>
          <w:bCs w:val="0"/>
          <w:color w:val="auto"/>
          <w:szCs w:val="21"/>
          <w:highlight w:val="none"/>
          <w:lang w:val="zh-CN" w:eastAsia="zh-CN"/>
        </w:rPr>
        <w:t>若在开、评标期间出现符合条件的投标人或者对采购文件作出实质响应的投标人（有效投标）不足三家，按《温州市市属国有企业采购管理办法》的通知第三十六条：</w:t>
      </w:r>
      <w:r>
        <w:rPr>
          <w:rFonts w:hint="eastAsia" w:ascii="宋体" w:hAnsi="宋体" w:eastAsia="宋体" w:cs="宋体"/>
          <w:b w:val="0"/>
          <w:bCs w:val="0"/>
          <w:color w:val="auto"/>
          <w:szCs w:val="21"/>
          <w:highlight w:val="none"/>
          <w:lang w:val="en-US" w:eastAsia="zh-CN"/>
        </w:rPr>
        <w:t>采购响应（指投标或谈判、报价）截止时间止及评审期间，出现有效供应商不足三家的情形，如采购文件事先已在指定媒体公开征求了供应商意见且无重大异议，或经专家论证且出具了“供应商资格条件和项目技术指标等没有歧视性和倾向性”意见的，同时采购信息已在本办法规定的媒体上公告，采购文件的发售和截止时间符合法定或本办法规定，由实质性响应的供应商认可后，可以按原采购方式继续进行采购活动，但采购项目第一次评审活动除外。</w:t>
      </w:r>
    </w:p>
    <w:p>
      <w:pPr>
        <w:numPr>
          <w:ilvl w:val="1"/>
          <w:numId w:val="6"/>
        </w:numPr>
        <w:tabs>
          <w:tab w:val="left" w:pos="592"/>
        </w:tabs>
        <w:snapToGrid w:val="0"/>
        <w:spacing w:line="360" w:lineRule="auto"/>
        <w:ind w:left="588" w:hanging="588" w:hangingChars="280"/>
        <w:rPr>
          <w:rFonts w:hint="eastAsia" w:ascii="宋体" w:hAnsi="宋体" w:eastAsia="宋体" w:cs="宋体"/>
          <w:color w:val="auto"/>
          <w:szCs w:val="21"/>
          <w:highlight w:val="none"/>
        </w:rPr>
      </w:pPr>
      <w:r>
        <w:rPr>
          <w:rFonts w:hint="eastAsia" w:ascii="宋体" w:hAnsi="宋体" w:eastAsia="宋体" w:cs="宋体"/>
          <w:color w:val="auto"/>
          <w:szCs w:val="21"/>
          <w:highlight w:val="none"/>
        </w:rPr>
        <w:t>排名第一的中标候选人放弃中标；因不可抗力提出不能履行合同；或者招标文件规定应当提交履约保证金而在规定的期限内未能提交的；或未能在规定时间内与</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签订合同的；或者经质疑，</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审查后，确因排名第一的中标候选人在本次招标活动中存在违法违规行为或其他原因使质疑成立的，</w:t>
      </w:r>
      <w:r>
        <w:rPr>
          <w:rFonts w:hint="eastAsia" w:ascii="宋体" w:hAnsi="宋体" w:eastAsia="宋体" w:cs="宋体"/>
          <w:snapToGrid w:val="0"/>
          <w:color w:val="auto"/>
          <w:kern w:val="0"/>
          <w:szCs w:val="21"/>
          <w:highlight w:val="none"/>
          <w:lang w:eastAsia="zh-CN"/>
        </w:rPr>
        <w:t>采购人</w:t>
      </w:r>
      <w:r>
        <w:rPr>
          <w:rFonts w:hint="eastAsia" w:ascii="宋体" w:hAnsi="宋体" w:eastAsia="宋体" w:cs="宋体"/>
          <w:snapToGrid w:val="0"/>
          <w:color w:val="auto"/>
          <w:kern w:val="0"/>
          <w:szCs w:val="21"/>
          <w:highlight w:val="none"/>
        </w:rPr>
        <w:t>可视具体情况确定是否由排名第二的中标候选人为中标供应商，以此类推或</w:t>
      </w:r>
      <w:r>
        <w:rPr>
          <w:rFonts w:hint="eastAsia" w:ascii="宋体" w:hAnsi="宋体" w:eastAsia="宋体" w:cs="宋体"/>
          <w:color w:val="auto"/>
          <w:szCs w:val="21"/>
          <w:highlight w:val="none"/>
        </w:rPr>
        <w:t>重新招标。</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对决标结果不做任何解释，也不保证最低报价者中标。</w:t>
      </w:r>
    </w:p>
    <w:p>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评标结果质疑与投诉</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bookmarkStart w:id="63" w:name="_Toc495977859"/>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认为招标文件、招标过程和中标结果使自己的合法权益受到损害的，在知道或者应知其权益受到损害之日起七个工作日内，以书面形式实名向</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、招标代理机构提出质疑。</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对招标采购单位的质疑答复不满意或者招标采购单位未在规定时间内作出答复的，可以在答复期满后五个工作日内向同级采购监管部门投诉。</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对</w:t>
      </w:r>
      <w:r>
        <w:rPr>
          <w:rFonts w:hint="eastAsia" w:ascii="宋体" w:hAnsi="宋体" w:eastAsia="宋体" w:cs="宋体"/>
          <w:color w:val="auto"/>
          <w:highlight w:val="none"/>
          <w:lang w:val="en-US" w:eastAsia="zh-CN"/>
        </w:rPr>
        <w:t>采购公告</w:t>
      </w:r>
      <w:r>
        <w:rPr>
          <w:rFonts w:hint="eastAsia" w:ascii="宋体" w:hAnsi="宋体" w:eastAsia="宋体" w:cs="宋体"/>
          <w:color w:val="auto"/>
          <w:highlight w:val="none"/>
        </w:rPr>
        <w:t>信息（含供应商资格条件）或申请获取的</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rPr>
        <w:t>文件提出质疑的，质疑期限自采购</w:t>
      </w:r>
      <w:r>
        <w:rPr>
          <w:rFonts w:hint="eastAsia" w:ascii="宋体" w:hAnsi="宋体" w:eastAsia="宋体" w:cs="宋体"/>
          <w:color w:val="auto"/>
          <w:highlight w:val="none"/>
          <w:lang w:val="en-US" w:eastAsia="zh-CN"/>
        </w:rPr>
        <w:t>采购公告</w:t>
      </w:r>
      <w:r>
        <w:rPr>
          <w:rFonts w:hint="eastAsia" w:ascii="宋体" w:hAnsi="宋体" w:eastAsia="宋体" w:cs="宋体"/>
          <w:color w:val="auto"/>
          <w:highlight w:val="none"/>
        </w:rPr>
        <w:t>或</w:t>
      </w:r>
      <w:r>
        <w:rPr>
          <w:rFonts w:hint="eastAsia" w:ascii="宋体" w:hAnsi="宋体" w:eastAsia="宋体" w:cs="宋体"/>
          <w:color w:val="auto"/>
          <w:highlight w:val="none"/>
          <w:lang w:val="en-US" w:eastAsia="zh-CN"/>
        </w:rPr>
        <w:t>招标</w:t>
      </w:r>
      <w:r>
        <w:rPr>
          <w:rFonts w:hint="eastAsia" w:ascii="宋体" w:hAnsi="宋体" w:eastAsia="宋体" w:cs="宋体"/>
          <w:color w:val="auto"/>
          <w:highlight w:val="none"/>
        </w:rPr>
        <w:t>文件发布之日起计算，且应当在</w:t>
      </w:r>
      <w:r>
        <w:rPr>
          <w:rFonts w:hint="eastAsia" w:ascii="宋体" w:hAnsi="宋体" w:eastAsia="宋体" w:cs="宋体"/>
          <w:color w:val="auto"/>
          <w:highlight w:val="none"/>
          <w:lang w:val="en-US" w:eastAsia="zh-CN"/>
        </w:rPr>
        <w:t>投标</w:t>
      </w:r>
      <w:r>
        <w:rPr>
          <w:rFonts w:hint="eastAsia" w:ascii="宋体" w:hAnsi="宋体" w:eastAsia="宋体" w:cs="宋体"/>
          <w:color w:val="auto"/>
          <w:highlight w:val="none"/>
        </w:rPr>
        <w:t>响应截止时间之前提出，否则，被质疑人可不予接受。</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质疑、投诉应当采用书面形式，质疑书、投诉书均应明确阐述招标文件、招标过程和中标结果中使自己合法权益受到损害的实质性内容，提供相关事实、依据和证据及其来源或线索，便于有关单位调查、答复和处理。</w:t>
      </w:r>
    </w:p>
    <w:p>
      <w:pPr>
        <w:tabs>
          <w:tab w:val="left" w:pos="900"/>
        </w:tabs>
        <w:spacing w:line="360" w:lineRule="auto"/>
        <w:ind w:left="840" w:leftChars="400"/>
        <w:rPr>
          <w:rFonts w:hint="eastAsia" w:ascii="宋体" w:hAnsi="宋体" w:eastAsia="宋体" w:cs="宋体"/>
          <w:color w:val="auto"/>
          <w:highlight w:val="none"/>
          <w:lang w:eastAsia="zh-CN"/>
        </w:rPr>
      </w:pPr>
      <w:r>
        <w:rPr>
          <w:rFonts w:hint="eastAsia" w:ascii="宋体" w:hAnsi="宋体" w:cs="宋体"/>
          <w:color w:val="auto"/>
          <w:highlight w:val="none"/>
          <w:lang w:eastAsia="zh-CN"/>
        </w:rPr>
        <w:t>（</w:t>
      </w:r>
      <w:r>
        <w:rPr>
          <w:rFonts w:hint="eastAsia" w:ascii="宋体" w:hAnsi="宋体" w:eastAsia="宋体" w:cs="宋体"/>
          <w:color w:val="auto"/>
          <w:highlight w:val="none"/>
        </w:rPr>
        <w:t>1</w:t>
      </w:r>
      <w:r>
        <w:rPr>
          <w:rFonts w:hint="eastAsia" w:ascii="宋体" w:hAnsi="宋体" w:cs="宋体"/>
          <w:color w:val="auto"/>
          <w:highlight w:val="none"/>
          <w:lang w:eastAsia="zh-CN"/>
        </w:rPr>
        <w:t>）</w:t>
      </w:r>
      <w:r>
        <w:rPr>
          <w:rFonts w:hint="eastAsia" w:ascii="宋体" w:hAnsi="宋体" w:eastAsia="宋体" w:cs="宋体"/>
          <w:color w:val="auto"/>
          <w:highlight w:val="none"/>
        </w:rPr>
        <w:t>质疑受理机构：</w:t>
      </w:r>
      <w:r>
        <w:rPr>
          <w:rFonts w:hint="eastAsia" w:ascii="宋体" w:hAnsi="宋体" w:eastAsia="宋体" w:cs="宋体"/>
          <w:color w:val="auto"/>
          <w:highlight w:val="none"/>
          <w:lang w:eastAsia="zh-CN"/>
        </w:rPr>
        <w:t>温州市兴城工程造价审计咨询事务所（普通合伙）</w:t>
      </w:r>
    </w:p>
    <w:p>
      <w:pPr>
        <w:tabs>
          <w:tab w:val="left" w:pos="900"/>
        </w:tabs>
        <w:spacing w:line="360" w:lineRule="auto"/>
        <w:ind w:left="840" w:leftChars="400"/>
        <w:rPr>
          <w:rFonts w:hint="eastAsia" w:ascii="宋体" w:hAnsi="宋体" w:eastAsia="宋体" w:cs="宋体"/>
          <w:color w:val="auto"/>
          <w:highlight w:val="none"/>
          <w:lang w:eastAsia="zh-CN"/>
        </w:rPr>
      </w:pPr>
      <w:r>
        <w:rPr>
          <w:rFonts w:hint="eastAsia" w:ascii="宋体" w:hAnsi="宋体" w:eastAsia="宋体" w:cs="宋体"/>
          <w:color w:val="auto"/>
          <w:highlight w:val="none"/>
        </w:rPr>
        <w:t>联系电话：</w:t>
      </w:r>
      <w:r>
        <w:rPr>
          <w:rFonts w:hint="eastAsia" w:ascii="宋体" w:hAnsi="宋体" w:eastAsia="宋体" w:cs="宋体"/>
          <w:color w:val="auto"/>
          <w:highlight w:val="none"/>
          <w:lang w:eastAsia="zh-CN"/>
        </w:rPr>
        <w:t>0577-88370285</w:t>
      </w:r>
    </w:p>
    <w:p>
      <w:pPr>
        <w:keepNext w:val="0"/>
        <w:keepLines w:val="0"/>
        <w:pageBreakBefore w:val="0"/>
        <w:tabs>
          <w:tab w:val="left" w:pos="900"/>
        </w:tabs>
        <w:kinsoku/>
        <w:wordWrap/>
        <w:overflowPunct/>
        <w:topLinePunct w:val="0"/>
        <w:autoSpaceDE/>
        <w:autoSpaceDN/>
        <w:bidi w:val="0"/>
        <w:adjustRightInd/>
        <w:spacing w:line="360" w:lineRule="auto"/>
        <w:ind w:left="840" w:leftChars="400"/>
        <w:textAlignment w:val="auto"/>
        <w:rPr>
          <w:rFonts w:hint="eastAsia" w:ascii="宋体" w:hAnsi="宋体" w:eastAsia="宋体" w:cs="宋体"/>
          <w:color w:val="auto"/>
          <w:highlight w:val="none"/>
          <w:lang w:eastAsia="zh-CN"/>
        </w:rPr>
      </w:pPr>
      <w:r>
        <w:rPr>
          <w:rFonts w:hint="eastAsia" w:ascii="宋体" w:hAnsi="宋体" w:cs="宋体"/>
          <w:color w:val="auto"/>
          <w:highlight w:val="none"/>
          <w:lang w:eastAsia="zh-CN"/>
        </w:rPr>
        <w:t>（</w:t>
      </w:r>
      <w:r>
        <w:rPr>
          <w:rFonts w:hint="eastAsia" w:ascii="宋体" w:hAnsi="宋体" w:eastAsia="宋体" w:cs="宋体"/>
          <w:color w:val="auto"/>
          <w:highlight w:val="none"/>
        </w:rPr>
        <w:t>2</w:t>
      </w:r>
      <w:r>
        <w:rPr>
          <w:rFonts w:hint="eastAsia" w:ascii="宋体" w:hAnsi="宋体" w:cs="宋体"/>
          <w:color w:val="auto"/>
          <w:highlight w:val="none"/>
          <w:lang w:eastAsia="zh-CN"/>
        </w:rPr>
        <w:t>）</w:t>
      </w:r>
      <w:r>
        <w:rPr>
          <w:rFonts w:hint="eastAsia" w:ascii="宋体" w:hAnsi="宋体" w:eastAsia="宋体" w:cs="宋体"/>
          <w:color w:val="auto"/>
          <w:highlight w:val="none"/>
        </w:rPr>
        <w:t>投诉受理机构：</w:t>
      </w:r>
      <w:r>
        <w:rPr>
          <w:rFonts w:hint="eastAsia" w:ascii="宋体" w:hAnsi="宋体" w:cs="宋体"/>
          <w:color w:val="auto"/>
          <w:sz w:val="21"/>
          <w:szCs w:val="21"/>
          <w:highlight w:val="none"/>
          <w:lang w:eastAsia="zh-CN"/>
        </w:rPr>
        <w:t>温州市工艺美术研究院有限公司纪检监察小组</w:t>
      </w:r>
    </w:p>
    <w:p>
      <w:pPr>
        <w:keepNext w:val="0"/>
        <w:keepLines w:val="0"/>
        <w:pageBreakBefore w:val="0"/>
        <w:tabs>
          <w:tab w:val="left" w:pos="900"/>
        </w:tabs>
        <w:kinsoku/>
        <w:wordWrap/>
        <w:overflowPunct/>
        <w:topLinePunct w:val="0"/>
        <w:autoSpaceDE/>
        <w:autoSpaceDN/>
        <w:bidi w:val="0"/>
        <w:adjustRightInd/>
        <w:spacing w:line="360" w:lineRule="auto"/>
        <w:ind w:left="840" w:leftChars="4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投诉电话：0577-88120165</w:t>
      </w:r>
    </w:p>
    <w:p>
      <w:pPr>
        <w:tabs>
          <w:tab w:val="left" w:pos="900"/>
        </w:tabs>
        <w:spacing w:line="360" w:lineRule="auto"/>
        <w:rPr>
          <w:rFonts w:hint="eastAsia" w:ascii="宋体" w:hAnsi="宋体" w:eastAsia="宋体" w:cs="宋体"/>
          <w:color w:val="auto"/>
          <w:highlight w:val="none"/>
        </w:rPr>
      </w:pPr>
    </w:p>
    <w:p>
      <w:pPr>
        <w:spacing w:line="360" w:lineRule="auto"/>
        <w:jc w:val="center"/>
        <w:outlineLvl w:val="1"/>
        <w:rPr>
          <w:rFonts w:hint="eastAsia" w:ascii="宋体" w:hAnsi="宋体" w:eastAsia="宋体" w:cs="宋体"/>
          <w:b/>
          <w:bCs/>
          <w:color w:val="auto"/>
          <w:sz w:val="28"/>
          <w:highlight w:val="none"/>
        </w:rPr>
      </w:pPr>
      <w:bookmarkStart w:id="64" w:name="_Toc3079"/>
      <w:bookmarkStart w:id="65" w:name="_Toc3290"/>
      <w:bookmarkStart w:id="66" w:name="_Toc15051"/>
      <w:r>
        <w:rPr>
          <w:rFonts w:hint="eastAsia" w:ascii="宋体" w:hAnsi="宋体" w:eastAsia="宋体" w:cs="宋体"/>
          <w:b/>
          <w:bCs/>
          <w:color w:val="auto"/>
          <w:sz w:val="28"/>
          <w:highlight w:val="none"/>
        </w:rPr>
        <w:t>（七）授予合同</w:t>
      </w:r>
      <w:bookmarkEnd w:id="63"/>
      <w:bookmarkEnd w:id="64"/>
      <w:bookmarkEnd w:id="65"/>
      <w:bookmarkEnd w:id="66"/>
    </w:p>
    <w:p>
      <w:pPr>
        <w:numPr>
          <w:ilvl w:val="0"/>
          <w:numId w:val="6"/>
        </w:numPr>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合同授予标准</w:t>
      </w:r>
    </w:p>
    <w:p>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最终审查</w:t>
      </w:r>
    </w:p>
    <w:p>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评审结束后，</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将对中标候选人进行最终审查，审查内容主要是：</w:t>
      </w:r>
    </w:p>
    <w:p>
      <w:pPr>
        <w:numPr>
          <w:ilvl w:val="0"/>
          <w:numId w:val="15"/>
        </w:numPr>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的实力、资信的真实性及行业口碑等；</w:t>
      </w:r>
    </w:p>
    <w:p>
      <w:pPr>
        <w:numPr>
          <w:ilvl w:val="0"/>
          <w:numId w:val="15"/>
        </w:numPr>
        <w:snapToGrid w:val="0"/>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履行合同的能力；</w:t>
      </w:r>
    </w:p>
    <w:p>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最终审查工作如需中标人配合，中标人必须接受。</w:t>
      </w:r>
    </w:p>
    <w:p>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中标人如未能通过最终审查，</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将视具体情况，提出具体限时整改要求，中标人如未能达到整改要求，其中标资格将被取消。</w:t>
      </w:r>
    </w:p>
    <w:p>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将合同授予获接受的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w:t>
      </w:r>
    </w:p>
    <w:p>
      <w:pPr>
        <w:numPr>
          <w:ilvl w:val="1"/>
          <w:numId w:val="6"/>
        </w:numPr>
        <w:tabs>
          <w:tab w:val="left" w:pos="680"/>
          <w:tab w:val="clear" w:pos="1003"/>
        </w:tabs>
        <w:snapToGrid w:val="0"/>
        <w:spacing w:line="360" w:lineRule="auto"/>
        <w:ind w:left="680" w:hanging="680"/>
        <w:rPr>
          <w:rFonts w:hint="eastAsia" w:ascii="宋体" w:hAnsi="宋体" w:eastAsia="宋体" w:cs="宋体"/>
          <w:color w:val="auto"/>
          <w:highlight w:val="none"/>
        </w:rPr>
      </w:pPr>
      <w:r>
        <w:rPr>
          <w:rFonts w:hint="eastAsia" w:ascii="宋体" w:hAnsi="宋体" w:eastAsia="宋体" w:cs="宋体"/>
          <w:color w:val="auto"/>
          <w:highlight w:val="none"/>
        </w:rPr>
        <w:t>合同签订后，中标人在供货过程中出现质量或其他问题，</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根据合同约定终止合同，视具体情况确定是否由排名第二的中标候选人为中标供应商，以此类推或重新招标。</w:t>
      </w:r>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中标通知</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在投标有效期期满之前，</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将用书面形式向获接受的</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发出书面的《中标通知书》。</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《中标通知书》将是合同的一个组成部分。</w:t>
      </w:r>
    </w:p>
    <w:p>
      <w:pPr>
        <w:numPr>
          <w:ilvl w:val="0"/>
          <w:numId w:val="6"/>
        </w:numPr>
        <w:snapToGrid w:val="0"/>
        <w:spacing w:line="360" w:lineRule="auto"/>
        <w:ind w:left="841" w:hanging="841" w:hangingChars="399"/>
        <w:rPr>
          <w:rFonts w:hint="eastAsia" w:ascii="宋体" w:hAnsi="宋体" w:eastAsia="宋体" w:cs="宋体"/>
          <w:b/>
          <w:color w:val="auto"/>
          <w:highlight w:val="none"/>
        </w:rPr>
      </w:pPr>
      <w:r>
        <w:rPr>
          <w:rFonts w:hint="eastAsia" w:ascii="宋体" w:hAnsi="宋体" w:eastAsia="宋体" w:cs="宋体"/>
          <w:b/>
          <w:color w:val="auto"/>
          <w:highlight w:val="none"/>
        </w:rPr>
        <w:t>签订合同</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在收到《中标通知书》后，中标人应按照“通知书”的规定，派遣其代表前往与</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（见本招标文件第四部分）签署书面合同。</w:t>
      </w:r>
      <w:r>
        <w:rPr>
          <w:rFonts w:hint="eastAsia" w:ascii="宋体" w:hAnsi="宋体" w:eastAsia="宋体" w:cs="宋体"/>
          <w:color w:val="auto"/>
          <w:highlight w:val="none"/>
          <w:lang w:eastAsia="zh-CN"/>
        </w:rPr>
        <w:t>投标供应商</w:t>
      </w:r>
      <w:r>
        <w:rPr>
          <w:rFonts w:hint="eastAsia" w:ascii="宋体" w:hAnsi="宋体" w:eastAsia="宋体" w:cs="宋体"/>
          <w:color w:val="auto"/>
          <w:highlight w:val="none"/>
        </w:rPr>
        <w:t>不得再要求订立背离合同实质性内容的其它合同或要求</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签署其它任何声明或合同，否则将被取消其中标资格。</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招标文件、中标人的投标文件及投标修改文件、评标过程中有关澄清文件、经双方签字的询标纪要和中标通知书，均应作为签订合同的依据。</w:t>
      </w:r>
    </w:p>
    <w:p>
      <w:pPr>
        <w:numPr>
          <w:ilvl w:val="1"/>
          <w:numId w:val="6"/>
        </w:numPr>
        <w:tabs>
          <w:tab w:val="left" w:pos="592"/>
        </w:tabs>
        <w:snapToGrid w:val="0"/>
        <w:spacing w:line="360" w:lineRule="auto"/>
        <w:ind w:left="588" w:hanging="588" w:hangingChars="280"/>
        <w:rPr>
          <w:rFonts w:hint="eastAsia" w:ascii="宋体" w:hAnsi="宋体" w:eastAsia="宋体" w:cs="宋体"/>
          <w:color w:val="auto"/>
          <w:highlight w:val="none"/>
        </w:rPr>
      </w:pPr>
      <w:r>
        <w:rPr>
          <w:rFonts w:hint="eastAsia" w:ascii="宋体" w:hAnsi="宋体" w:eastAsia="宋体" w:cs="宋体"/>
          <w:color w:val="auto"/>
          <w:highlight w:val="none"/>
        </w:rPr>
        <w:t>中标人不遵守招标文件或投标书的要约、承诺，擅自修改报价或在接到中标通知书后，借故拖延、拒签合同者，除赔偿采购人损失外，采购代理机构即可直接没收投标保证金。同时，采购代理机构取消该单位的中标资格，另选其它投标人中标</w:t>
      </w:r>
      <w:r>
        <w:rPr>
          <w:rFonts w:hint="eastAsia" w:ascii="宋体" w:hAnsi="宋体" w:eastAsia="宋体" w:cs="宋体"/>
          <w:color w:val="auto"/>
          <w:highlight w:val="none"/>
          <w:lang w:eastAsia="zh-CN"/>
        </w:rPr>
        <w:t>。</w:t>
      </w:r>
    </w:p>
    <w:p>
      <w:pPr>
        <w:keepNext w:val="0"/>
        <w:keepLines w:val="0"/>
        <w:pageBreakBefore w:val="0"/>
        <w:numPr>
          <w:ilvl w:val="1"/>
          <w:numId w:val="6"/>
        </w:numPr>
        <w:tabs>
          <w:tab w:val="left" w:pos="592"/>
        </w:tabs>
        <w:kinsoku/>
        <w:wordWrap/>
        <w:overflowPunct/>
        <w:topLinePunct w:val="0"/>
        <w:autoSpaceDE/>
        <w:autoSpaceDN/>
        <w:bidi w:val="0"/>
        <w:adjustRightInd/>
        <w:snapToGrid w:val="0"/>
        <w:spacing w:line="360" w:lineRule="auto"/>
        <w:ind w:left="588" w:hanging="588" w:hangingChars="280"/>
        <w:textAlignment w:val="auto"/>
        <w:rPr>
          <w:rFonts w:hint="eastAsia" w:ascii="宋体" w:hAnsi="宋体" w:eastAsia="宋体" w:cs="宋体"/>
          <w:color w:val="auto"/>
          <w:sz w:val="21"/>
          <w:szCs w:val="21"/>
          <w:highlight w:val="none"/>
        </w:rPr>
      </w:pPr>
      <w:r>
        <w:rPr>
          <w:rFonts w:hint="eastAsia" w:ascii="宋体" w:hAnsi="宋体" w:eastAsia="宋体" w:cs="宋体"/>
          <w:color w:val="auto"/>
          <w:highlight w:val="none"/>
        </w:rPr>
        <w:t>拒</w:t>
      </w:r>
      <w:r>
        <w:rPr>
          <w:rFonts w:hint="eastAsia" w:ascii="宋体" w:hAnsi="宋体" w:eastAsia="宋体" w:cs="宋体"/>
          <w:color w:val="auto"/>
          <w:sz w:val="21"/>
          <w:szCs w:val="21"/>
          <w:highlight w:val="none"/>
        </w:rPr>
        <w:t>签合同的责任：中标人接到中标通知书后，在规定时间内借故否认已经承诺的条件而拒签合同或拒交履约保证金者，以投标违约处理，并赔偿</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由此造成的直接经济损失。</w:t>
      </w:r>
    </w:p>
    <w:p>
      <w:pPr>
        <w:keepNext w:val="0"/>
        <w:keepLines w:val="0"/>
        <w:pageBreakBefore w:val="0"/>
        <w:widowControl/>
        <w:numPr>
          <w:ilvl w:val="0"/>
          <w:numId w:val="6"/>
        </w:numPr>
        <w:tabs>
          <w:tab w:val="left" w:pos="425"/>
          <w:tab w:val="clear" w:pos="687"/>
        </w:tabs>
        <w:kinsoku/>
        <w:wordWrap/>
        <w:overflowPunct/>
        <w:topLinePunct w:val="0"/>
        <w:autoSpaceDE/>
        <w:autoSpaceDN/>
        <w:bidi w:val="0"/>
        <w:adjustRightInd/>
        <w:spacing w:line="360" w:lineRule="auto"/>
        <w:ind w:left="425" w:hanging="425"/>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eastAsia="zh-CN"/>
        </w:rPr>
        <w:t>代理服务费</w:t>
      </w:r>
    </w:p>
    <w:p>
      <w:pPr>
        <w:keepNext w:val="0"/>
        <w:keepLines w:val="0"/>
        <w:pageBreakBefore w:val="0"/>
        <w:widowControl w:val="0"/>
        <w:numPr>
          <w:ilvl w:val="0"/>
          <w:numId w:val="0"/>
        </w:numPr>
        <w:tabs>
          <w:tab w:val="left" w:pos="540"/>
        </w:tabs>
        <w:kinsoku/>
        <w:wordWrap/>
        <w:overflowPunct/>
        <w:topLinePunct w:val="0"/>
        <w:autoSpaceDE/>
        <w:autoSpaceDN/>
        <w:bidi w:val="0"/>
        <w:adjustRightInd/>
        <w:spacing w:line="36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38.1</w:t>
      </w:r>
      <w:r>
        <w:rPr>
          <w:rFonts w:hint="eastAsia" w:ascii="宋体" w:hAnsi="宋体" w:eastAsia="宋体" w:cs="宋体"/>
          <w:b/>
          <w:bCs/>
          <w:color w:val="auto"/>
          <w:sz w:val="21"/>
          <w:szCs w:val="21"/>
          <w:highlight w:val="none"/>
        </w:rPr>
        <w:t>本次采购代理服务费按</w:t>
      </w:r>
      <w:r>
        <w:rPr>
          <w:rFonts w:hint="eastAsia" w:ascii="宋体" w:hAnsi="宋体" w:eastAsia="宋体" w:cs="宋体"/>
          <w:b/>
          <w:bCs/>
          <w:color w:val="auto"/>
          <w:sz w:val="21"/>
          <w:szCs w:val="21"/>
          <w:highlight w:val="none"/>
          <w:lang w:eastAsia="zh-CN"/>
        </w:rPr>
        <w:t>壹万</w:t>
      </w:r>
      <w:r>
        <w:rPr>
          <w:rFonts w:hint="eastAsia" w:ascii="宋体" w:hAnsi="宋体" w:cs="宋体"/>
          <w:b/>
          <w:bCs/>
          <w:color w:val="auto"/>
          <w:sz w:val="21"/>
          <w:szCs w:val="21"/>
          <w:highlight w:val="none"/>
          <w:lang w:eastAsia="zh-CN"/>
        </w:rPr>
        <w:t>贰</w:t>
      </w:r>
      <w:r>
        <w:rPr>
          <w:rFonts w:hint="eastAsia" w:ascii="宋体" w:hAnsi="宋体" w:eastAsia="宋体" w:cs="宋体"/>
          <w:b/>
          <w:bCs/>
          <w:color w:val="auto"/>
          <w:sz w:val="21"/>
          <w:szCs w:val="21"/>
          <w:highlight w:val="none"/>
          <w:lang w:eastAsia="zh-CN"/>
        </w:rPr>
        <w:t>仟元计取</w:t>
      </w:r>
      <w:r>
        <w:rPr>
          <w:rFonts w:hint="eastAsia" w:ascii="宋体" w:hAnsi="宋体" w:eastAsia="宋体" w:cs="宋体"/>
          <w:b/>
          <w:bCs/>
          <w:color w:val="auto"/>
          <w:sz w:val="21"/>
          <w:szCs w:val="21"/>
          <w:highlight w:val="none"/>
        </w:rPr>
        <w:t>，由中标（成交）人在领取中标（成交）通知书之前付给采购代理机构。</w:t>
      </w:r>
    </w:p>
    <w:p>
      <w:pPr>
        <w:keepNext w:val="0"/>
        <w:keepLines w:val="0"/>
        <w:pageBreakBefore w:val="0"/>
        <w:widowControl w:val="0"/>
        <w:numPr>
          <w:ilvl w:val="0"/>
          <w:numId w:val="0"/>
        </w:numPr>
        <w:tabs>
          <w:tab w:val="left" w:pos="540"/>
        </w:tabs>
        <w:kinsoku/>
        <w:wordWrap/>
        <w:overflowPunct/>
        <w:topLinePunct w:val="0"/>
        <w:autoSpaceDE/>
        <w:autoSpaceDN/>
        <w:bidi w:val="0"/>
        <w:adjustRightInd/>
        <w:spacing w:line="360" w:lineRule="auto"/>
        <w:ind w:leftChars="0"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采购代理服务费可以是现金、支票或汇票。</w:t>
      </w:r>
    </w:p>
    <w:p>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0"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 xml:space="preserve">    开户银行：兴业银行股份有限公司温州鹿城支行</w:t>
      </w:r>
    </w:p>
    <w:p>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422" w:firstLineChars="20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开户名称：温州市兴城工程造价审计咨询事务所（普通合伙）</w:t>
      </w:r>
    </w:p>
    <w:p>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422" w:firstLineChars="20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开户帐号：355 860 100 1000 51218</w:t>
      </w:r>
    </w:p>
    <w:p>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38.2乐采云</w:t>
      </w:r>
      <w:r>
        <w:rPr>
          <w:rFonts w:hint="eastAsia" w:ascii="宋体" w:hAnsi="宋体" w:eastAsia="宋体" w:cs="宋体"/>
          <w:color w:val="auto"/>
          <w:sz w:val="21"/>
          <w:szCs w:val="21"/>
          <w:highlight w:val="none"/>
          <w:lang w:val="en-US" w:eastAsia="zh-CN"/>
        </w:rPr>
        <w:t>技术服务费（如有）；</w:t>
      </w:r>
    </w:p>
    <w:p>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422"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 1 \* GB3 \* MERGEFORMAT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①</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中标价80万元以下(含80万元的) : 按800元收取；</w:t>
      </w:r>
    </w:p>
    <w:p>
      <w:pPr>
        <w:pStyle w:val="152"/>
        <w:keepNext w:val="0"/>
        <w:keepLines w:val="0"/>
        <w:pageBreakBefore w:val="0"/>
        <w:widowControl w:val="0"/>
        <w:kinsoku/>
        <w:wordWrap/>
        <w:overflowPunct/>
        <w:topLinePunct w:val="0"/>
        <w:autoSpaceDE/>
        <w:autoSpaceDN/>
        <w:bidi w:val="0"/>
        <w:adjustRightInd/>
        <w:snapToGrid w:val="0"/>
        <w:spacing w:before="0" w:beforeLines="0" w:after="0" w:afterLines="0" w:line="360" w:lineRule="auto"/>
        <w:ind w:firstLine="422"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 2 \* GB3 \* MERGEFORMAT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②</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中标价超过80万元的:中标价的千分之一 (0.1%)，以30000元封顶。中标后，由中标人支付给乐采云公司。</w:t>
      </w:r>
    </w:p>
    <w:p>
      <w:pPr>
        <w:keepNext w:val="0"/>
        <w:keepLines w:val="0"/>
        <w:pageBreakBefore w:val="0"/>
        <w:widowControl/>
        <w:numPr>
          <w:ilvl w:val="0"/>
          <w:numId w:val="6"/>
        </w:numPr>
        <w:tabs>
          <w:tab w:val="left" w:pos="425"/>
          <w:tab w:val="clear" w:pos="687"/>
        </w:tabs>
        <w:kinsoku/>
        <w:wordWrap/>
        <w:overflowPunct/>
        <w:topLinePunct w:val="0"/>
        <w:autoSpaceDE/>
        <w:autoSpaceDN/>
        <w:bidi w:val="0"/>
        <w:adjustRightInd/>
        <w:spacing w:line="360" w:lineRule="auto"/>
        <w:ind w:left="425" w:hanging="425"/>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招标结束</w:t>
      </w:r>
    </w:p>
    <w:p>
      <w:pPr>
        <w:keepNext w:val="0"/>
        <w:keepLines w:val="0"/>
        <w:pageBreakBefore w:val="0"/>
        <w:numPr>
          <w:ilvl w:val="1"/>
          <w:numId w:val="6"/>
        </w:numPr>
        <w:tabs>
          <w:tab w:val="left" w:pos="567"/>
          <w:tab w:val="clear" w:pos="1003"/>
        </w:tabs>
        <w:kinsoku/>
        <w:wordWrap/>
        <w:overflowPunct/>
        <w:topLinePunct w:val="0"/>
        <w:autoSpaceDE/>
        <w:autoSpaceDN/>
        <w:bidi w:val="0"/>
        <w:adjustRightInd/>
        <w:snapToGrid w:val="0"/>
        <w:spacing w:line="360" w:lineRule="auto"/>
        <w:ind w:left="567"/>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中标人与</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签订合同协议书后即为招标结束。</w:t>
      </w:r>
    </w:p>
    <w:p>
      <w:pPr>
        <w:pStyle w:val="20"/>
        <w:spacing w:after="50" w:line="360" w:lineRule="auto"/>
        <w:ind w:firstLine="420" w:firstLineChars="0"/>
        <w:jc w:val="center"/>
        <w:outlineLvl w:val="0"/>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br w:type="page"/>
      </w:r>
      <w:bookmarkStart w:id="67" w:name="_Toc15784"/>
      <w:bookmarkStart w:id="68" w:name="_Toc28483"/>
      <w:bookmarkStart w:id="69" w:name="_Toc24076"/>
      <w:r>
        <w:rPr>
          <w:rFonts w:hint="eastAsia" w:ascii="宋体" w:hAnsi="宋体" w:eastAsia="宋体" w:cs="宋体"/>
          <w:b/>
          <w:bCs/>
          <w:color w:val="auto"/>
          <w:szCs w:val="28"/>
          <w:highlight w:val="none"/>
        </w:rPr>
        <w:t>第三部分  招标内容及技术要求</w:t>
      </w:r>
      <w:bookmarkEnd w:id="67"/>
      <w:bookmarkEnd w:id="68"/>
      <w:bookmarkEnd w:id="69"/>
      <w:bookmarkStart w:id="70" w:name="_Toc361996155"/>
    </w:p>
    <w:p>
      <w:pPr>
        <w:pStyle w:val="228"/>
        <w:numPr>
          <w:ilvl w:val="0"/>
          <w:numId w:val="0"/>
        </w:numPr>
        <w:tabs>
          <w:tab w:val="left" w:pos="486"/>
          <w:tab w:val="left" w:pos="972"/>
        </w:tabs>
        <w:spacing w:line="360" w:lineRule="auto"/>
        <w:jc w:val="center"/>
        <w:outlineLvl w:val="2"/>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（一）概述</w:t>
      </w:r>
    </w:p>
    <w:p>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1.1 </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应根据招标文件所提出的产品技术规格、参数、数量和服务要求，综合考虑货物的适应性，选择具有最佳性能价格比的产品前来投标。希望</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以优质的产品、优良的服务和优惠的价格，充分显示自身的竞争实力</w:t>
      </w:r>
    </w:p>
    <w:p>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1.2 本技术规范只是对招标技术要求的一些原则性规定，并不是详尽的要求，</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有责任对招标的</w:t>
      </w:r>
      <w:r>
        <w:rPr>
          <w:rFonts w:hint="eastAsia" w:ascii="宋体" w:hAnsi="宋体" w:eastAsia="宋体" w:cs="宋体"/>
          <w:color w:val="auto"/>
          <w:sz w:val="21"/>
          <w:szCs w:val="21"/>
          <w:highlight w:val="none"/>
        </w:rPr>
        <w:t>货物</w:t>
      </w:r>
      <w:r>
        <w:rPr>
          <w:rFonts w:hint="eastAsia" w:ascii="宋体" w:hAnsi="宋体" w:eastAsia="宋体" w:cs="宋体"/>
          <w:bCs/>
          <w:color w:val="auto"/>
          <w:sz w:val="21"/>
          <w:szCs w:val="21"/>
          <w:highlight w:val="none"/>
        </w:rPr>
        <w:t>符合技术规范的要求负责。</w:t>
      </w:r>
    </w:p>
    <w:p>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1.3 在投标之前，</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须仔细阅读招标文件，如发现有任何疑问、冲突或技术问题，</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须向</w:t>
      </w:r>
      <w:r>
        <w:rPr>
          <w:rFonts w:hint="eastAsia" w:ascii="宋体" w:hAnsi="宋体" w:eastAsia="宋体" w:cs="宋体"/>
          <w:bCs/>
          <w:color w:val="auto"/>
          <w:sz w:val="21"/>
          <w:szCs w:val="21"/>
          <w:highlight w:val="none"/>
          <w:lang w:eastAsia="zh-CN"/>
        </w:rPr>
        <w:t>采购人</w:t>
      </w:r>
      <w:r>
        <w:rPr>
          <w:rFonts w:hint="eastAsia" w:ascii="宋体" w:hAnsi="宋体" w:eastAsia="宋体" w:cs="宋体"/>
          <w:bCs/>
          <w:color w:val="auto"/>
          <w:sz w:val="21"/>
          <w:szCs w:val="21"/>
          <w:highlight w:val="none"/>
        </w:rPr>
        <w:t>或招标代理单位咨询。</w:t>
      </w:r>
    </w:p>
    <w:p>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 xml:space="preserve">1.4 </w:t>
      </w:r>
      <w:r>
        <w:rPr>
          <w:rFonts w:hint="eastAsia" w:ascii="宋体" w:hAnsi="宋体" w:eastAsia="宋体" w:cs="宋体"/>
          <w:bCs/>
          <w:color w:val="auto"/>
          <w:sz w:val="21"/>
          <w:szCs w:val="21"/>
          <w:highlight w:val="none"/>
          <w:lang w:eastAsia="zh-CN"/>
        </w:rPr>
        <w:t>投标供应商</w:t>
      </w:r>
      <w:r>
        <w:rPr>
          <w:rFonts w:hint="eastAsia" w:ascii="宋体" w:hAnsi="宋体" w:eastAsia="宋体" w:cs="宋体"/>
          <w:bCs/>
          <w:color w:val="auto"/>
          <w:sz w:val="21"/>
          <w:szCs w:val="21"/>
          <w:highlight w:val="none"/>
        </w:rPr>
        <w:t>须对招标文件中涉及到的知识产权负责，并保证不伤害招标单位的利益。在法律范围内，所有文字、商标和技术侵权造成的相关费用，招标单位概不负责。</w:t>
      </w:r>
    </w:p>
    <w:p>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 本次招标设一个标段。</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须对招标范围内的全部内容进行报价，而不允许只对范围内其中部分内容进行报价，否则有可能失去投标资格。</w:t>
      </w:r>
    </w:p>
    <w:p>
      <w:pPr>
        <w:keepNext w:val="0"/>
        <w:keepLines w:val="0"/>
        <w:pageBreakBefore w:val="0"/>
        <w:widowControl w:val="0"/>
        <w:kinsoku/>
        <w:wordWrap/>
        <w:overflowPunct/>
        <w:topLinePunct w:val="0"/>
        <w:autoSpaceDE/>
        <w:autoSpaceDN/>
        <w:bidi w:val="0"/>
        <w:adjustRightInd/>
        <w:snapToGrid w:val="0"/>
        <w:spacing w:line="360" w:lineRule="auto"/>
        <w:ind w:left="420" w:hanging="420" w:hanging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color w:val="auto"/>
          <w:sz w:val="21"/>
          <w:szCs w:val="21"/>
          <w:highlight w:val="none"/>
        </w:rPr>
        <w:t>1.6 本次招标货物所列的每一项技术指标和配置均为基本要求，</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必须保证选用的货物在技术指标、性能、功能、配置等于或高于招标文件要求，并完全满足招标需要,否则将可能作出对</w:t>
      </w: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不利的评定。</w:t>
      </w:r>
      <w:bookmarkEnd w:id="70"/>
      <w:bookmarkStart w:id="71" w:name="_Toc4026"/>
      <w:bookmarkStart w:id="72" w:name="_Toc26689"/>
      <w:bookmarkStart w:id="73" w:name="_Toc1008"/>
      <w:bookmarkStart w:id="74" w:name="_Toc14436"/>
      <w:bookmarkStart w:id="75" w:name="_Toc17865"/>
      <w:bookmarkStart w:id="76" w:name="_Toc22616"/>
    </w:p>
    <w:p>
      <w:pPr>
        <w:pStyle w:val="228"/>
        <w:numPr>
          <w:ilvl w:val="0"/>
          <w:numId w:val="0"/>
        </w:numPr>
        <w:tabs>
          <w:tab w:val="left" w:pos="486"/>
          <w:tab w:val="left" w:pos="972"/>
        </w:tabs>
        <w:spacing w:line="360" w:lineRule="auto"/>
        <w:jc w:val="center"/>
        <w:outlineLvl w:val="2"/>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（二）采购内容及要求</w:t>
      </w:r>
    </w:p>
    <w:p>
      <w:pPr>
        <w:keepNext w:val="0"/>
        <w:keepLines w:val="0"/>
        <w:pageBreakBefore w:val="0"/>
        <w:widowControl w:val="0"/>
        <w:tabs>
          <w:tab w:val="left" w:pos="927"/>
        </w:tabs>
        <w:kinsoku/>
        <w:wordWrap/>
        <w:overflowPunct/>
        <w:topLinePunct w:val="0"/>
        <w:autoSpaceDE/>
        <w:autoSpaceDN/>
        <w:bidi w:val="0"/>
        <w:snapToGrid w:val="0"/>
        <w:spacing w:line="360" w:lineRule="auto"/>
        <w:jc w:val="both"/>
        <w:outlineLvl w:val="9"/>
        <w:rPr>
          <w:rFonts w:hint="eastAsia" w:ascii="宋体" w:hAnsi="宋体" w:eastAsia="宋体" w:cs="宋体"/>
          <w:b/>
          <w:bCs/>
          <w:color w:val="auto"/>
          <w:sz w:val="24"/>
          <w:szCs w:val="24"/>
          <w:highlight w:val="none"/>
        </w:rPr>
      </w:pPr>
    </w:p>
    <w:bookmarkEnd w:id="71"/>
    <w:bookmarkEnd w:id="72"/>
    <w:bookmarkEnd w:id="73"/>
    <w:bookmarkEnd w:id="74"/>
    <w:p>
      <w:pPr>
        <w:keepNext w:val="0"/>
        <w:keepLines w:val="0"/>
        <w:pageBreakBefore w:val="0"/>
        <w:widowControl w:val="0"/>
        <w:tabs>
          <w:tab w:val="left" w:pos="927"/>
        </w:tabs>
        <w:kinsoku/>
        <w:wordWrap/>
        <w:overflowPunct/>
        <w:topLinePunct w:val="0"/>
        <w:autoSpaceDE/>
        <w:autoSpaceDN/>
        <w:bidi w:val="0"/>
        <w:adjustRightInd/>
        <w:snapToGrid w:val="0"/>
        <w:spacing w:line="360" w:lineRule="auto"/>
        <w:jc w:val="both"/>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一、</w:t>
      </w:r>
      <w:r>
        <w:rPr>
          <w:rFonts w:hint="eastAsia" w:ascii="宋体" w:hAnsi="宋体" w:cs="宋体"/>
          <w:b/>
          <w:bCs/>
          <w:color w:val="auto"/>
          <w:sz w:val="21"/>
          <w:szCs w:val="21"/>
          <w:highlight w:val="none"/>
          <w:lang w:val="en-US" w:eastAsia="zh-CN"/>
        </w:rPr>
        <w:t>采购</w:t>
      </w:r>
      <w:r>
        <w:rPr>
          <w:rFonts w:hint="eastAsia" w:ascii="宋体" w:hAnsi="宋体" w:eastAsia="宋体" w:cs="宋体"/>
          <w:b/>
          <w:bCs/>
          <w:color w:val="auto"/>
          <w:sz w:val="21"/>
          <w:szCs w:val="21"/>
          <w:highlight w:val="none"/>
          <w:lang w:val="en-US" w:eastAsia="zh-CN"/>
        </w:rPr>
        <w:t>概况：</w:t>
      </w:r>
    </w:p>
    <w:p>
      <w:pPr>
        <w:snapToGrid w:val="0"/>
        <w:spacing w:line="360" w:lineRule="auto"/>
        <w:ind w:left="0" w:firstLine="420" w:firstLineChars="200"/>
        <w:rPr>
          <w:rFonts w:hint="eastAsia" w:ascii="宋体" w:hAnsi="宋体" w:cs="宋体"/>
          <w:b w:val="0"/>
          <w:bCs w:val="0"/>
          <w:color w:val="auto"/>
          <w:spacing w:val="0"/>
          <w:w w:val="100"/>
          <w:kern w:val="2"/>
          <w:position w:val="0"/>
          <w:sz w:val="21"/>
          <w:szCs w:val="21"/>
          <w:highlight w:val="none"/>
          <w:u w:val="none"/>
          <w:shd w:val="clear"/>
          <w:lang w:val="en-US" w:eastAsia="zh-CN" w:bidi="zh-TW"/>
        </w:rPr>
      </w:pPr>
      <w:r>
        <w:rPr>
          <w:rFonts w:hint="eastAsia" w:ascii="宋体" w:hAnsi="宋体" w:cs="宋体"/>
          <w:b w:val="0"/>
          <w:bCs w:val="0"/>
          <w:color w:val="auto"/>
          <w:spacing w:val="0"/>
          <w:w w:val="100"/>
          <w:kern w:val="2"/>
          <w:position w:val="0"/>
          <w:sz w:val="21"/>
          <w:szCs w:val="21"/>
          <w:highlight w:val="none"/>
          <w:u w:val="none"/>
          <w:shd w:val="clear"/>
          <w:lang w:val="en-US" w:eastAsia="zh-CN" w:bidi="zh-TW"/>
        </w:rPr>
        <w:t>本项目为瓯窑产业化项目研发生产提效设备-陶艺工作室仪器设备，工程地点为瑞安市陶山镇南戏演艺中心三楼。项目占用建筑面积约1000平方米，主要建设内容包括瓯窑材料应用中心、瓯窑快速打样中心、古陶瓷修复中心、非遗工艺生产中心所需专业设备配置（详见采购清单），设备采购主要涵盖与陶瓷相关的陶艺工作室仪器设备。采购预算金额：962900元。资金来源：公司自筹。</w:t>
      </w:r>
    </w:p>
    <w:p>
      <w:pPr>
        <w:snapToGrid w:val="0"/>
        <w:spacing w:line="360" w:lineRule="auto"/>
        <w:ind w:left="420" w:hanging="422" w:hangingChars="200"/>
        <w:rPr>
          <w:rFonts w:hint="eastAsia" w:ascii="宋体" w:hAnsi="宋体" w:eastAsia="宋体" w:cs="宋体"/>
          <w:b/>
          <w:bCs/>
          <w:color w:val="auto"/>
          <w:spacing w:val="0"/>
          <w:w w:val="100"/>
          <w:kern w:val="2"/>
          <w:position w:val="0"/>
          <w:sz w:val="21"/>
          <w:szCs w:val="21"/>
          <w:highlight w:val="none"/>
          <w:u w:val="none"/>
          <w:shd w:val="clear" w:color="auto" w:fill="auto"/>
          <w:lang w:val="en-US" w:eastAsia="zh-CN" w:bidi="zh-TW"/>
        </w:rPr>
      </w:pPr>
      <w:r>
        <w:rPr>
          <w:rFonts w:hint="eastAsia" w:ascii="宋体" w:hAnsi="宋体" w:eastAsia="宋体" w:cs="宋体"/>
          <w:b/>
          <w:bCs/>
          <w:color w:val="auto"/>
          <w:spacing w:val="0"/>
          <w:w w:val="100"/>
          <w:kern w:val="2"/>
          <w:position w:val="0"/>
          <w:sz w:val="21"/>
          <w:szCs w:val="21"/>
          <w:highlight w:val="none"/>
          <w:u w:val="none"/>
          <w:shd w:val="clear" w:color="auto" w:fill="auto"/>
          <w:lang w:val="en-US" w:eastAsia="zh-CN" w:bidi="zh-TW"/>
        </w:rPr>
        <w:br w:type="page"/>
      </w:r>
    </w:p>
    <w:p>
      <w:pPr>
        <w:pStyle w:val="20"/>
        <w:keepNext w:val="0"/>
        <w:keepLines w:val="0"/>
        <w:pageBreakBefore w:val="0"/>
        <w:widowControl w:val="0"/>
        <w:kinsoku/>
        <w:wordWrap/>
        <w:overflowPunct/>
        <w:topLinePunct w:val="0"/>
        <w:autoSpaceDE/>
        <w:autoSpaceDN/>
        <w:bidi w:val="0"/>
        <w:spacing w:after="50" w:line="360" w:lineRule="auto"/>
        <w:ind w:left="0" w:leftChars="0" w:firstLine="0" w:firstLineChars="0"/>
        <w:jc w:val="both"/>
        <w:outlineLvl w:val="9"/>
        <w:rPr>
          <w:rFonts w:hint="eastAsia" w:ascii="宋体" w:hAnsi="宋体" w:eastAsia="宋体" w:cs="宋体"/>
          <w:color w:val="auto"/>
          <w:sz w:val="21"/>
          <w:szCs w:val="21"/>
          <w:highlight w:val="none"/>
        </w:rPr>
      </w:pPr>
      <w:r>
        <w:rPr>
          <w:rFonts w:hint="eastAsia" w:ascii="宋体" w:hAnsi="宋体" w:eastAsia="宋体" w:cs="宋体"/>
          <w:b/>
          <w:bCs/>
          <w:color w:val="auto"/>
          <w:spacing w:val="0"/>
          <w:w w:val="100"/>
          <w:kern w:val="2"/>
          <w:position w:val="0"/>
          <w:sz w:val="21"/>
          <w:szCs w:val="21"/>
          <w:highlight w:val="none"/>
          <w:u w:val="none"/>
          <w:shd w:val="clear" w:color="auto" w:fill="auto"/>
          <w:lang w:val="en-US" w:eastAsia="zh-CN" w:bidi="zh-TW"/>
        </w:rPr>
        <w:t>二、主要设备及内容清单</w:t>
      </w:r>
    </w:p>
    <w:tbl>
      <w:tblPr>
        <w:tblStyle w:val="49"/>
        <w:tblW w:w="10764" w:type="dxa"/>
        <w:tblInd w:w="-7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6"/>
        <w:gridCol w:w="1200"/>
        <w:gridCol w:w="6568"/>
        <w:gridCol w:w="750"/>
        <w:gridCol w:w="795"/>
        <w:gridCol w:w="7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序号</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设备名称</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产品技术参数要求</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数量</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u w:val="none"/>
              </w:rPr>
            </w:pPr>
            <w:r>
              <w:rPr>
                <w:rFonts w:hint="eastAsia" w:ascii="宋体" w:hAnsi="宋体" w:eastAsia="宋体" w:cs="宋体"/>
                <w:b/>
                <w:bCs/>
                <w:i w:val="0"/>
                <w:iCs w:val="0"/>
                <w:color w:val="auto"/>
                <w:kern w:val="0"/>
                <w:sz w:val="21"/>
                <w:szCs w:val="21"/>
                <w:u w:val="none"/>
                <w:lang w:val="en-US" w:eastAsia="zh-CN" w:bidi="ar"/>
              </w:rPr>
              <w:t>单位</w:t>
            </w:r>
          </w:p>
        </w:tc>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48"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实验操作台（含升降椅）</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实验工作台，工作台整体尺寸为，L2400*W1120*H910mm（±10mm）；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台上架尺寸L2400*w200*H460mm（±10mm）；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工作台主架采用202不锈钢50*50*1.5方管焊接成型、并配四台脚杯，台面采用1.5厚不锈钢和欧松板厚度30毫米制作；</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洗手柜，柜体尺寸为L1120*w500*H910（±10mm）；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柜体台面配单不锈钢洗手盆，抽拉式大弯冷热水龙头一套，柜体下面配二级沉淀池一台，沉淀池尺寸为L800*W350*H365（±10mm），沉淀池配四台1.5寸万向轮。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升降椅尺寸：（一个实验室操作台配置4把升降椅）</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1、椅面直径35cm（±10mm）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2、升降高度45-61cm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、五星脚底座直径52cm（±5mm）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4</w:t>
            </w:r>
            <w:r>
              <w:rPr>
                <w:rFonts w:hint="eastAsia" w:ascii="宋体" w:hAnsi="宋体" w:eastAsia="宋体" w:cs="宋体"/>
                <w:i w:val="0"/>
                <w:iCs w:val="0"/>
                <w:color w:val="auto"/>
                <w:kern w:val="0"/>
                <w:sz w:val="21"/>
                <w:szCs w:val="21"/>
                <w:u w:val="none"/>
                <w:lang w:val="en-US" w:eastAsia="zh-CN" w:bidi="ar"/>
              </w:rPr>
              <w:t>、轮子直径50mm（±2mm）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5</w:t>
            </w:r>
            <w:r>
              <w:rPr>
                <w:rFonts w:hint="eastAsia" w:ascii="宋体" w:hAnsi="宋体" w:eastAsia="宋体" w:cs="宋体"/>
                <w:i w:val="0"/>
                <w:iCs w:val="0"/>
                <w:color w:val="auto"/>
                <w:kern w:val="0"/>
                <w:sz w:val="21"/>
                <w:szCs w:val="21"/>
                <w:u w:val="none"/>
                <w:lang w:val="en-US" w:eastAsia="zh-CN" w:bidi="ar"/>
              </w:rPr>
              <w:t>、产品净重≈3.9kg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6</w:t>
            </w:r>
            <w:r>
              <w:rPr>
                <w:rFonts w:hint="eastAsia" w:ascii="宋体" w:hAnsi="宋体" w:eastAsia="宋体" w:cs="宋体"/>
                <w:i w:val="0"/>
                <w:iCs w:val="0"/>
                <w:color w:val="auto"/>
                <w:kern w:val="0"/>
                <w:sz w:val="21"/>
                <w:szCs w:val="21"/>
                <w:u w:val="none"/>
                <w:lang w:val="en-US" w:eastAsia="zh-CN" w:bidi="ar"/>
              </w:rPr>
              <w:t>、外箱尺寸460*160*480（±5mm）</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用于釉料、泥料配比实验（含工作椅）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釉料配比工作台</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产品尺寸：L1800*W600*H850（±10mm）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产品材质：不锈钢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产品</w:t>
            </w:r>
            <w:r>
              <w:rPr>
                <w:rFonts w:hint="eastAsia" w:ascii="宋体" w:hAnsi="宋体" w:cs="宋体"/>
                <w:i w:val="0"/>
                <w:iCs w:val="0"/>
                <w:color w:val="auto"/>
                <w:kern w:val="0"/>
                <w:sz w:val="21"/>
                <w:szCs w:val="21"/>
                <w:u w:val="none"/>
                <w:lang w:val="en-US" w:eastAsia="zh-CN" w:bidi="ar"/>
              </w:rPr>
              <w:t>要求</w:t>
            </w:r>
            <w:r>
              <w:rPr>
                <w:rFonts w:hint="eastAsia" w:ascii="宋体" w:hAnsi="宋体" w:eastAsia="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1、采用国标201不锈钢做整体结构，厚度约1.5mm。采用国标不锈钢管做骨架，尺寸为38*38mm，有承重的作用。整体重量不低于120公斤。</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2、底部装有6台可以调节高低的不锈钢带TPU防震胶脚杯，通过调节脚杯可以使桌子适合不同的地面使用要求。共有10台尺寸为H500*W200*L350mm釉料储存内斗。</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用于存放原矿材料，上面可进行釉料的配比制备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冷热水池</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水池外形尺寸：长1800*宽700*台面高800（±10mm）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沉淀池外形尺寸：长1500*宽430*高420（±10mm）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材质：304不锈钢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结构：四只脚分两片，采用可拆卸结构；</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沉淀池过滤网材质：网孔板不锈钢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沉淀池采用二级沉淀装置，配备四台把手，底部沉淀池安装四台万向轮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配件：水龙头3台，生料带1卷，不锈钢/4分双内丝，长80CM编织软管2根</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单台沉淀池外形尺寸：长1500*宽430*高420（±10mm）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沉淀池材质：不锈钢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沉淀池过滤网材质：不锈钢200目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沉淀池采用二级沉淀装置；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沉淀池配备四台把手，底部沉淀池安装四台万向轮。</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用于材料实验室清洁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安全防护用品标准柜</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1.柜体：规格尺寸H1800*W900*D450（±10mm），尺寸误差≤20mm，甲醛报告限值≤5mg/kg，甲苯报告限值≤0.1%，苯报告限值≤0.002%。</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2.柜门：双开门，可视窗设计，柜体采用≥1.2mm优质冷轧钢板。</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3.3块活动层板，T型隔物架结构，承重≥100KG。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4.配有应急安全锤。</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5.应急物资1套。</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6.柜体原材料环保符合ROHS指令（EU）2015/863和指令（EU）2017/2102附件II的规定。</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放置实验室安全防护用品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试剂柜</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1.规格尺寸H1800*W900*D450（±10mm），采用不小于8mm厚瓷白色PP聚丙烯板制作，门框一体折弯成型无焊缝，内置四根加强型PP立柱折弯成型；</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2.门型：上下四开门设计。采用≥15mm瓷白色PP聚丙烯整版雕刻，上柜门≥5mm厚pvc透明视窗；</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3.层板：一次注塑成型层板4个，高度可调；采用PP聚丙烯原料板包钢加固，底部格栅加强筋，四周设有防溢立边，承重量≥100KG。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4.把手：采用一次成型耐腐蚀PP聚丙烯材质。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5.锁扣：不少于4个。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6.锁鼻：不少于4个。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7.锁具：橡胶防腐铜芯锁2副。</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8.标志：符合危险化学品的分类及标志的要求，张贴“腐蚀性”标签。</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9.柜体张贴"腐蚀品"标识。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用于放置实验试剂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器皿柜</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1.规格尺寸H1800*W900*D450（±10mm），采用≥1.0mm厚冷轧钢板制作。</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2.3块活动层板，可以上下调节。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3.1.5mm厚不锈钢板经数控冲床模具成型的层板挂钩；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4.选配视窗，外框采用双层≥1.0mm厚冷轧钢板制作，环氧树脂静电喷涂，框内嵌入钢化玻璃；</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5.透气孔由数控机床一次成型；</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6.底部均配有调整脚，以保证柜体平衡。</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用于放置实验器皿容器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实验台（含钢制岛式线槽）</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1.规格：L*1500*850（±10mm）。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2.台面：采用12.7mm厚，耐腐蚀实芯耐蚀理化板，边缘加厚至25.4mm。24小时以上抗强化学腐蚀，抗划痕，抗撞击，耐沸水，低甲醛排放。</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3.柜体：钢制落地柜体，内嵌门/外盖门。柜体采用1.0mm厚优质镀锌钢板，一体折弯成型，内外表面经阿克苏诺贝尔环氧树脂粉末静电喷涂。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4.配件：拉手采用不锈钢工字型拉手或一体成型折弯拉手或内嵌式拉手或45°斜切式拉手。导轨采用三节静音阻尼导轨。铰链采用304不锈钢合页/实验室专用防腐蚀铰链。</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升降椅尺寸：（一个实验台（含钢制岛式线槽）配置2把升降椅）</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1、椅面直径35cm（±10mm）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2、海绵厚度8cm（±5mm）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3、升降高度45-61cm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4、五星脚底座直径52cm（±5mm）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5、轮子直径50mm（±2mm）</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用于材料检测操作桌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烘干箱</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1.温度范围：室温+10～250℃；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2.波 动 度：±1℃；</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3.显示精度：1℃；</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4.工作室尺寸：550*600*600（±5mm）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5.外形近似尺寸：790*890*780（±5mm）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7.整机功率：≥2000W；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8.电 源：220V（±10%），50Hz；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9.测 温 口：PT100传感器从箱体后方进入；</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10.接 线 柱：发热元件接线柱位于箱体后下方位置；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11.控 制 器：位于箱体左侧，内置控制系统；</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12.发热元件：不锈钢加热器；</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加快实验试片干燥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4"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实验电窑（圆窑）</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净空容积：0.05m³</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开门方式：顶开门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外形尺寸：L837（含温控器）*W820*H860（±10mm）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炉膛尺寸： Ø420H345mm（±5mm）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棚    板：φ350（mm）1块/层（配送一层）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    源：220V±10V（50HZ)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    率：6KW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    流：28A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用户空开：2P/40A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用户线径：2*10+1*6平方国标铜芯线</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热 电 偶：S型，单点控温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炉    丝：国产合金炉丝，环形布置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智能仪表：4.3寸，6组程序，12段曲线设置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炉内温差：±5℃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额定温度：1240℃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整备质量：≈90KG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框架材质：Q235-A+铝合金</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烧制实验试片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圆窑窑具套装</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匹配棚板马脚窑具：</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圆形棚板35cm （4块）</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直径马脚5cm（6个）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马脚8cm（6个）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马脚10cm（3个）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马脚12cm（3个）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马脚18cm（3个）</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搭配实验电窑使用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11</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窑具收纳车</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1.外形尺寸：L1034*W490*H1013（±10mm）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材质结构：底部采用综合实木板做支撑。表面无油漆处理，防止长时间和棚板接触而产生反应。木板上两侧各配置有16根金属立柱，采用国标Q235方钢管打磨抛光后拼接组成，可放置9组棚板。立柱高度680（±10mm），最大可放置550*600（±5mm）的棚板。两侧立柱的间距是320（±5mm），可根据棚板尺寸按不同方向放置。立柱上方采用综合实木板做封板，便于随时收纳放置其他工具，四周采用国标Q235碳钢组成围板，围板高度180（±5mm），形成一个闭合的收纳空间，采用20mm（±2mm）厚的实木板隔断，可分类收纳。</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用于收纳窑具硼板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破碎机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尺寸：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1、外形(mm)650×360×550（±5mm）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2、出料口(mm)100×60（±2mm）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 颚板   高猛钢（静颚板230*100±2mm、动颚板290*100±2mm）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2、动颚体  铸钢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3、皮带轮 ，配重轮    铸铁</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功能描述：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1、入料粒度（mm）≤60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2、出料粒度（mm）≤3～13（可调）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2、生产率（kg/h）200～500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3、适应全水分≤12%</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4、电机功率（kW）1.5</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5、整机重量（kg）≈120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用于泥料原材料破碎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13</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球磨机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球磨机最大外形尺寸(包含把手)：L1100xW860xH860（±5mm）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功率：500W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球磨罐转速：90r/min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瓷瓶球磨罐数量：4个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单个球磨罐可装容量：5KG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重量：≈150kg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颜色：白色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电机：DD电机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配套4个5KG球磨罐，10kg 3cm和10kg 2cm球磨子</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用于材料碾磨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行星式球磨机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1、规格：油封静音型</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2、主盘结构：行星主盘齿轮侵泡润滑油增强处理，噪音隔离处理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3、最大进样尺寸（材料各异）：&lt; 5mm 土壤&lt;10mm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4、出样粒度：&lt; 100nm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5、最小处理量：500ml/罐</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6、最大处理量：4 X 500ml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7、载体体积：≥500ml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8、主盘转速：10-400r/min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9、球磨罐转速：20-800r/min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10、总研磨转速：≥1200/min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11、传动比（行星盘/球磨罐）：1：2</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12、球磨载体材质：玛瑙</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13、球磨介质材质：玛瑙</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14、介质直径：10/15/20mm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15、同时处理样品种数：≥4 种</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16、载体数量：≥4个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17、尺寸（长宽高）：立体型 78*58*68cm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18、功率描述：220V/750W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19</w:t>
            </w:r>
            <w:r>
              <w:rPr>
                <w:rFonts w:hint="eastAsia" w:ascii="宋体" w:hAnsi="宋体" w:eastAsia="宋体" w:cs="宋体"/>
                <w:i w:val="0"/>
                <w:iCs w:val="0"/>
                <w:color w:val="auto"/>
                <w:kern w:val="0"/>
                <w:sz w:val="21"/>
                <w:szCs w:val="21"/>
                <w:u w:val="none"/>
                <w:lang w:val="en-US" w:eastAsia="zh-CN" w:bidi="ar"/>
              </w:rPr>
              <w:t>、可储存运行方式：程序记忆、断电记忆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0</w:t>
            </w:r>
            <w:r>
              <w:rPr>
                <w:rFonts w:hint="eastAsia" w:ascii="宋体" w:hAnsi="宋体" w:eastAsia="宋体" w:cs="宋体"/>
                <w:i w:val="0"/>
                <w:iCs w:val="0"/>
                <w:color w:val="auto"/>
                <w:kern w:val="0"/>
                <w:sz w:val="21"/>
                <w:szCs w:val="21"/>
                <w:u w:val="none"/>
                <w:lang w:val="en-US" w:eastAsia="zh-CN" w:bidi="ar"/>
              </w:rPr>
              <w:t>、正、逆向运行： 是</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、连续运行时间设定：00:01:00-99:59:59</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2</w:t>
            </w:r>
            <w:r>
              <w:rPr>
                <w:rFonts w:hint="eastAsia" w:ascii="宋体" w:hAnsi="宋体" w:eastAsia="宋体" w:cs="宋体"/>
                <w:i w:val="0"/>
                <w:iCs w:val="0"/>
                <w:color w:val="auto"/>
                <w:kern w:val="0"/>
                <w:sz w:val="21"/>
                <w:szCs w:val="21"/>
                <w:u w:val="none"/>
                <w:lang w:val="en-US" w:eastAsia="zh-CN" w:bidi="ar"/>
              </w:rPr>
              <w:t>、暂停时间设定：00:01:00-99:59:59</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3</w:t>
            </w:r>
            <w:r>
              <w:rPr>
                <w:rFonts w:hint="eastAsia" w:ascii="宋体" w:hAnsi="宋体" w:eastAsia="宋体" w:cs="宋体"/>
                <w:i w:val="0"/>
                <w:iCs w:val="0"/>
                <w:color w:val="auto"/>
                <w:kern w:val="0"/>
                <w:sz w:val="21"/>
                <w:szCs w:val="21"/>
                <w:u w:val="none"/>
                <w:lang w:val="en-US" w:eastAsia="zh-CN" w:bidi="ar"/>
              </w:rPr>
              <w:t>、紧急停止： 是</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4</w:t>
            </w:r>
            <w:r>
              <w:rPr>
                <w:rFonts w:hint="eastAsia" w:ascii="宋体" w:hAnsi="宋体" w:eastAsia="宋体" w:cs="宋体"/>
                <w:i w:val="0"/>
                <w:iCs w:val="0"/>
                <w:color w:val="auto"/>
                <w:kern w:val="0"/>
                <w:sz w:val="21"/>
                <w:szCs w:val="21"/>
                <w:u w:val="none"/>
                <w:lang w:val="en-US" w:eastAsia="zh-CN" w:bidi="ar"/>
              </w:rPr>
              <w:t>、噪声描述：&lt; 60dB（3 米范围内）</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5</w:t>
            </w:r>
            <w:r>
              <w:rPr>
                <w:rFonts w:hint="eastAsia" w:ascii="宋体" w:hAnsi="宋体" w:eastAsia="宋体" w:cs="宋体"/>
                <w:i w:val="0"/>
                <w:iCs w:val="0"/>
                <w:color w:val="auto"/>
                <w:kern w:val="0"/>
                <w:sz w:val="21"/>
                <w:szCs w:val="21"/>
                <w:u w:val="none"/>
                <w:lang w:val="en-US" w:eastAsia="zh-CN" w:bidi="ar"/>
              </w:rPr>
              <w:t>、配备4个500mlA级玛瑙罐、4套玛瑙球磨子（单套球磨子包含10/15/20mm三种规格）</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6</w:t>
            </w:r>
            <w:r>
              <w:rPr>
                <w:rFonts w:hint="eastAsia" w:ascii="宋体" w:hAnsi="宋体" w:eastAsia="宋体" w:cs="宋体"/>
                <w:i w:val="0"/>
                <w:iCs w:val="0"/>
                <w:color w:val="auto"/>
                <w:kern w:val="0"/>
                <w:sz w:val="21"/>
                <w:szCs w:val="21"/>
                <w:u w:val="none"/>
                <w:lang w:val="en-US" w:eastAsia="zh-CN" w:bidi="ar"/>
              </w:rPr>
              <w:t>、结构形式:油封静音行星式，油封箱尺寸:≥26.5*10cn。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w:t>
            </w:r>
            <w:r>
              <w:rPr>
                <w:rFonts w:hint="eastAsia" w:ascii="宋体" w:hAnsi="宋体" w:cs="宋体"/>
                <w:i w:val="0"/>
                <w:iCs w:val="0"/>
                <w:color w:val="auto"/>
                <w:kern w:val="0"/>
                <w:sz w:val="21"/>
                <w:szCs w:val="21"/>
                <w:u w:val="none"/>
                <w:lang w:val="en-US" w:eastAsia="zh-CN" w:bidi="ar"/>
              </w:rPr>
              <w:t>7</w:t>
            </w:r>
            <w:r>
              <w:rPr>
                <w:rFonts w:hint="eastAsia" w:ascii="宋体" w:hAnsi="宋体" w:eastAsia="宋体" w:cs="宋体"/>
                <w:i w:val="0"/>
                <w:iCs w:val="0"/>
                <w:color w:val="auto"/>
                <w:kern w:val="0"/>
                <w:sz w:val="21"/>
                <w:szCs w:val="21"/>
                <w:u w:val="none"/>
                <w:lang w:val="en-US" w:eastAsia="zh-CN" w:bidi="ar"/>
              </w:rPr>
              <w:t>、油封量:≥220n1，多通量功能:4-8通量，通量容积:50n1-100n1，行星盘直径:≥26.5cm，弧形套筒球磨罐装置，U型一体罐套5级安全</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用于材料碾磨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五层置物架</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钢架尺寸1600*1400*400（±10mm），钢架采用加厚方管，间隔四分五层，每层高分别为35、35、35、40cm，采用厚实木板作为支撑板，每层承重配4台2.5寸静音脚轮。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木板为杉木实木板，经过酸性处理，有效防止高温潮湿环境下产生变形和开裂。</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用于放置试片等材料耗材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1"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货架</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尺寸：2000*1200*400（±10mm）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材质：1.6mm，304不锈钢</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工艺描述： 拉丝不锈钢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功能描述： 四层隔板分区，收纳物品，蝴蝶卡扣固定，承重能力≥600公斤，结实耐用。</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用于存放货物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17</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陶瓷3D打印机</w:t>
            </w:r>
            <w:r>
              <w:rPr>
                <w:rFonts w:hint="eastAsia" w:ascii="宋体" w:hAnsi="宋体" w:cs="宋体"/>
                <w:i w:val="0"/>
                <w:iCs w:val="0"/>
                <w:color w:val="auto"/>
                <w:kern w:val="0"/>
                <w:sz w:val="21"/>
                <w:szCs w:val="21"/>
                <w:u w:val="none"/>
                <w:lang w:val="en-US" w:eastAsia="zh-CN" w:bidi="ar"/>
              </w:rPr>
              <w:t>1#</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喷嘴直径  0.4mm、0.6mm、0.8mm、1mm、1.2mm、1.5mm、2mm、3mm、5mm、7mm(均可用)</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针头切换  快捷旋钮即插即用</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打印精度（最小层厚） </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0.2mm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打印精度（最薄壁厚） 干燥收缩后</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0.5mm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打印速度    30-150mm/s范围可调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最大成型尺寸   500*500*700 mm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电源规格   220V或110V可切换</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额定功率   1300W</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机箱结构  封闭式结构（正面亚克力大观察窗）</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照明功能   内置LED照明</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调  平   四点半自动化辅助调平</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控制面板   7寸全彩触摸屏</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屏幕语言   中文/英文可自由切换</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可用耗材   陶泥/瓷泥/紫砂泥/硅橡胶/水性油墨等具有一定流动性、黏性、可塑性的材料均可打印，满足多学科教学、实训需要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供料方式   精确可控的空气压力加高精密机加工螺杆挤出或DIW直写挤出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支持文件格试  gcode/STL/OBJ等3D文件格式</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打印平台   金属铝板覆耐高温陶瓷板</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Wifi控制  可用</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暂停续打  支持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断电续打  支持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恒温热风循环   标配</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支持切片软件   cura/S3D等常见FDM切片软件（兼容第三方软件)</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操作系统   Window系列/Mac OS/Linux</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打印方式   SD卡/USB/WiFi</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赠送配置   无油静音数显空压机一台，打印板三片，各种打印针头共30个，30公斤高白瓷泥耗材，30款各种已切片模型即插即用</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料筒规格   10升带气缸不锈钢料筒并配置可移动式助力料架</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自动泄压功能    有</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断料检测功能    有 </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 xml:space="preserve">机器重量  </w:t>
            </w:r>
            <w:r>
              <w:rPr>
                <w:rFonts w:hint="eastAsia" w:ascii="宋体" w:hAnsi="宋体" w:cs="宋体"/>
                <w:i w:val="0"/>
                <w:iCs w:val="0"/>
                <w:color w:val="auto"/>
                <w:kern w:val="0"/>
                <w:sz w:val="21"/>
                <w:szCs w:val="21"/>
                <w:u w:val="none"/>
                <w:lang w:val="en-US" w:eastAsia="zh-CN" w:bidi="ar"/>
              </w:rPr>
              <w:t>约</w:t>
            </w:r>
            <w:r>
              <w:rPr>
                <w:rFonts w:hint="eastAsia" w:ascii="宋体" w:hAnsi="宋体" w:eastAsia="宋体" w:cs="宋体"/>
                <w:i w:val="0"/>
                <w:iCs w:val="0"/>
                <w:color w:val="auto"/>
                <w:kern w:val="0"/>
                <w:sz w:val="21"/>
                <w:szCs w:val="21"/>
                <w:u w:val="none"/>
                <w:lang w:val="en-US" w:eastAsia="zh-CN" w:bidi="ar"/>
              </w:rPr>
              <w:t>60Kg</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配套云端三维渲染引擎平台，对3D数据在云端进行轻量化（轻量最高可达91%）、云渲染及三维分享，开放标准的SDK，不需要安装任何客户端，兼容Windows、MacOS、iOS、Android、Linux等系统，以及Chrome/Safari/Firefox /Edge/IE/QQ等浏览器。支持多种材质系统和多属性材质，以及各种类型光源与开合动画系统，引擎适配VRPN协议，驱动VR/AR硬件； 支持HTML5 WebGL平台，实现对产品的快速三维渲染和展示。</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配备3D素材库，开放账号完全权限，可下载全部模型。3D素材数量不低于1.5万个，涵盖不少于10种类别，拥有20个以上特色专题，每个专题包含至少5个以上同类别优质素材。素材库包含网站及APP使用，APP同步支持安卓及IOS下载。</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精度陶瓷成型打印设备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64"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陶瓷3D打印机</w:t>
            </w:r>
            <w:r>
              <w:rPr>
                <w:rFonts w:hint="eastAsia" w:ascii="宋体" w:hAnsi="宋体" w:cs="宋体"/>
                <w:i w:val="0"/>
                <w:iCs w:val="0"/>
                <w:color w:val="auto"/>
                <w:kern w:val="0"/>
                <w:sz w:val="21"/>
                <w:szCs w:val="21"/>
                <w:u w:val="none"/>
                <w:lang w:val="en-US" w:eastAsia="zh-CN" w:bidi="ar"/>
              </w:rPr>
              <w:t>2#</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参数表</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喷嘴直径  0.4mm、0.6mm、0.8mm、1mm、1.2mm、1.5mm、2mm、3mm(均可用)</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针头切换  快捷旋钮即插即用</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打印精度（最小层厚）  0.2mm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打印精度（最薄壁厚） 干燥收缩后0.5mm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打印速度    30-150mm/s范围可调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最大成型尺寸 </w:t>
            </w:r>
            <w:r>
              <w:rPr>
                <w:rFonts w:hint="eastAsia" w:ascii="宋体" w:hAnsi="宋体" w:cs="宋体"/>
                <w:i w:val="0"/>
                <w:iCs w:val="0"/>
                <w:color w:val="auto"/>
                <w:kern w:val="0"/>
                <w:sz w:val="21"/>
                <w:szCs w:val="21"/>
                <w:u w:val="none"/>
                <w:lang w:val="en-US" w:eastAsia="zh-CN" w:bidi="ar"/>
              </w:rPr>
              <w:t xml:space="preserve"> </w:t>
            </w:r>
            <w:r>
              <w:rPr>
                <w:rFonts w:hint="eastAsia" w:ascii="宋体" w:hAnsi="宋体" w:eastAsia="宋体" w:cs="宋体"/>
                <w:i w:val="0"/>
                <w:iCs w:val="0"/>
                <w:color w:val="auto"/>
                <w:kern w:val="0"/>
                <w:sz w:val="21"/>
                <w:szCs w:val="21"/>
                <w:u w:val="none"/>
                <w:lang w:val="en-US" w:eastAsia="zh-CN" w:bidi="ar"/>
              </w:rPr>
              <w:t>180*180*200 mm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电源规格   220V或110V可切换</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额定功率   300W</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机箱结构  封闭式结构（正面亚克力大观察窗）</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照明功能   内置LED照明</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调    平   四点半自动化辅助调平</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控制面板   3.5寸全彩触摸屏，挤出速度、移动速度、环境与打印头温度均可数字化控制，打印作品外观、打印进度与打印时间均可显示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屏幕语言    中文/英文可自由切换</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可用耗材    陶泥/瓷泥/紫砂泥/硅橡胶/水性油墨等具有一定流动性、黏性、可塑性的材料均可打印，满足多学科教学、实训需要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供料方式   精确可控的空气压力加高精密机加工螺杆挤出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挤出方式   精确可控的空气压力加高精密机加工螺杆挤出</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支持文件格试   gcode/STL/OBJ等3D文件格式</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打印平台   金属铝板覆钢化玻璃</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Wifi控制    可用</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暂停续打    支持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断电续打   支持</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恒温热风循环   标配</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支持切片软件   cura/S3D等常见FDM切片软件（兼容第三方软件)</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操作系统   Window系列/Mac OS/Linux</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打印方式   SD卡/USB/WiFi</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赠送配置   无油静音数显空压机一台，打印板三片，各种打印针头共30个，6公斤高白瓷泥耗材，30款以上各种已切片模型即插即用</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料筒规格   500CC透明高强度塑料罐，即插即用，实时可视耗材                                                                  </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精度陶瓷成型打印设备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21</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光固化打印机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尺寸：</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1、整机尺寸：571*780*1850（±5mm）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2、包装尺寸：650*960*2050（±5mm）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3、打印尺寸：</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533*300*550mm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1、设备外观为钣金一体化结构</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2、可打印材质：类ABS,高韧树脂或其它405nm波长的光敏树脂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功能描述：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1、UV光功率：10mw/cm²</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2、光机分辨率：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3840*2160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3、点像素尺寸：</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0.1388mm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4、打印速度：</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50mm/h</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5、打印层厚：0.025/0.05/0.1mm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6、输入电源:100-240V  50-60Hz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7、整机功率: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300W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8、产品净重：≈120kg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9、配件包：3kg 类ABS树脂,U盘1个,金属铲1把,塑料刮板1个,一次性手套1包,一次性过滤漏斗50个,美工刀1把,斜口钳1把</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10、使用温度: 20℃～30℃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11、使用湿度: 40-60%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12、储存温度 -10℃～40℃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13、相对湿度 30%-90%RH（无结冰、无凝露）</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14、打印平台：打印平台可矫正（提供相关专利证明文件）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15、配备一个3d素材库，素材库数量大于2万个，素材涵盖至少10种类别，素材拥有20个以上特色专题，每个专题包含至少5个以上同类别优质素材。素材库可提供网站访问及APP下载使用。</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16、配套同品牌云端三维渲染引擎平台，对3D数据在云端进行轻量化（轻量最高可达91%）、云渲染及三维分享，开放标准的SDK，不需要安装任何客户端。支持多种材质系统和多属性材质，以及各种类型光源与开合动画系统，实现对产品的快速三维渲染和展示。</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righ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大尺寸光固化打印机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9"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23</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固化机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1.机器功能：清洗、固化、净化；</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2.语音系统：中文/英文</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3.固化波长：405nm；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4.固化尺寸：≤直径340mm*高度 320mm；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5.整机尺寸≥447*400*571.5mm；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6.不带平台清洗体积：≥长296*宽 165*高</w:t>
            </w:r>
            <w:r>
              <w:rPr>
                <w:rFonts w:hint="eastAsia" w:ascii="宋体" w:hAnsi="宋体" w:cs="宋体"/>
                <w:i w:val="0"/>
                <w:iCs w:val="0"/>
                <w:color w:val="auto"/>
                <w:kern w:val="0"/>
                <w:sz w:val="21"/>
                <w:szCs w:val="21"/>
                <w:u w:val="none"/>
                <w:lang w:val="en-US" w:eastAsia="zh-CN" w:bidi="ar"/>
              </w:rPr>
              <w:t>215</w:t>
            </w:r>
            <w:r>
              <w:rPr>
                <w:rFonts w:hint="eastAsia" w:ascii="宋体" w:hAnsi="宋体" w:eastAsia="宋体" w:cs="宋体"/>
                <w:i w:val="0"/>
                <w:iCs w:val="0"/>
                <w:color w:val="auto"/>
                <w:kern w:val="0"/>
                <w:sz w:val="21"/>
                <w:szCs w:val="21"/>
                <w:u w:val="none"/>
                <w:lang w:val="en-US" w:eastAsia="zh-CN" w:bidi="ar"/>
              </w:rPr>
              <w:t xml:space="preserve">mm ；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7.电源输入：AC110-220V AC50-60HZ；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8.控制方式：液晶触摸屏； </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打印作品固化使用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9"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10L超声波清洗机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技术参数：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1.超声波频率：40KHz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2.容量：≥10L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3.时间控制：数码显示控制（1-99分钟）</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4.电源：AC 110V/220V  50/60Hz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5.加热温度：室温-80℃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6.盖子/清洗篮：有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7.超声功率：240W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8.加热功率：500W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9.脱气功能：有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10.变波功能：有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11.内槽尺寸：300*240*150（±2mm）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12.机体尺寸：380*270*275（±2mm）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13.机器重量：≈8kg</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用于清洗光固化作品及古瓷片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30L超声波清洗机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技术参数：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1.超声波频率：40KHz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2.容量：≥30L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3.时间控制：数码显示控制（1-99分钟）</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4.电源：AC 110V/220V  50/60Hz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5.加热温度：室温-80℃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6.盖子/清洗篮：有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7.超声功率：600W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8.加热功率：600W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9.脱气功能：有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10.变波功能：有</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11.内槽尺寸：500*300*200（±2mm）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12.机体尺寸：530*325*325（±2mm）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13.机器重量：≈14.6kg</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用于清洗光固化作品及古瓷片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26</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手动丝印台</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设备尺寸：500*320*600（5mm），台面尺寸：300*400（5mm），机器精度可达到毫米级，10mm实心国标铝板台面。</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主要用于给打印好的花纸刷封面油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27</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花纸架</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网片尺寸：650*1000（±5mm）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网片外丝经：4.5mm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网片内丝径：2.5mm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层距：2.5cm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网格：11*13cm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角架厚度：5号*3台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尼龙轮直径：75mm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外形尺寸：1100*750*1450（±5mm）</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用于放置花纸晾干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28</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中型陶瓷花纸印刷机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（A3全新机）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1、打印幅面:A3+（最大面积：300x1200mm)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2、打印分辨率:1200×1200dpi，最大：4800×1200dpi</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3、打印速度:20ppm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4、搭载RiNeo智慧操作平台，10.1英寸大尺寸SOP智能触摸屏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5、内置1.3GHz新一代高速处理器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6、标配2GB内存+2GB 内存，320GB硬盘</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7</w:t>
            </w:r>
            <w:r>
              <w:rPr>
                <w:rFonts w:hint="eastAsia" w:ascii="宋体" w:hAnsi="宋体" w:eastAsia="宋体" w:cs="宋体"/>
                <w:i w:val="0"/>
                <w:iCs w:val="0"/>
                <w:color w:val="auto"/>
                <w:kern w:val="0"/>
                <w:sz w:val="21"/>
                <w:szCs w:val="21"/>
                <w:u w:val="none"/>
                <w:lang w:val="en-US" w:eastAsia="zh-CN" w:bidi="ar"/>
              </w:rPr>
              <w:t>、首页输出时间为5.1秒（黑白）/7.4秒（彩色）</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8</w:t>
            </w:r>
            <w:r>
              <w:rPr>
                <w:rFonts w:hint="eastAsia" w:ascii="宋体" w:hAnsi="宋体" w:eastAsia="宋体" w:cs="宋体"/>
                <w:i w:val="0"/>
                <w:iCs w:val="0"/>
                <w:color w:val="auto"/>
                <w:kern w:val="0"/>
                <w:sz w:val="21"/>
                <w:szCs w:val="21"/>
                <w:u w:val="none"/>
                <w:lang w:val="en-US" w:eastAsia="zh-CN" w:bidi="ar"/>
              </w:rPr>
              <w:t>、打印机碳粉：优能专用陶瓷激光碳粉。烧制温度：780-830度</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cs="宋体"/>
                <w:i w:val="0"/>
                <w:iCs w:val="0"/>
                <w:color w:val="auto"/>
                <w:kern w:val="0"/>
                <w:sz w:val="21"/>
                <w:szCs w:val="21"/>
                <w:u w:val="none"/>
                <w:lang w:val="en-US" w:eastAsia="zh-CN" w:bidi="ar"/>
              </w:rPr>
              <w:t>9</w:t>
            </w:r>
            <w:r>
              <w:rPr>
                <w:rFonts w:hint="eastAsia" w:ascii="宋体" w:hAnsi="宋体" w:eastAsia="宋体" w:cs="宋体"/>
                <w:i w:val="0"/>
                <w:iCs w:val="0"/>
                <w:color w:val="auto"/>
                <w:kern w:val="0"/>
                <w:sz w:val="21"/>
                <w:szCs w:val="21"/>
                <w:u w:val="none"/>
                <w:lang w:val="en-US" w:eastAsia="zh-CN" w:bidi="ar"/>
              </w:rPr>
              <w:t>、自带恒湿调节系统，设备运行稳定,环保节能，适应各种工作环境。</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花纸打印设备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陶艺操作台（含2张陶艺工作凳）</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整体尺寸：150cm*70cm*80cm（±10mm），桌面厚度40mm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含2个陶艺工作凳</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张</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放置手动丝印设备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陶瓷作品展示架</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钢架尺寸1600*1400*400（±5mm），钢架采用加厚方管，间隔四分五层，每层高分别为35、35、35、40cm，采用厚实木板作为支撑板，每层承重配4台2.5寸静音脚轮。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木板为杉木实木板，经过酸性处理，有效防止高温潮湿环境下产生变形和开裂。</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用于放置物料作品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31</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小白泥板机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外形尺寸：L1020*W920*H1100（±5mm）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泥板厚度：H2-60mm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压制泥板尺寸;L900*W450（±2mm）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安全支撑板尺寸:L300*W205*H35（±2mm）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重    量：≈55kg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材质：Q235-A+铝合金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备    注：出厂标配一块板子，两块布</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用于陶瓷泥板成型工艺制作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32</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真空练泥机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外型尺寸:约1160*540*850（±5mm）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生产能力:</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350kg/H</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电源:AC220V</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2.75KW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出泥口直径:</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80mm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接泥台:长650宽330高550（±2mm）</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用于废泥料回收及试片制作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33</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拉坯机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产品尺寸：L725*W640*H420-H520（含水盆高度）（±5mm）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产品描述：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1.工作电压：AC 220v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2.功    率：400W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3.转速范围：0～300 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4.转盘直径：≥352mm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5.电机噪音：≤40dB</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6.重    量：≈36kg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7.负    载：120kg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8.电    机：DD电机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9.框架表面处理：白色+静电喷涂，黑色</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10.电机：采用DD直驱电机驱动方式，电机负载具备扭矩自动补偿功能，满足各种工况下的拉坯创作。最低转速可达到≤3转/min，通过控制器和主控面板双向调节。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▲电机具有3 n(r/min)，负载≥120KG重量平顺运转功能；</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▲电机中心上方30cm处噪音≤40dB，距离电机中心上方60cm处噪音≤44dB；</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11.性能：产品可实现急启急停，且急停后不会出现回摆现象造成坯体变形，整机加速度响应时间＜1S，减速度响应时间＜2S，转速误差＜±1%，上水平跳动≤0.1mm，侧面跳动≤0.08mm，震动值＜0.12m/s，扭力值＞30Nm。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12.水盆：采用无卡位磁吸式结构设计。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13.脚踏板：采用霍尔效应原理；</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14.铝盘：采用国标含量95%的硬质铝合金材料压铸成型，表面抗划不变色，小于≤0.1mm表面跳动值。</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15.▲安全性：电控部份采用国标防漏电插头；</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16.配置实木拉坯凳一张：1.外观尺寸：25*35cm*45cm、实木，板厚15mm；2.材质松木，表面刷清漆。</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用于陶瓷拉坯成型工艺制作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7"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34</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拉坯架</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产品形尺寸：L760*W300*H740（±5mm）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产品材质：Q235-A+杉木实木板</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产品描述：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1.主体框架：采用国标Q235碳钢管，厚度1.5mm。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2.木板：采用多层实木板做层间面板，板厚20mm。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3.结构：坯架共两层，层间距330mm。底部配有4个可调脚杯，可以通过快捷操作调整坯架高低，便于在不同的环境下使用。</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用于放置陶瓷拉坯成型工艺作品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通风柜</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含全钢台式通风柜2套、PP万向罩8台、25cm 的消音器1个</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(一)全钢台式通风柜：</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尺寸：1500*850*2350（±10mm）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1.规格：通风柜整体尺寸（W宽度×D深度×H高度）：1800*850*2350（±10mm），左右置式配重；台面采用13mm厚实芯理化板，边沿加厚至26mm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2.钢板及喷涂：采用1.0mm厚一级优质冷轧钢板下柜</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3.导流板：采用耐腐蚀的高分子材料或类似材料，置于通风柜操作区内侧</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4.内衬板：采用耐腐蚀的高分子材料或类似材料，引导通风柜气体快速排出柜外，进入排风管道</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5.安全视窗：良好的可视范围，安全视窗的移动距离不小于750mm，操作人员可实时监测实验情况，6mm厚钢化玻璃；升降轨道、窗框、拉手采用全铝合金材质,环氧树脂喷涂；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6．窗口：采用6mm厚的钢化防暴玻璃。</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 液晶控制系统：通风柜控制器以微控制器为核心，采用模块化设计；</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（二）PP万向罩：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关节:高密度PP材质，可360旋转调节方向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关节松紧旋钮：纯不锈钢轴承，防止生锈抱死</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气流调节阀：手动调节外部阀门旋钮，控制气体流量</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集气罩：高密度PP材质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申索导管：直径Φ75mmPVC材质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万向：以固定架为中心活动半径≥1350mm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固定底座：非粘接而成，模具注塑一体成型，牢度强，不脱底</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（三）消音器：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尺寸：25cm</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实验室排风系统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36</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陶瓷修复工作桌（含2张工作凳）</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1、尺寸：2000*1000*800（±10mm），桌面厚度40mm。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2、桌面材质：实木板。</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3、桌面底部增加多条Q235碳钢方管作为加强支撑杆，有效大面积承重，确保桌面受力均匀，5年不变形。整体重量≈60公斤。</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4、铁架国标方钢管50mm×50mm，厚度均为1.5mm。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5、实木陶艺凳规格：（一张修复工作卓配套2张工作凳）</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7、长330×宽230×高450（±2mm）</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个</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用于干燥清洗后的古瓷片，并进行瓷片修复拼接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1"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37</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水帘式吹釉柜（带转台）</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外形尺寸：78*72*167cm（±5mm）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框架材质：不锈钢+玻璃</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电压：220V</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电机转速：</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1500转</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电机功率：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150W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风机功率：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0.12KW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风机风量：</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2000m³/H</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水泵功率：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0.125kw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转盘材质：铝合金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转盘转速：0-200转/分</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用于陶瓷作品施釉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38</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喷釉用具三件套</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 xml:space="preserve">1、空压机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电压：220v</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功率：</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1500w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额定排气压力：0.7Mpa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公称容积流量：150L/min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转速：2850r/min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储气罐：≥30L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净重：≈35kg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外形尺寸：约63*27.5*62.5cm（±5mm）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2、连接软管（带阀门和转接头）</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尺寸：长20cm  直径：8mm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3、不堵塞喷釉壶</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容量：≥450ml</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重量：≈0.35kg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 材质：铝</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工作气压：0.3-0.4（mpa）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喷涂距离：≥6200mm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喷洒面积：≥30mm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规格：直径：≥8cm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总高：≥16cm    </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气泵及喷釉壶，配合吹釉柜使用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39</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高温电窑1</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净空容积：0.08m³</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开门方式：顶开门</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外形尺寸：L917（含温控器）*W886*H860(±10mm)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内膛尺寸：Ø480*H460(±5mm)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棚    板：Ø385（MM）*1块/层（配送一层）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    源：220V±10V（50HZ）</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    率：7.6KW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    流：35A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用户空开：2P/63A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用户线径：2*10+1*6平方国标铜芯线</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热 电 偶：S型，单点控温</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炉    丝：国产合金炉丝，环形布置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智能仪表：4.3寸，6组程序，12段曲线设置</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炉内温差：±3℃</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额定温度：1240℃</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整备质量：≈114KG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框架材质：Q235-A+铝合金</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表面处理：静电喷涂，灰色</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用于作品高温烧制需求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40</w:t>
            </w:r>
          </w:p>
        </w:tc>
        <w:tc>
          <w:tcPr>
            <w:tcW w:w="12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圆窑08窑具套装</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建议适配的棚板马脚窑具(需单独购买）：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棚板：φ385 （6块）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马脚5cm:18个（6层）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马脚8cm：12个（4层)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马脚10cm：9个（3层）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马脚18cm:6个（2层）</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配合高温电窑使用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41</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高温电窑2</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兰焰电窑</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净空容积：0.2m³</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开门方式：侧开门</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外形尺寸：L888*W1165*H1465mm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内膛尺寸：L500*W530*H750/690mm</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棚    板：40*45*1（CM）块/层（配送一层）</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    源：380V±10V（50HZ）</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功    率：21KW</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电    流：32A</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用户空开：4P/63A</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用户线径：3*10+2*6平方国标铜芯线</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热 电 偶：S型，双层控温</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炉    丝：国产合金炉丝，五面布置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智能仪表：7寸，6组程序，12段曲线设置</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炉内温差：±10℃</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额定温度：1240℃</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整备质量：≈516KG</w:t>
            </w:r>
          </w:p>
          <w:p>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框架材质：Q235-A+不锈钢</w:t>
            </w:r>
          </w:p>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表面处理：不锈钢色</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用于作品高温烧制需求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42</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08窑具套装</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规格参数：</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棚板30cm*34cm：8块（8层）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马脚5cm：20个（5层）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马脚8cm：16个（4层）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马脚10cm：12个（3层）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马脚18cm：8个（2层）</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配合高温电窑使用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43</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陶艺拉坯机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外形尺寸:L600*W450(±5mm)*H405-505mm(含水盆高度）</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工作电压：AC220V</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功    率：300W</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转速范围：0-300r/min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转盘直径：</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285mm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整机噪音：≤55dB</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重    量：≈30KG</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    机：碳刷电机</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框架材质：Q235-A</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表面处理：白色台面+黑色静电喷涂</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陶艺体验使用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44</w:t>
            </w:r>
          </w:p>
        </w:tc>
        <w:tc>
          <w:tcPr>
            <w:tcW w:w="12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陶艺拉坯机</w:t>
            </w:r>
          </w:p>
        </w:tc>
        <w:tc>
          <w:tcPr>
            <w:tcW w:w="656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外型尺寸：L580*W420(±5mm)*H440-560mm（含水盆高度）</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支脚可调节</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电压：AC220V</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转盘转速：0～250r/min</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转盘直径：</w:t>
            </w:r>
            <w:r>
              <w:rPr>
                <w:rFonts w:hint="eastAsia" w:ascii="宋体" w:hAnsi="宋体" w:cs="宋体"/>
                <w:i w:val="0"/>
                <w:iCs w:val="0"/>
                <w:color w:val="auto"/>
                <w:kern w:val="0"/>
                <w:sz w:val="21"/>
                <w:szCs w:val="21"/>
                <w:u w:val="none"/>
                <w:lang w:val="en-US" w:eastAsia="zh-CN" w:bidi="ar"/>
              </w:rPr>
              <w:t>≥</w:t>
            </w:r>
            <w:r>
              <w:rPr>
                <w:rFonts w:hint="eastAsia" w:ascii="宋体" w:hAnsi="宋体" w:eastAsia="宋体" w:cs="宋体"/>
                <w:i w:val="0"/>
                <w:iCs w:val="0"/>
                <w:color w:val="auto"/>
                <w:kern w:val="0"/>
                <w:sz w:val="21"/>
                <w:szCs w:val="21"/>
                <w:u w:val="none"/>
                <w:lang w:val="en-US" w:eastAsia="zh-CN" w:bidi="ar"/>
              </w:rPr>
              <w:t xml:space="preserve">315mm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 xml:space="preserve">功率：500w   </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转盘盘面上下跳动≤0.10mm</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整机噪音  ≤65dB</w:t>
            </w:r>
            <w:r>
              <w:rPr>
                <w:rFonts w:hint="eastAsia" w:ascii="宋体" w:hAnsi="宋体" w:eastAsia="宋体" w:cs="宋体"/>
                <w:i w:val="0"/>
                <w:iCs w:val="0"/>
                <w:color w:val="auto"/>
                <w:kern w:val="0"/>
                <w:sz w:val="21"/>
                <w:szCs w:val="21"/>
                <w:u w:val="none"/>
                <w:lang w:val="en-US" w:eastAsia="zh-CN" w:bidi="ar"/>
              </w:rPr>
              <w:br w:type="textWrapping"/>
            </w:r>
            <w:r>
              <w:rPr>
                <w:rFonts w:hint="eastAsia" w:ascii="宋体" w:hAnsi="宋体" w:eastAsia="宋体" w:cs="宋体"/>
                <w:i w:val="0"/>
                <w:iCs w:val="0"/>
                <w:color w:val="auto"/>
                <w:kern w:val="0"/>
                <w:sz w:val="21"/>
                <w:szCs w:val="21"/>
                <w:u w:val="none"/>
                <w:lang w:val="en-US" w:eastAsia="zh-CN" w:bidi="ar"/>
              </w:rPr>
              <w:t>重量：≈38kg</w:t>
            </w:r>
          </w:p>
        </w:tc>
        <w:tc>
          <w:tcPr>
            <w:tcW w:w="75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陶艺体验使用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686"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1"/>
                <w:szCs w:val="21"/>
                <w:u w:val="none"/>
              </w:rPr>
            </w:pPr>
          </w:p>
        </w:tc>
        <w:tc>
          <w:tcPr>
            <w:tcW w:w="1200" w:type="dxa"/>
            <w:tcBorders>
              <w:top w:val="single" w:color="000000" w:sz="4" w:space="0"/>
              <w:left w:val="nil"/>
              <w:bottom w:val="single" w:color="000000" w:sz="4" w:space="0"/>
              <w:right w:val="nil"/>
            </w:tcBorders>
            <w:noWrap/>
            <w:vAlign w:val="center"/>
          </w:tcPr>
          <w:p>
            <w:pPr>
              <w:jc w:val="center"/>
              <w:rPr>
                <w:rFonts w:hint="eastAsia" w:ascii="宋体" w:hAnsi="宋体" w:eastAsia="宋体" w:cs="宋体"/>
                <w:i w:val="0"/>
                <w:iCs w:val="0"/>
                <w:color w:val="auto"/>
                <w:sz w:val="21"/>
                <w:szCs w:val="21"/>
                <w:u w:val="none"/>
              </w:rPr>
            </w:pPr>
          </w:p>
        </w:tc>
        <w:tc>
          <w:tcPr>
            <w:tcW w:w="6568" w:type="dxa"/>
            <w:tcBorders>
              <w:top w:val="single" w:color="000000" w:sz="4" w:space="0"/>
              <w:left w:val="nil"/>
              <w:bottom w:val="single" w:color="000000" w:sz="4" w:space="0"/>
              <w:right w:val="nil"/>
            </w:tcBorders>
            <w:noWrap w:val="0"/>
            <w:vAlign w:val="center"/>
          </w:tcPr>
          <w:p>
            <w:pPr>
              <w:jc w:val="center"/>
              <w:rPr>
                <w:rFonts w:hint="eastAsia" w:ascii="宋体" w:hAnsi="宋体" w:eastAsia="宋体" w:cs="宋体"/>
                <w:i w:val="0"/>
                <w:iCs w:val="0"/>
                <w:color w:val="auto"/>
                <w:sz w:val="21"/>
                <w:szCs w:val="21"/>
                <w:u w:val="none"/>
              </w:rPr>
            </w:pPr>
          </w:p>
        </w:tc>
        <w:tc>
          <w:tcPr>
            <w:tcW w:w="750" w:type="dxa"/>
            <w:tcBorders>
              <w:top w:val="single" w:color="000000" w:sz="4" w:space="0"/>
              <w:left w:val="nil"/>
              <w:bottom w:val="single" w:color="000000" w:sz="4" w:space="0"/>
              <w:right w:val="nil"/>
            </w:tcBorders>
            <w:noWrap/>
            <w:vAlign w:val="center"/>
          </w:tcPr>
          <w:p>
            <w:pPr>
              <w:jc w:val="center"/>
              <w:rPr>
                <w:rFonts w:hint="eastAsia" w:ascii="宋体" w:hAnsi="宋体" w:eastAsia="宋体" w:cs="宋体"/>
                <w:i w:val="0"/>
                <w:iCs w:val="0"/>
                <w:color w:val="auto"/>
                <w:sz w:val="21"/>
                <w:szCs w:val="21"/>
                <w:u w:val="none"/>
              </w:rPr>
            </w:pPr>
          </w:p>
        </w:tc>
        <w:tc>
          <w:tcPr>
            <w:tcW w:w="795" w:type="dxa"/>
            <w:tcBorders>
              <w:top w:val="single" w:color="000000" w:sz="4" w:space="0"/>
              <w:left w:val="nil"/>
              <w:bottom w:val="single" w:color="000000" w:sz="4" w:space="0"/>
              <w:right w:val="nil"/>
            </w:tcBorders>
            <w:noWrap/>
            <w:vAlign w:val="center"/>
          </w:tcPr>
          <w:p>
            <w:pPr>
              <w:jc w:val="center"/>
              <w:rPr>
                <w:rFonts w:hint="eastAsia" w:ascii="宋体" w:hAnsi="宋体" w:eastAsia="宋体" w:cs="宋体"/>
                <w:i w:val="0"/>
                <w:iCs w:val="0"/>
                <w:color w:val="auto"/>
                <w:sz w:val="21"/>
                <w:szCs w:val="21"/>
                <w:u w:val="none"/>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1"/>
                <w:szCs w:val="21"/>
                <w:u w:val="none"/>
              </w:rPr>
            </w:pPr>
          </w:p>
        </w:tc>
      </w:tr>
    </w:tbl>
    <w:p>
      <w:pPr>
        <w:keepNext w:val="0"/>
        <w:keepLines w:val="0"/>
        <w:pageBreakBefore w:val="0"/>
        <w:widowControl w:val="0"/>
        <w:kinsoku/>
        <w:wordWrap/>
        <w:overflowPunct/>
        <w:topLinePunct w:val="0"/>
        <w:bidi w:val="0"/>
        <w:snapToGrid w:val="0"/>
        <w:spacing w:line="360" w:lineRule="auto"/>
        <w:jc w:val="both"/>
        <w:rPr>
          <w:rFonts w:hint="eastAsia" w:ascii="宋体" w:hAnsi="宋体" w:eastAsia="宋体" w:cs="宋体"/>
          <w:b/>
          <w:bCs/>
          <w:color w:val="auto"/>
          <w:szCs w:val="21"/>
          <w:highlight w:val="none"/>
          <w:lang w:eastAsia="zh-CN"/>
        </w:rPr>
      </w:pPr>
      <w:r>
        <w:rPr>
          <w:rFonts w:hint="eastAsia" w:ascii="宋体" w:hAnsi="宋体" w:eastAsia="宋体" w:cs="宋体"/>
          <w:b/>
          <w:bCs/>
          <w:color w:val="auto"/>
          <w:szCs w:val="21"/>
          <w:highlight w:val="none"/>
          <w:lang w:val="en-US" w:eastAsia="zh-CN"/>
        </w:rPr>
        <w:t>注</w:t>
      </w:r>
      <w:r>
        <w:rPr>
          <w:rFonts w:hint="eastAsia" w:ascii="宋体" w:hAnsi="宋体" w:eastAsia="宋体" w:cs="宋体"/>
          <w:b/>
          <w:bCs/>
          <w:color w:val="auto"/>
          <w:szCs w:val="21"/>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bottom"/>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kern w:val="0"/>
          <w:szCs w:val="21"/>
          <w:highlight w:val="none"/>
        </w:rPr>
        <w:t>清单内注明“包干”、“足量提供”的，价格不予调整。</w:t>
      </w:r>
      <w:r>
        <w:rPr>
          <w:rFonts w:hint="eastAsia" w:ascii="宋体" w:hAnsi="宋体" w:eastAsia="宋体" w:cs="宋体"/>
          <w:color w:val="auto"/>
          <w:highlight w:val="none"/>
        </w:rPr>
        <w:t>清单内如有未尽内容，如管道短管、电气、自控所需电源线、信号线（必须用铜芯</w:t>
      </w:r>
      <w:r>
        <w:rPr>
          <w:rFonts w:hint="eastAsia" w:ascii="宋体" w:hAnsi="宋体" w:eastAsia="宋体" w:cs="宋体"/>
          <w:color w:val="auto"/>
          <w:highlight w:val="none"/>
          <w:lang w:val="en-US" w:eastAsia="zh-CN"/>
        </w:rPr>
        <w:t>屏蔽</w:t>
      </w:r>
      <w:r>
        <w:rPr>
          <w:rFonts w:hint="eastAsia" w:ascii="宋体" w:hAnsi="宋体" w:eastAsia="宋体" w:cs="宋体"/>
          <w:color w:val="auto"/>
          <w:highlight w:val="none"/>
        </w:rPr>
        <w:t>线）、套管、支架</w:t>
      </w:r>
      <w:r>
        <w:rPr>
          <w:rFonts w:hint="eastAsia" w:ascii="宋体" w:hAnsi="宋体" w:eastAsia="宋体" w:cs="宋体"/>
          <w:color w:val="auto"/>
          <w:highlight w:val="none"/>
          <w:lang w:eastAsia="zh-CN"/>
        </w:rPr>
        <w:t>、施工各种措施</w:t>
      </w:r>
      <w:r>
        <w:rPr>
          <w:rFonts w:hint="eastAsia" w:ascii="宋体" w:hAnsi="宋体" w:eastAsia="宋体" w:cs="宋体"/>
          <w:color w:val="auto"/>
          <w:highlight w:val="none"/>
        </w:rPr>
        <w:t>等相关必需配件由投标单位自行考虑，足量提供，价格不予调整。</w:t>
      </w:r>
    </w:p>
    <w:p>
      <w:pPr>
        <w:keepNext w:val="0"/>
        <w:keepLines w:val="0"/>
        <w:pageBreakBefore w:val="0"/>
        <w:widowControl w:val="0"/>
        <w:numPr>
          <w:ilvl w:val="0"/>
          <w:numId w:val="0"/>
        </w:numPr>
        <w:kinsoku/>
        <w:wordWrap/>
        <w:overflowPunct/>
        <w:topLinePunct w:val="0"/>
        <w:bidi w:val="0"/>
        <w:spacing w:line="360" w:lineRule="auto"/>
        <w:ind w:left="64" w:leftChars="0" w:firstLine="420" w:firstLineChars="0"/>
        <w:rPr>
          <w:rFonts w:hint="eastAsia" w:ascii="宋体" w:hAnsi="宋体" w:eastAsia="宋体" w:cs="宋体"/>
          <w:color w:val="auto"/>
          <w:highlight w:val="none"/>
        </w:rPr>
      </w:pPr>
      <w:r>
        <w:rPr>
          <w:rFonts w:hint="eastAsia" w:ascii="宋体" w:hAnsi="宋体" w:eastAsia="宋体" w:cs="宋体"/>
          <w:color w:val="auto"/>
          <w:kern w:val="2"/>
          <w:sz w:val="21"/>
          <w:szCs w:val="21"/>
          <w:highlight w:val="none"/>
          <w:lang w:val="en-US" w:eastAsia="zh-CN" w:bidi="ar-SA"/>
        </w:rPr>
        <w:t>2、</w:t>
      </w:r>
      <w:r>
        <w:rPr>
          <w:rFonts w:hint="eastAsia" w:ascii="宋体" w:hAnsi="宋体" w:eastAsia="宋体" w:cs="宋体"/>
          <w:b w:val="0"/>
          <w:bCs w:val="0"/>
          <w:color w:val="auto"/>
          <w:szCs w:val="21"/>
          <w:highlight w:val="none"/>
        </w:rPr>
        <w:t>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招标代理费、乐采云系统服务费（如有）、专利技术、知识产权、售后服务费及其他实物和技术工作收费等所有为完成本项目所发生的全部相关费用均包含在所报价格中。</w:t>
      </w:r>
    </w:p>
    <w:p>
      <w:pPr>
        <w:keepNext w:val="0"/>
        <w:keepLines w:val="0"/>
        <w:pageBreakBefore w:val="0"/>
        <w:widowControl w:val="0"/>
        <w:kinsoku/>
        <w:wordWrap/>
        <w:overflowPunct/>
        <w:topLinePunct w:val="0"/>
        <w:bidi w:val="0"/>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、中标人供货时应向</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提供设备使用说明书、保修卡等必要的有关资料，产品须符合行业质量认证，具有出厂合格证明。</w:t>
      </w:r>
    </w:p>
    <w:p>
      <w:pPr>
        <w:keepNext w:val="0"/>
        <w:keepLines w:val="0"/>
        <w:pageBreakBefore w:val="0"/>
        <w:widowControl w:val="0"/>
        <w:kinsoku/>
        <w:wordWrap/>
        <w:overflowPunct/>
        <w:topLinePunct w:val="0"/>
        <w:bidi w:val="0"/>
        <w:spacing w:line="360" w:lineRule="auto"/>
        <w:ind w:firstLine="420" w:firstLineChars="200"/>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、本次项目的具体事项请投标自行到现场勘察。如本表尺寸规格有误，投标人须无条件修正订制产品满足</w:t>
      </w:r>
      <w:r>
        <w:rPr>
          <w:rFonts w:hint="eastAsia" w:ascii="宋体" w:hAnsi="宋体" w:eastAsia="宋体" w:cs="宋体"/>
          <w:color w:val="auto"/>
          <w:highlight w:val="none"/>
          <w:lang w:eastAsia="zh-CN"/>
        </w:rPr>
        <w:t>采购人</w:t>
      </w:r>
      <w:r>
        <w:rPr>
          <w:rFonts w:hint="eastAsia" w:ascii="宋体" w:hAnsi="宋体" w:eastAsia="宋体" w:cs="宋体"/>
          <w:color w:val="auto"/>
          <w:highlight w:val="none"/>
        </w:rPr>
        <w:t>的要求。如投标人未现场勘察了解情况，招标文件技术尺寸规格中数据错误导致的后果由中标人负责。供应商须注意报价风险。</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bottom"/>
        <w:rPr>
          <w:rFonts w:hint="eastAsia" w:ascii="宋体" w:hAnsi="宋体" w:eastAsia="宋体" w:cs="宋体"/>
          <w:strike w:val="0"/>
          <w:dstrike w:val="0"/>
          <w:color w:val="auto"/>
          <w:kern w:val="0"/>
          <w:szCs w:val="21"/>
          <w:highlight w:val="none"/>
        </w:rPr>
      </w:pPr>
      <w:r>
        <w:rPr>
          <w:rFonts w:hint="eastAsia" w:ascii="宋体" w:hAnsi="宋体" w:eastAsia="宋体" w:cs="宋体"/>
          <w:strike w:val="0"/>
          <w:dstrike w:val="0"/>
          <w:color w:val="auto"/>
          <w:highlight w:val="none"/>
          <w:lang w:val="en-US" w:eastAsia="zh-CN"/>
        </w:rPr>
        <w:t>5、</w:t>
      </w:r>
      <w:r>
        <w:rPr>
          <w:rFonts w:hint="eastAsia" w:ascii="宋体" w:hAnsi="宋体" w:eastAsia="宋体" w:cs="宋体"/>
          <w:strike w:val="0"/>
          <w:dstrike w:val="0"/>
          <w:color w:val="auto"/>
          <w:kern w:val="0"/>
          <w:szCs w:val="21"/>
          <w:highlight w:val="none"/>
          <w:u w:val="none"/>
        </w:rPr>
        <w:t>上述品牌为推荐参考品牌，投标人可在满足技术要求的基础上，自行选择同档次或更高档次的相关产品参加投标。如投标人未注明所选设备品牌的，</w:t>
      </w:r>
      <w:r>
        <w:rPr>
          <w:rFonts w:hint="eastAsia" w:ascii="宋体" w:hAnsi="宋体" w:eastAsia="宋体" w:cs="宋体"/>
          <w:strike w:val="0"/>
          <w:dstrike w:val="0"/>
          <w:color w:val="auto"/>
          <w:kern w:val="0"/>
          <w:szCs w:val="21"/>
          <w:highlight w:val="none"/>
          <w:u w:val="none"/>
          <w:lang w:eastAsia="zh-CN"/>
        </w:rPr>
        <w:t>采购人</w:t>
      </w:r>
      <w:r>
        <w:rPr>
          <w:rFonts w:hint="eastAsia" w:ascii="宋体" w:hAnsi="宋体" w:eastAsia="宋体" w:cs="宋体"/>
          <w:strike w:val="0"/>
          <w:dstrike w:val="0"/>
          <w:color w:val="auto"/>
          <w:kern w:val="0"/>
          <w:szCs w:val="21"/>
          <w:highlight w:val="none"/>
          <w:u w:val="none"/>
        </w:rPr>
        <w:t>有权在参考品牌中选取，投标人需无条件接受，否则</w:t>
      </w:r>
      <w:r>
        <w:rPr>
          <w:rFonts w:hint="eastAsia" w:ascii="宋体" w:hAnsi="宋体" w:eastAsia="宋体" w:cs="宋体"/>
          <w:strike w:val="0"/>
          <w:dstrike w:val="0"/>
          <w:color w:val="auto"/>
          <w:kern w:val="0"/>
          <w:szCs w:val="21"/>
          <w:highlight w:val="none"/>
          <w:u w:val="none"/>
          <w:lang w:eastAsia="zh-CN"/>
        </w:rPr>
        <w:t>采购人</w:t>
      </w:r>
      <w:r>
        <w:rPr>
          <w:rFonts w:hint="eastAsia" w:ascii="宋体" w:hAnsi="宋体" w:eastAsia="宋体" w:cs="宋体"/>
          <w:strike w:val="0"/>
          <w:dstrike w:val="0"/>
          <w:color w:val="auto"/>
          <w:kern w:val="0"/>
          <w:szCs w:val="21"/>
          <w:highlight w:val="none"/>
          <w:u w:val="none"/>
        </w:rPr>
        <w:t>有权取消其中标资格</w:t>
      </w:r>
      <w:r>
        <w:rPr>
          <w:rFonts w:hint="eastAsia" w:ascii="宋体" w:hAnsi="宋体" w:eastAsia="宋体" w:cs="宋体"/>
          <w:strike w:val="0"/>
          <w:dstrike w:val="0"/>
          <w:color w:val="auto"/>
          <w:kern w:val="0"/>
          <w:szCs w:val="21"/>
          <w:highlight w:val="none"/>
        </w:rPr>
        <w:t>。</w:t>
      </w:r>
    </w:p>
    <w:p>
      <w:pPr>
        <w:pStyle w:val="228"/>
        <w:numPr>
          <w:ilvl w:val="0"/>
          <w:numId w:val="0"/>
        </w:numPr>
        <w:tabs>
          <w:tab w:val="left" w:pos="486"/>
          <w:tab w:val="left" w:pos="972"/>
        </w:tabs>
        <w:spacing w:line="360" w:lineRule="auto"/>
        <w:jc w:val="center"/>
        <w:outlineLvl w:val="2"/>
        <w:rPr>
          <w:rFonts w:hint="eastAsia" w:ascii="宋体" w:hAnsi="宋体" w:eastAsia="宋体" w:cs="宋体"/>
          <w:b/>
          <w:bCs/>
          <w:color w:val="auto"/>
          <w:sz w:val="24"/>
          <w:szCs w:val="24"/>
          <w:highlight w:val="none"/>
        </w:rPr>
      </w:pPr>
      <w:bookmarkStart w:id="77" w:name="_Toc5020"/>
      <w:bookmarkStart w:id="78" w:name="_Toc12829"/>
      <w:bookmarkStart w:id="79" w:name="_Toc27281"/>
      <w:bookmarkStart w:id="80" w:name="_Toc2398"/>
      <w:bookmarkStart w:id="81" w:name="_Toc17311"/>
      <w:bookmarkStart w:id="82" w:name="_Toc2039"/>
      <w:bookmarkStart w:id="83" w:name="_Toc26564"/>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rPr>
        <w:t>技术要求</w:t>
      </w:r>
      <w:bookmarkEnd w:id="77"/>
      <w:bookmarkEnd w:id="78"/>
      <w:bookmarkEnd w:id="79"/>
      <w:bookmarkEnd w:id="80"/>
      <w:bookmarkEnd w:id="81"/>
      <w:bookmarkEnd w:id="82"/>
      <w:bookmarkEnd w:id="83"/>
    </w:p>
    <w:p>
      <w:pPr>
        <w:pStyle w:val="44"/>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lang w:eastAsia="zh-CN"/>
        </w:rPr>
        <w:t>一、</w:t>
      </w:r>
      <w:r>
        <w:rPr>
          <w:rFonts w:hint="eastAsia" w:ascii="宋体" w:hAnsi="宋体" w:eastAsia="宋体" w:cs="宋体"/>
          <w:b/>
          <w:color w:val="auto"/>
          <w:kern w:val="2"/>
          <w:sz w:val="21"/>
          <w:szCs w:val="21"/>
          <w:highlight w:val="none"/>
        </w:rPr>
        <w:t>总体要求</w:t>
      </w:r>
    </w:p>
    <w:p>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1、</w:t>
      </w:r>
      <w:r>
        <w:rPr>
          <w:rFonts w:hint="eastAsia" w:ascii="宋体" w:hAnsi="宋体" w:eastAsia="宋体" w:cs="宋体"/>
          <w:color w:val="auto"/>
          <w:kern w:val="2"/>
          <w:sz w:val="21"/>
          <w:szCs w:val="21"/>
          <w:highlight w:val="none"/>
        </w:rPr>
        <w:t>本章节涉工艺设备采购要求，包括设计、制造、供货、验收等。</w:t>
      </w:r>
    </w:p>
    <w:p>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中标人应熟悉有关招标图纸和设计精神，确保设备满足安装要求。</w:t>
      </w:r>
    </w:p>
    <w:p>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3、</w:t>
      </w:r>
      <w:r>
        <w:rPr>
          <w:rFonts w:hint="eastAsia" w:ascii="宋体" w:hAnsi="宋体" w:eastAsia="宋体" w:cs="宋体"/>
          <w:color w:val="auto"/>
          <w:kern w:val="2"/>
          <w:sz w:val="21"/>
          <w:szCs w:val="21"/>
          <w:highlight w:val="none"/>
        </w:rPr>
        <w:t>中标人所供应的设备应满足下文所述技术要求，部分部件可根据其要求采用更优材质。</w:t>
      </w:r>
    </w:p>
    <w:p>
      <w:pPr>
        <w:pStyle w:val="44"/>
        <w:keepNext w:val="0"/>
        <w:keepLines w:val="0"/>
        <w:pageBreakBefore w:val="0"/>
        <w:widowControl w:val="0"/>
        <w:numPr>
          <w:ilvl w:val="0"/>
          <w:numId w:val="0"/>
        </w:numPr>
        <w:tabs>
          <w:tab w:val="left" w:pos="0"/>
        </w:tabs>
        <w:kinsoku/>
        <w:wordWrap/>
        <w:overflowPunct/>
        <w:topLinePunct w:val="0"/>
        <w:autoSpaceDE/>
        <w:autoSpaceDN/>
        <w:bidi w:val="0"/>
        <w:adjustRightInd/>
        <w:snapToGrid/>
        <w:spacing w:before="48" w:beforeLines="20" w:beforeAutospacing="0" w:after="48" w:afterLines="20" w:afterAutospacing="0" w:line="360" w:lineRule="exact"/>
        <w:ind w:firstLine="420" w:firstLineChars="200"/>
        <w:jc w:val="both"/>
        <w:textAlignment w:val="auto"/>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本章所涉及品牌要求，指可采用同等或以上的品牌，如中标人没在技术商务偏离表明确列出偏离，则应按本品牌要求执行。如有列出偏离，则需经过评标委员会评审认可，如评标委员会不认可，则可能导致废标。</w:t>
      </w:r>
    </w:p>
    <w:p>
      <w:pPr>
        <w:pStyle w:val="44"/>
        <w:pageBreakBefore w:val="0"/>
        <w:widowControl w:val="0"/>
        <w:kinsoku/>
        <w:wordWrap/>
        <w:overflowPunct/>
        <w:topLinePunct w:val="0"/>
        <w:autoSpaceDE/>
        <w:autoSpaceDN/>
        <w:bidi w:val="0"/>
        <w:spacing w:line="360" w:lineRule="exact"/>
        <w:jc w:val="center"/>
        <w:textAlignment w:val="auto"/>
        <w:rPr>
          <w:rFonts w:hint="eastAsia" w:ascii="宋体" w:hAnsi="宋体" w:eastAsia="宋体" w:cs="宋体"/>
          <w:b/>
          <w:bCs/>
          <w:color w:val="auto"/>
          <w:highlight w:val="none"/>
        </w:rPr>
      </w:pPr>
      <w:r>
        <w:rPr>
          <w:rFonts w:hint="eastAsia" w:ascii="宋体" w:hAnsi="宋体" w:eastAsia="宋体" w:cs="宋体"/>
          <w:b/>
          <w:color w:val="auto"/>
          <w:kern w:val="2"/>
          <w:sz w:val="21"/>
          <w:szCs w:val="21"/>
          <w:highlight w:val="none"/>
          <w:lang w:eastAsia="zh-CN"/>
        </w:rPr>
        <w:t>二、</w:t>
      </w:r>
      <w:r>
        <w:rPr>
          <w:rFonts w:hint="eastAsia" w:ascii="宋体" w:hAnsi="宋体" w:eastAsia="宋体" w:cs="宋体"/>
          <w:b/>
          <w:color w:val="auto"/>
          <w:kern w:val="2"/>
          <w:sz w:val="21"/>
          <w:szCs w:val="21"/>
          <w:highlight w:val="none"/>
        </w:rPr>
        <w:t>主要设备技术要求</w:t>
      </w:r>
    </w:p>
    <w:p>
      <w:pPr>
        <w:numPr>
          <w:ilvl w:val="0"/>
          <w:numId w:val="0"/>
        </w:numPr>
        <w:spacing w:line="360" w:lineRule="auto"/>
        <w:ind w:leftChars="189"/>
        <w:jc w:val="both"/>
        <w:outlineLvl w:val="9"/>
        <w:rPr>
          <w:rFonts w:hint="eastAsia" w:ascii="宋体" w:hAnsi="宋体" w:eastAsia="宋体" w:cs="宋体"/>
          <w:b w:val="0"/>
          <w:bCs/>
          <w:color w:val="auto"/>
          <w:kern w:val="2"/>
          <w:sz w:val="21"/>
          <w:szCs w:val="21"/>
          <w:highlight w:val="none"/>
          <w:lang w:val="en-US" w:eastAsia="zh-CN"/>
        </w:rPr>
      </w:pPr>
      <w:r>
        <w:rPr>
          <w:rFonts w:hint="eastAsia" w:ascii="宋体" w:hAnsi="宋体" w:eastAsia="宋体" w:cs="宋体"/>
          <w:b w:val="0"/>
          <w:bCs/>
          <w:color w:val="auto"/>
          <w:kern w:val="2"/>
          <w:sz w:val="21"/>
          <w:szCs w:val="21"/>
          <w:highlight w:val="none"/>
          <w:lang w:val="en-US" w:eastAsia="zh-CN"/>
        </w:rPr>
        <w:t>1、详见主要设备及内容清单</w:t>
      </w:r>
    </w:p>
    <w:p>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bookmarkStart w:id="84" w:name="_Toc4815"/>
      <w:bookmarkStart w:id="85" w:name="_Toc30923"/>
      <w:bookmarkStart w:id="86" w:name="_Toc6871"/>
      <w:bookmarkStart w:id="87" w:name="_Toc22368"/>
      <w:bookmarkStart w:id="88" w:name="_Toc30435"/>
      <w:bookmarkStart w:id="89" w:name="_Toc16330"/>
      <w:bookmarkStart w:id="90" w:name="_Toc19166"/>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eastAsia="zh-CN"/>
        </w:rPr>
        <w:t>四</w:t>
      </w:r>
      <w:r>
        <w:rPr>
          <w:rFonts w:hint="eastAsia" w:ascii="宋体" w:hAnsi="宋体" w:eastAsia="宋体" w:cs="宋体"/>
          <w:b/>
          <w:bCs/>
          <w:color w:val="auto"/>
          <w:sz w:val="21"/>
          <w:szCs w:val="21"/>
          <w:highlight w:val="none"/>
        </w:rPr>
        <w:t>）其他要求</w:t>
      </w:r>
      <w:bookmarkEnd w:id="84"/>
      <w:bookmarkEnd w:id="85"/>
      <w:bookmarkEnd w:id="86"/>
      <w:bookmarkEnd w:id="87"/>
      <w:bookmarkEnd w:id="88"/>
      <w:bookmarkEnd w:id="89"/>
      <w:bookmarkEnd w:id="90"/>
    </w:p>
    <w:p>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一、其他说明：</w:t>
      </w:r>
    </w:p>
    <w:p>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1.</w:t>
      </w:r>
      <w:r>
        <w:rPr>
          <w:rFonts w:hint="eastAsia" w:ascii="宋体" w:hAnsi="宋体" w:eastAsia="宋体" w:cs="宋体"/>
          <w:color w:val="auto"/>
          <w:sz w:val="21"/>
          <w:szCs w:val="21"/>
          <w:highlight w:val="none"/>
          <w:shd w:val="clear" w:color="auto" w:fill="FFFFFF"/>
        </w:rPr>
        <w:t>招标文件中的技术要求不得被认为是详尽无遗的，无论规定与否，投标人应提供</w:t>
      </w:r>
      <w:r>
        <w:rPr>
          <w:rFonts w:hint="eastAsia" w:ascii="宋体" w:hAnsi="宋体" w:eastAsia="宋体" w:cs="宋体"/>
          <w:color w:val="auto"/>
          <w:sz w:val="21"/>
          <w:szCs w:val="21"/>
          <w:highlight w:val="none"/>
          <w:shd w:val="clear" w:color="auto" w:fill="FFFFFF"/>
          <w:lang w:eastAsia="zh-CN"/>
        </w:rPr>
        <w:t>采购人</w:t>
      </w:r>
      <w:r>
        <w:rPr>
          <w:rFonts w:hint="eastAsia" w:ascii="宋体" w:hAnsi="宋体" w:eastAsia="宋体" w:cs="宋体"/>
          <w:color w:val="auto"/>
          <w:sz w:val="21"/>
          <w:szCs w:val="21"/>
          <w:highlight w:val="none"/>
          <w:shd w:val="clear" w:color="auto" w:fill="FFFFFF"/>
        </w:rPr>
        <w:t>没有规定但投标人认为完成本项目操作和使用，必要或必须的设备和材料，并应在报价明细表中一一列明。</w:t>
      </w:r>
    </w:p>
    <w:p>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2.</w:t>
      </w:r>
      <w:r>
        <w:rPr>
          <w:rFonts w:hint="eastAsia" w:ascii="宋体" w:hAnsi="宋体" w:eastAsia="宋体" w:cs="宋体"/>
          <w:color w:val="auto"/>
          <w:sz w:val="21"/>
          <w:szCs w:val="21"/>
          <w:highlight w:val="none"/>
          <w:shd w:val="clear" w:color="auto" w:fill="FFFFFF"/>
        </w:rPr>
        <w:t>上述设备如无特别说明应为制造厂商出厂的原装配置。供应商应对清单中所列设备及其所有附件和配置进行报价，不允许只对其中部分设备或内容进行报价。</w:t>
      </w:r>
    </w:p>
    <w:p>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3.</w:t>
      </w:r>
      <w:r>
        <w:rPr>
          <w:rFonts w:hint="eastAsia" w:ascii="宋体" w:hAnsi="宋体" w:eastAsia="宋体" w:cs="宋体"/>
          <w:color w:val="auto"/>
          <w:sz w:val="21"/>
          <w:szCs w:val="21"/>
          <w:highlight w:val="none"/>
          <w:shd w:val="clear" w:color="auto" w:fill="FFFFFF"/>
        </w:rPr>
        <w:t>投标人的投标文件应该真实、全面、完整，应提供完整的项目设计和实施方案，详细阐述对本项目总体要求的理解。包括：功能说明、性能指标及设备选型说明（质量、性能、价格、外观、体积等方面进行比较和选择的理由和过程），明确设备、材料的具体品牌、型号和数量，符合招标文件的要求。</w:t>
      </w:r>
    </w:p>
    <w:p>
      <w:pPr>
        <w:spacing w:line="360" w:lineRule="auto"/>
        <w:ind w:firstLine="420" w:firstLineChars="200"/>
        <w:jc w:val="left"/>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4.</w:t>
      </w:r>
      <w:r>
        <w:rPr>
          <w:rFonts w:hint="eastAsia" w:ascii="宋体" w:hAnsi="宋体" w:eastAsia="宋体" w:cs="宋体"/>
          <w:color w:val="auto"/>
          <w:sz w:val="21"/>
          <w:szCs w:val="21"/>
          <w:highlight w:val="none"/>
          <w:shd w:val="clear" w:color="auto" w:fill="FFFFFF"/>
        </w:rPr>
        <w:t>投标人可以根据实际经验，提出合理化建设，提供最优化方案，以满足整体系统运行需要。</w:t>
      </w:r>
    </w:p>
    <w:p>
      <w:pPr>
        <w:spacing w:line="360" w:lineRule="auto"/>
        <w:ind w:firstLine="422" w:firstLineChars="200"/>
        <w:jc w:val="left"/>
        <w:rPr>
          <w:rFonts w:hint="eastAsia" w:ascii="宋体" w:hAnsi="宋体" w:eastAsia="宋体" w:cs="宋体"/>
          <w:b/>
          <w:bCs/>
          <w:color w:val="auto"/>
          <w:sz w:val="21"/>
          <w:szCs w:val="21"/>
          <w:highlight w:val="none"/>
          <w:shd w:val="clear" w:color="auto" w:fill="FFFFFF"/>
        </w:rPr>
      </w:pPr>
      <w:r>
        <w:rPr>
          <w:rFonts w:hint="eastAsia" w:ascii="宋体" w:hAnsi="宋体" w:eastAsia="宋体" w:cs="宋体"/>
          <w:b/>
          <w:bCs/>
          <w:color w:val="auto"/>
          <w:sz w:val="21"/>
          <w:szCs w:val="21"/>
          <w:highlight w:val="none"/>
          <w:shd w:val="clear" w:color="auto" w:fill="FFFFFF"/>
          <w:lang w:val="en-US" w:eastAsia="zh-CN"/>
        </w:rPr>
        <w:t>5.</w:t>
      </w:r>
      <w:r>
        <w:rPr>
          <w:rFonts w:hint="eastAsia" w:ascii="宋体" w:hAnsi="宋体" w:eastAsia="宋体" w:cs="宋体"/>
          <w:b/>
          <w:bCs/>
          <w:color w:val="auto"/>
          <w:sz w:val="21"/>
          <w:szCs w:val="21"/>
          <w:highlight w:val="none"/>
          <w:shd w:val="clear" w:color="auto" w:fill="FFFFFF"/>
        </w:rPr>
        <w:t>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专利技术、知识产权、售后服务费及其他实物和技术工作收费等所有为完成本项目所发生的全部相关费用均包含在所报价格中。对于采购人提出的技术实现方式、手段和要求，供应商必须无条件服从并完成有关工作，不再另计费用。采购人可根据项目实际适当调整采购需求，最终将根据成交单价和验收情况在成交金额内据实结算。供应商报价时应充分考虑风险，对最终没有发生的采购，相应的金额将从结算总价中扣除。</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lang w:val="en-US" w:eastAsia="zh-CN"/>
        </w:rPr>
        <w:t>6.</w:t>
      </w:r>
      <w:r>
        <w:rPr>
          <w:rFonts w:hint="eastAsia" w:ascii="宋体" w:hAnsi="宋体" w:eastAsia="宋体" w:cs="宋体"/>
          <w:color w:val="auto"/>
          <w:sz w:val="21"/>
          <w:szCs w:val="21"/>
          <w:highlight w:val="none"/>
          <w:shd w:val="clear" w:color="auto" w:fill="FFFFFF"/>
        </w:rPr>
        <w:t>在满足性能技术参数的前提下，</w:t>
      </w:r>
      <w:r>
        <w:rPr>
          <w:rFonts w:hint="eastAsia" w:ascii="宋体" w:hAnsi="宋体" w:eastAsia="宋体" w:cs="宋体"/>
          <w:color w:val="auto"/>
          <w:sz w:val="21"/>
          <w:szCs w:val="21"/>
          <w:highlight w:val="none"/>
          <w:shd w:val="clear" w:color="auto" w:fill="FFFFFF"/>
          <w:lang w:eastAsia="zh-CN"/>
        </w:rPr>
        <w:t>采购人</w:t>
      </w:r>
      <w:r>
        <w:rPr>
          <w:rFonts w:hint="eastAsia" w:ascii="宋体" w:hAnsi="宋体" w:eastAsia="宋体" w:cs="宋体"/>
          <w:color w:val="auto"/>
          <w:sz w:val="21"/>
          <w:szCs w:val="21"/>
          <w:highlight w:val="none"/>
          <w:shd w:val="clear" w:color="auto" w:fill="FFFFFF"/>
        </w:rPr>
        <w:t>可以根据现场的实际情况和要求，对设备数量作适当的调整。引起承包总价变化，最终以中标人实际供货数量并依据中标单价按实结算。</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帮助与配合</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施工期间需要水厂人员进行水泵切换和运行监控，确保供水系统能够正常运行。同时，施工人员需与水厂人员密切配合，确保改造过程顺利进行。</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巡查与运维</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施工期间，施工人员与操作人员需实时巡查现场供水压力情况，以便进行人工调整。施工单位派遣优秀的项目经理、自控工程师、电气工程师及施工人员等技术人员到现场进行运维和支持，水厂增派负责人及技术维护组各一位24小时常驻现场跟踪参与。</w:t>
      </w:r>
    </w:p>
    <w:p>
      <w:pPr>
        <w:numPr>
          <w:ilvl w:val="0"/>
          <w:numId w:val="16"/>
        </w:num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施工设计图、电气布置图、电气原理图、面板等需交于业主校验确认后再实施；</w:t>
      </w:r>
    </w:p>
    <w:p>
      <w:pPr>
        <w:numPr>
          <w:ilvl w:val="0"/>
          <w:numId w:val="16"/>
        </w:num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项目内涉及的软件程序等，版权及著作权归业主所有。</w:t>
      </w:r>
    </w:p>
    <w:p>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eastAsia="zh-CN"/>
        </w:rPr>
        <w:t>1</w:t>
      </w: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、提供的产品应选用质量好的先进技术产品，必须是具有产品制造许可证，产品检测报告及产品合格证的全新产品。</w:t>
      </w:r>
    </w:p>
    <w:p>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2、无论在运送、储存及安装期间，应采取正确的保护措施，以确保有关产品在任何情况下不受破坏。所有受损的产品必须无条件按采购人要求更换并不得增加采购人费用。设备应确保运行安全可靠，操作和维修简便，维护费用低。各种重要的元器件均应有保护系统。</w:t>
      </w:r>
    </w:p>
    <w:p>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3、供应商应在货物运抵现场一周前，向采购人提供安装调试及运行的进度计划表。</w:t>
      </w:r>
    </w:p>
    <w:p>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4、采购需求为项目最低要求，供应商可提供同等档次或更高档次的产品和服务，并提供相应技术参数证明其符合采购需求或优于采购需求，否则视其为不满足采购需求。</w:t>
      </w:r>
    </w:p>
    <w:p>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5、供应商应保证投标文件中相关内容表述与响应偏离表中偏离说明保持一致，若出现不一致的，项目实施时须按响应偏离表中响应情况无条件响应采购人要求，相关损失与责任全部由供应商承担。</w:t>
      </w:r>
    </w:p>
    <w:p>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6、项目需执行国家相关标准、行业标准、地方标准或者其他标准、规范，有最新的标准的，按最新标准执行。地方执行标准不一致时或各标准之间如有差异，以国家、行业及地方较高标准执行。</w:t>
      </w:r>
    </w:p>
    <w:p>
      <w:pPr>
        <w:numPr>
          <w:ilvl w:val="0"/>
          <w:numId w:val="0"/>
        </w:numPr>
        <w:spacing w:line="360" w:lineRule="auto"/>
        <w:ind w:firstLine="420" w:firstLineChars="200"/>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sz w:val="21"/>
          <w:szCs w:val="21"/>
          <w:highlight w:val="none"/>
          <w:lang w:val="en-US" w:eastAsia="zh-CN"/>
        </w:rPr>
        <w:t>1</w:t>
      </w:r>
      <w:r>
        <w:rPr>
          <w:rFonts w:hint="eastAsia" w:ascii="宋体" w:hAnsi="宋体" w:eastAsia="宋体" w:cs="宋体"/>
          <w:b w:val="0"/>
          <w:bCs w:val="0"/>
          <w:color w:val="auto"/>
          <w:sz w:val="21"/>
          <w:szCs w:val="21"/>
          <w:highlight w:val="none"/>
          <w:lang w:eastAsia="zh-CN"/>
        </w:rPr>
        <w:t>7、供应商在服务期限内必须遵守采购人各项管理制度和政府的相关项目管理规定等。</w:t>
      </w:r>
    </w:p>
    <w:p>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二、合同履约期限：</w:t>
      </w:r>
    </w:p>
    <w:p>
      <w:pPr>
        <w:spacing w:line="360" w:lineRule="auto"/>
        <w:ind w:firstLine="420" w:firstLineChars="200"/>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合同履约期限：</w:t>
      </w:r>
      <w:r>
        <w:rPr>
          <w:rFonts w:hint="eastAsia" w:ascii="宋体" w:hAnsi="宋体" w:eastAsia="宋体" w:cs="宋体"/>
          <w:color w:val="auto"/>
          <w:sz w:val="21"/>
          <w:szCs w:val="21"/>
          <w:highlight w:val="none"/>
          <w:lang w:eastAsia="zh-CN"/>
        </w:rPr>
        <w:t>合同签订后</w:t>
      </w:r>
      <w:r>
        <w:rPr>
          <w:rFonts w:hint="eastAsia" w:ascii="宋体" w:hAnsi="宋体" w:eastAsia="宋体" w:cs="宋体"/>
          <w:color w:val="auto"/>
          <w:sz w:val="21"/>
          <w:szCs w:val="21"/>
          <w:highlight w:val="none"/>
          <w:u w:val="single"/>
          <w:lang w:eastAsia="zh-CN"/>
        </w:rPr>
        <w:t xml:space="preserve">  </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u w:val="single"/>
          <w:lang w:eastAsia="zh-CN"/>
        </w:rPr>
        <w:t xml:space="preserve">  </w:t>
      </w:r>
      <w:r>
        <w:rPr>
          <w:rFonts w:hint="eastAsia" w:ascii="宋体" w:hAnsi="宋体" w:eastAsia="宋体" w:cs="宋体"/>
          <w:color w:val="auto"/>
          <w:sz w:val="21"/>
          <w:szCs w:val="21"/>
          <w:highlight w:val="none"/>
          <w:lang w:eastAsia="zh-CN"/>
        </w:rPr>
        <w:t>日历天内完成交货及安装，交付采购人使用并验收合格</w:t>
      </w:r>
      <w:r>
        <w:rPr>
          <w:rFonts w:hint="eastAsia" w:ascii="宋体" w:hAnsi="宋体" w:eastAsia="宋体" w:cs="宋体"/>
          <w:bCs/>
          <w:color w:val="auto"/>
          <w:sz w:val="21"/>
          <w:szCs w:val="21"/>
          <w:highlight w:val="none"/>
        </w:rPr>
        <w:t>。</w:t>
      </w:r>
    </w:p>
    <w:p>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项目地点:</w:t>
      </w:r>
      <w:r>
        <w:rPr>
          <w:rFonts w:hint="eastAsia" w:ascii="宋体" w:hAnsi="宋体" w:eastAsia="宋体" w:cs="宋体"/>
          <w:color w:val="auto"/>
          <w:sz w:val="21"/>
          <w:szCs w:val="21"/>
          <w:highlight w:val="none"/>
          <w:lang w:eastAsia="zh-CN"/>
        </w:rPr>
        <w:t>浙江省瑞安市陶山镇（详细地点以合同签订为准）</w:t>
      </w:r>
      <w:r>
        <w:rPr>
          <w:rFonts w:hint="eastAsia" w:ascii="宋体" w:hAnsi="宋体" w:eastAsia="宋体" w:cs="宋体"/>
          <w:color w:val="auto"/>
          <w:sz w:val="21"/>
          <w:szCs w:val="21"/>
          <w:highlight w:val="none"/>
        </w:rPr>
        <w:t>。</w:t>
      </w:r>
    </w:p>
    <w:p>
      <w:pPr>
        <w:pStyle w:val="19"/>
        <w:spacing w:line="360" w:lineRule="auto"/>
        <w:rPr>
          <w:rFonts w:hint="eastAsia" w:ascii="宋体" w:hAnsi="宋体" w:eastAsia="宋体" w:cs="宋体"/>
          <w:color w:val="auto"/>
          <w:sz w:val="21"/>
          <w:szCs w:val="21"/>
          <w:highlight w:val="none"/>
        </w:rPr>
      </w:pPr>
    </w:p>
    <w:p>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bookmarkStart w:id="91" w:name="_Toc1243"/>
      <w:bookmarkStart w:id="92" w:name="_Toc6720"/>
      <w:bookmarkStart w:id="93" w:name="_Toc26620"/>
      <w:bookmarkStart w:id="94" w:name="_Toc5160"/>
      <w:bookmarkStart w:id="95" w:name="_Toc742"/>
      <w:bookmarkStart w:id="96" w:name="_Toc496163882"/>
      <w:bookmarkStart w:id="97" w:name="_Toc7575"/>
      <w:bookmarkStart w:id="98" w:name="_Toc3536"/>
      <w:bookmarkStart w:id="99" w:name="_Toc496078332"/>
      <w:bookmarkStart w:id="100" w:name="_Toc1147"/>
      <w:bookmarkStart w:id="101" w:name="_Toc496166825"/>
      <w:bookmarkStart w:id="102" w:name="_Toc691"/>
      <w:r>
        <w:rPr>
          <w:rFonts w:hint="eastAsia" w:ascii="宋体" w:hAnsi="宋体" w:eastAsia="宋体" w:cs="宋体"/>
          <w:b/>
          <w:bCs/>
          <w:color w:val="auto"/>
          <w:sz w:val="21"/>
          <w:szCs w:val="21"/>
          <w:highlight w:val="none"/>
        </w:rPr>
        <w:t>（五）设备的到货、安装、调试和验收</w:t>
      </w:r>
      <w:bookmarkEnd w:id="91"/>
      <w:bookmarkEnd w:id="92"/>
      <w:bookmarkEnd w:id="93"/>
      <w:bookmarkEnd w:id="94"/>
      <w:bookmarkEnd w:id="95"/>
      <w:bookmarkEnd w:id="96"/>
      <w:bookmarkEnd w:id="97"/>
      <w:bookmarkEnd w:id="98"/>
      <w:bookmarkEnd w:id="99"/>
      <w:bookmarkEnd w:id="100"/>
      <w:bookmarkEnd w:id="101"/>
      <w:bookmarkEnd w:id="102"/>
    </w:p>
    <w:p>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一、到货</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设备到达现场后，中标人必须派员到现场与采购人一起开箱检验，按供货清单验收,若有缺少或损坏，中标人应立即补足或更换全新同规格产品，并承担相关费用直至使采购人满意为止。</w:t>
      </w:r>
    </w:p>
    <w:p>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二、安装</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1、接采购人通知，供应商应向采购人提交安装调试计划。安装调试计划参考以下内容：安装调试手册、安装调试进度安排、安装方式、调试方法、调试工具的准备、安装调试环境的准备、其他需要的准备工作；</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2、安装调试开始之前，由供应商和采购人共同清点，补充、更换；</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3、安装调试工作应在采购人代表在场时进行，经采购人确认后在采购人指定时间安装到指定位置，不得在上课时间安装调试设备，设备安装后，采购人按国家标准、厂方标准及合同技术协议指标逐一进行质量验收。配套电源、线缆、工具等满足设备工作安全性、稳定性、兼容性以及接口一致性，随机资料应完备。各项指标均符合国家标准以及本项目技术指标要求；</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4、安装调试过程中，由于供应商原因造成的缺损由供应商负责补充、更换；安装调试完成后，供应商应向采购人提供安装调试报告，安装调试报告至少应包括以下内容：系统安装调试结果、安装调试中出现的问题及解决办法；</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5、交货验收完毕后，中标人有责任及时通告产品问题信息，并提供相应的解决措施，包括更换。</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6、中标人应提供定期回访，就产品使用情况进行定期检查，便于及时发现问题以及隐患。</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7、本项目为“交钥匙”项目，报价中应包含产品的安装调试费用。所有产品必须全部由中标人安装和调试，所需安装材料、耗材等由中标人负担。本项目不存在额外安装调试费用。安装调试人员必须是持证的专业技术人员，特殊工种人员应持证上岗，具备相应的特种作业资格证。项目实施过程中，中标人应设置一定比例的费用，并采取一切有效措施确保现场人员人身及财产安全，如水、电、火、高空作业人员安全防护、物体打击防护措施等，项目实施期间发生安全事故或财产损失的，由中标人承担一切后果和全部赔偿责任。</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8、成品保护：供应商应制定有针对性的成品保护措施，确保项目实施过程中采购人的既有设施设备不受损坏。“成品”包括已完工成品及未纳入本次项目实施范围的成品，包括但不限于地面砖、水泥混凝土路面、建筑外立面、室内现状家具、设备、地板、墙面、窗户（台）、门等。因供应商原因造成成品损坏的，供应商负责原样恢复（“原样”是指不低于原成品的外观、品质、规格、型号、估价等），且不得向采购人索取费用补偿或交货期延期。中标人应对各项设施拍照留底，项目实施后有对应照片建档。</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9、贯彻执行“安全第一，预防为主”的方针，做好各项防护工作，安全生产做到经常化、制度化、规范化。认真落实各项安全管理制度，坚决杜绝违章指挥和违章作业，中标人应对其员工不断进行安全教育，并及时检查，发现隐患及时排除。</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10、杜绝死亡、重伤事故发生。在项目实施过程中如发生伤亡等事故由中标人负责处理并承担所有损失。中标人所有人员均与中标人发生聘用或劳动关系，与采购人不存在任何人事、聘用或劳动关系。中标人所有项目人员与中标人发生的劳动、工伤事故等矛盾和纠纷，均由中标人自行解决并承担所有责任。</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11、在项目实施过程中，供应商应合理安排时间段、采取积极措施，减少噪音污染，避免影响教职工、学生的正常教学和生活。同时须对项目人员严格管理，文明着装、规范行为，禁止在项目实施范围外随意走动。如供应商对人员管理不到位，造成不良影响或后果，采购人有权追究供应商责任，包括但不限于视情节轻重给予相应经济处罚等。</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12、项目实施过程中供应商需保证服从采购人的现场管理和采购人安全管理工作，并做好现场综合协调管理工作。</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13、中标人应遵守有关环境保护的法律法规，并应采取有效措施控制项目现场的各种粉尘、废气、废弃物、噪声、振动等对周围环境造成的污染和危害。</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14、中标人应遵守有关的安全、劳动保护、防火和防毒的法律法规，应建立相应的管理制度并配备必要的设备、器具和标识。</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15、严禁损坏房屋原有的绝热设施，严禁损害受力钢筋，严禁超荷载集中堆放物品，严禁在预制混凝土空心楼板上打孔、安装、埋件。</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16、本项目电器安装应符合设计要求和国家现行标准的规定，严禁不经穿管直接埋设电线。</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17、临时用电应避开易燃、易爆物品堆放处，暂停工作时应切断电源。所有用水用电用气等成本已包含在报价中。</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18、临时用水管不得有破损、渗漏，节约用水，暂停工作时应切断水源，并对所有的接头做好保护，若因管理不善导致水资源浪费或者用水中断，供应商应及时处理并承担相应责任。</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19、现场不得进行与项目无关的任何工作，严禁在现场酗酒、吸烟及黄赌毒等非法活动，无关人员严禁进入现场。中标人须服从采购单位、当地公安、消防、安监、城管等有关部门的管理，做好配合工作，建立消防安全责任制，确定消防安全管理人，制订用火、用电、用油、用气等各项现场消防安全制度、 操作规程和灭火、应急疏散预案。</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20、项目实施完毕的现场整洁程度要求恢复至实施前现场水平，供应商未按要求恢复项目现场卫生的，采购人有权拒绝项目验收，相关交货期和费用损失由供应商自行承担。</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21、中标人项目经理须全程随工进行管理，即现场作业或作业人员在场时项目经理必须在场进行管理；工人离场确保水电安全断开、门窗关闭报备物业及安保部门确认后，管理人员方能离场。</w:t>
      </w:r>
    </w:p>
    <w:p>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三、调试</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设备就位、校准后，中标人应按事先被采购人认可的调试验收计划对设备进行调试，并对设备所标注的各项技术指标进行测试，测试报告将在设备验收完毕后提交给采购人，但中标人应对测试的各种数据的真实性负责。采购人也可以要求具有检测资质的第三方用专用仪器设备进行功能、性能测试，中标人负责测试和调试所需的一切费用，并负责解决在调试和试运行时出现的任何质量问题。</w:t>
      </w:r>
    </w:p>
    <w:p>
      <w:pPr>
        <w:numPr>
          <w:ilvl w:val="0"/>
          <w:numId w:val="0"/>
        </w:numPr>
        <w:spacing w:line="360" w:lineRule="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四、验收</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1、合同货物产品在中标人送达、安装、调试完毕五日内，由采购人按照合同货物参数及技术要求进行质量验收，并签署验收意见。对验收不合格的，中标人应当无条件进行重新返修、更换，直至采购人验收合格为止，所需费用由中标人自行承担，同时，中标人应当承担相应违约责任。经采购人催告，中标人仍无法提供验收合格的货物的，采购人有权解除合同并要求中标人承担相应违约责任。</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2、对已验收的货物，采购人如发现存在潜在的质量问题，应书面形式在质量保证期内向中标人提出异议，中标人应当在收到异议后的十日内予以书面答复（十日内不书面答复的视为中标人同意采购人异议）。经确认存在质量问题且属于原厂家更换范畴的，中标人应及时给予免费更换，并由采购人重新组织验收。</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3、交付的货物数量和质量均符合本合同约定的，由采购人和中标人出具最终验收报告，但该报告不能免除中标人对货物由于设计、工艺或材料的缺陷而产生的故障或质量问题应承担的责任。全部货物经采购人验收合格后，货物的风险转移到采购人，此前货物灭失、损坏等风险由中标人承担。</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4、本次采购货物产品如涉及地埋，中标人必须负责全部的施工、地面恢复，地埋组件等，所有工作必须符合国家及行业标准。进行地埋等隐蔽工程施工时必须告知采购人，并且进行施工现场的拍照。照片将作为使用单位的验收依据之一。 </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5、交付验收标准：依次序对照适用标准为： </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1) 符合中华人民共和国国家安全质量标准、环保标准或行业标准； </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2) 符合招标文件和响应承诺中采购人认可的合理最佳配置、参数及各项要求； </w:t>
      </w:r>
    </w:p>
    <w:p>
      <w:pPr>
        <w:spacing w:line="360" w:lineRule="auto"/>
        <w:ind w:firstLine="420" w:firstLineChars="200"/>
        <w:jc w:val="left"/>
        <w:rPr>
          <w:rFonts w:hint="eastAsia" w:ascii="宋体" w:hAnsi="宋体" w:eastAsia="宋体" w:cs="宋体"/>
          <w:color w:val="auto"/>
          <w:sz w:val="21"/>
          <w:szCs w:val="21"/>
          <w:highlight w:val="none"/>
          <w:shd w:val="clear" w:color="auto" w:fill="FFFFFF"/>
          <w:lang w:val="en-US" w:eastAsia="zh-CN"/>
        </w:rPr>
      </w:pPr>
      <w:r>
        <w:rPr>
          <w:rFonts w:hint="eastAsia" w:ascii="宋体" w:hAnsi="宋体" w:eastAsia="宋体" w:cs="宋体"/>
          <w:color w:val="auto"/>
          <w:sz w:val="21"/>
          <w:szCs w:val="21"/>
          <w:highlight w:val="none"/>
          <w:shd w:val="clear" w:color="auto" w:fill="FFFFFF"/>
          <w:lang w:val="en-US" w:eastAsia="zh-CN"/>
        </w:rPr>
        <w:t xml:space="preserve">3) 货物来源国官方标准。上述标准必须是有关官方机构发布的最新版本的标准； </w:t>
      </w:r>
    </w:p>
    <w:p>
      <w:pPr>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shd w:val="clear" w:color="auto" w:fill="FFFFFF"/>
          <w:lang w:val="en-US" w:eastAsia="zh-CN"/>
        </w:rPr>
        <w:t>4) 如招标文件的技术要求或招标文件中承诺的技术要求，高于国家或行业标准，以高的标准进行验收。</w:t>
      </w:r>
    </w:p>
    <w:p>
      <w:pPr>
        <w:numPr>
          <w:ilvl w:val="0"/>
          <w:numId w:val="0"/>
        </w:numPr>
        <w:tabs>
          <w:tab w:val="left" w:pos="540"/>
          <w:tab w:val="left" w:pos="576"/>
        </w:tabs>
        <w:snapToGrid w:val="0"/>
        <w:spacing w:line="360" w:lineRule="auto"/>
        <w:rPr>
          <w:rFonts w:hint="eastAsia" w:ascii="宋体" w:hAnsi="宋体" w:eastAsia="宋体" w:cs="宋体"/>
          <w:b/>
          <w:bCs/>
          <w:snapToGrid w:val="0"/>
          <w:color w:val="auto"/>
          <w:sz w:val="21"/>
          <w:szCs w:val="21"/>
          <w:highlight w:val="none"/>
        </w:rPr>
      </w:pPr>
      <w:r>
        <w:rPr>
          <w:rFonts w:hint="eastAsia" w:ascii="宋体" w:hAnsi="宋体" w:eastAsia="宋体" w:cs="宋体"/>
          <w:b/>
          <w:bCs/>
          <w:snapToGrid w:val="0"/>
          <w:color w:val="auto"/>
          <w:sz w:val="21"/>
          <w:szCs w:val="21"/>
          <w:highlight w:val="none"/>
          <w:lang w:val="en-US" w:eastAsia="zh-CN"/>
        </w:rPr>
        <w:t>五、</w:t>
      </w:r>
      <w:r>
        <w:rPr>
          <w:rFonts w:hint="eastAsia" w:ascii="宋体" w:hAnsi="宋体" w:eastAsia="宋体" w:cs="宋体"/>
          <w:b/>
          <w:bCs/>
          <w:snapToGrid w:val="0"/>
          <w:color w:val="auto"/>
          <w:sz w:val="21"/>
          <w:szCs w:val="21"/>
          <w:highlight w:val="none"/>
        </w:rPr>
        <w:t>技术文件资料的交付</w:t>
      </w:r>
    </w:p>
    <w:p>
      <w:pPr>
        <w:tabs>
          <w:tab w:val="left" w:pos="540"/>
          <w:tab w:val="left" w:pos="576"/>
        </w:tabs>
        <w:snapToGrid w:val="0"/>
        <w:spacing w:line="360" w:lineRule="auto"/>
        <w:ind w:left="420"/>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设备交货同时提供下列资料：</w:t>
      </w:r>
    </w:p>
    <w:p>
      <w:pPr>
        <w:keepNext w:val="0"/>
        <w:keepLines w:val="0"/>
        <w:pageBreakBefore w:val="0"/>
        <w:widowControl w:val="0"/>
        <w:tabs>
          <w:tab w:val="left" w:pos="540"/>
          <w:tab w:val="left" w:pos="57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①、设备布局图等相关图纸，使用说明。</w:t>
      </w:r>
    </w:p>
    <w:p>
      <w:pPr>
        <w:keepNext w:val="0"/>
        <w:keepLines w:val="0"/>
        <w:pageBreakBefore w:val="0"/>
        <w:widowControl w:val="0"/>
        <w:tabs>
          <w:tab w:val="left" w:pos="540"/>
          <w:tab w:val="left" w:pos="57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②、随机的易损件、备品备件及特殊专用工具清单。</w:t>
      </w:r>
    </w:p>
    <w:p>
      <w:pPr>
        <w:keepNext w:val="0"/>
        <w:keepLines w:val="0"/>
        <w:pageBreakBefore w:val="0"/>
        <w:widowControl w:val="0"/>
        <w:tabs>
          <w:tab w:val="left" w:pos="540"/>
          <w:tab w:val="left" w:pos="576"/>
        </w:tabs>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snapToGrid w:val="0"/>
          <w:color w:val="auto"/>
          <w:sz w:val="21"/>
          <w:szCs w:val="21"/>
          <w:highlight w:val="none"/>
        </w:rPr>
      </w:pPr>
      <w:r>
        <w:rPr>
          <w:rFonts w:hint="eastAsia" w:ascii="宋体" w:hAnsi="宋体" w:eastAsia="宋体" w:cs="宋体"/>
          <w:snapToGrid w:val="0"/>
          <w:color w:val="auto"/>
          <w:sz w:val="21"/>
          <w:szCs w:val="21"/>
          <w:highlight w:val="none"/>
        </w:rPr>
        <w:t>③、设备生产厂家的产品检测证书、出厂检验报告、合格证书、产品说明书、中文技术资料、中文操作手册和相关图纸等。</w:t>
      </w:r>
    </w:p>
    <w:p>
      <w:pPr>
        <w:tabs>
          <w:tab w:val="left" w:pos="540"/>
          <w:tab w:val="left" w:pos="576"/>
        </w:tabs>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snapToGrid w:val="0"/>
          <w:color w:val="auto"/>
          <w:sz w:val="21"/>
          <w:szCs w:val="21"/>
          <w:highlight w:val="none"/>
        </w:rPr>
        <w:t>④、设备随机提供的装箱清单（每箱一单）。</w:t>
      </w:r>
    </w:p>
    <w:p>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bookmarkStart w:id="103" w:name="_Toc29654"/>
      <w:bookmarkStart w:id="104" w:name="_Toc10119"/>
      <w:bookmarkStart w:id="105" w:name="_Toc27615"/>
      <w:bookmarkStart w:id="106" w:name="_Toc14968"/>
      <w:bookmarkStart w:id="107" w:name="_Toc22241"/>
      <w:bookmarkStart w:id="108" w:name="_Toc18311"/>
      <w:bookmarkStart w:id="109" w:name="_Toc31354"/>
      <w:r>
        <w:rPr>
          <w:rFonts w:hint="eastAsia" w:ascii="宋体" w:hAnsi="宋体" w:eastAsia="宋体" w:cs="宋体"/>
          <w:b/>
          <w:bCs/>
          <w:color w:val="auto"/>
          <w:sz w:val="21"/>
          <w:szCs w:val="21"/>
          <w:highlight w:val="none"/>
        </w:rPr>
        <w:t>（六）货物质量保证</w:t>
      </w:r>
      <w:bookmarkEnd w:id="103"/>
      <w:bookmarkEnd w:id="104"/>
      <w:bookmarkEnd w:id="105"/>
      <w:bookmarkEnd w:id="106"/>
      <w:bookmarkEnd w:id="107"/>
      <w:bookmarkEnd w:id="108"/>
      <w:bookmarkEnd w:id="109"/>
    </w:p>
    <w:p>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bookmarkStart w:id="110" w:name="_Toc19940"/>
      <w:bookmarkStart w:id="111" w:name="_Toc10643"/>
      <w:bookmarkStart w:id="112" w:name="_Toc27462"/>
      <w:bookmarkStart w:id="113" w:name="_Toc17966"/>
      <w:bookmarkStart w:id="114" w:name="_Toc30074"/>
      <w:bookmarkStart w:id="115" w:name="_Toc21837"/>
      <w:bookmarkStart w:id="116" w:name="_Toc9010"/>
      <w:r>
        <w:rPr>
          <w:rFonts w:hint="eastAsia" w:ascii="宋体" w:hAnsi="宋体" w:eastAsia="宋体" w:cs="宋体"/>
          <w:b w:val="0"/>
          <w:bCs/>
          <w:color w:val="auto"/>
          <w:sz w:val="21"/>
          <w:szCs w:val="21"/>
          <w:highlight w:val="none"/>
        </w:rPr>
        <w:t xml:space="preserve">1、质保期限：质保期起算时间必须是从提供所有货物产品自最终验收合格、签署验收合格证书并办理移交手续之日起不少于1年的质量保证期，在质量保证期内免费实行“三包”服务。1年内如发生产品质量故障问题的，中标人应无偿更换同型号的全新产品。所有软件终身免费升级。 </w:t>
      </w:r>
    </w:p>
    <w:p>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w:t>
      </w:r>
      <w:r>
        <w:rPr>
          <w:rFonts w:hint="eastAsia" w:ascii="宋体" w:hAnsi="宋体" w:eastAsia="宋体" w:cs="宋体"/>
          <w:b w:val="0"/>
          <w:bCs/>
          <w:color w:val="auto"/>
          <w:sz w:val="21"/>
          <w:szCs w:val="21"/>
          <w:highlight w:val="none"/>
          <w:lang w:eastAsia="zh-CN"/>
        </w:rPr>
        <w:t>质保</w:t>
      </w:r>
      <w:r>
        <w:rPr>
          <w:rFonts w:hint="eastAsia" w:ascii="宋体" w:hAnsi="宋体" w:eastAsia="宋体" w:cs="宋体"/>
          <w:b w:val="0"/>
          <w:bCs/>
          <w:color w:val="auto"/>
          <w:sz w:val="21"/>
          <w:szCs w:val="21"/>
          <w:highlight w:val="none"/>
        </w:rPr>
        <w:t>服务：</w:t>
      </w:r>
    </w:p>
    <w:p>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1）质保期内中标人必须提供</w:t>
      </w:r>
      <w:r>
        <w:rPr>
          <w:rFonts w:hint="eastAsia" w:ascii="宋体" w:hAnsi="宋体" w:eastAsia="宋体" w:cs="宋体"/>
          <w:b w:val="0"/>
          <w:bCs/>
          <w:color w:val="auto"/>
          <w:sz w:val="21"/>
          <w:szCs w:val="21"/>
          <w:highlight w:val="none"/>
          <w:u w:val="single"/>
        </w:rPr>
        <w:t>7*24</w:t>
      </w:r>
      <w:r>
        <w:rPr>
          <w:rFonts w:hint="eastAsia" w:ascii="宋体" w:hAnsi="宋体" w:eastAsia="宋体" w:cs="宋体"/>
          <w:b w:val="0"/>
          <w:bCs/>
          <w:color w:val="auto"/>
          <w:sz w:val="21"/>
          <w:szCs w:val="21"/>
          <w:highlight w:val="none"/>
        </w:rPr>
        <w:t xml:space="preserve">小时响应服务，所有维护服务方式均为成交中标人上门服务，即由中标人派人员到采购人及用户使用现场处理；由此产生的一切费用均由中标人承担，中标人不得向采购人收取费用。 </w:t>
      </w:r>
    </w:p>
    <w:p>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2）质保期内，中标人每年提供一次对本次所供货物(含工程)的免费巡检。保证货物(含工程)正常使用。中标人需提供</w:t>
      </w:r>
      <w:r>
        <w:rPr>
          <w:rFonts w:hint="eastAsia" w:ascii="宋体" w:hAnsi="宋体" w:eastAsia="宋体" w:cs="宋体"/>
          <w:b w:val="0"/>
          <w:bCs/>
          <w:color w:val="auto"/>
          <w:sz w:val="21"/>
          <w:szCs w:val="21"/>
          <w:highlight w:val="none"/>
          <w:u w:val="single"/>
        </w:rPr>
        <w:t xml:space="preserve"> 24 </w:t>
      </w:r>
      <w:r>
        <w:rPr>
          <w:rFonts w:hint="eastAsia" w:ascii="宋体" w:hAnsi="宋体" w:eastAsia="宋体" w:cs="宋体"/>
          <w:b w:val="0"/>
          <w:bCs/>
          <w:color w:val="auto"/>
          <w:sz w:val="21"/>
          <w:szCs w:val="21"/>
          <w:highlight w:val="none"/>
        </w:rPr>
        <w:t xml:space="preserve">小时电话服务，在接到采购人的服务通知后，实时回应；需到现场解决的，维修人员应在 4 小时内到达现场，并对故障进行及时检修、排除。如中标人未在规定时间排除故障，采购人有权委托第三方或自行修理，相关费用由中标人支付。 </w:t>
      </w:r>
    </w:p>
    <w:p>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3）质量保证期内售后服务费用由中标人承担。质量保证期期满后，中标人如继续为采购人提供维护、维保服务，由此发生的费用由采购人承担。服务、零部件价格不得高于本次成交价格。 </w:t>
      </w:r>
    </w:p>
    <w:p>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0" w:firstLineChars="200"/>
        <w:jc w:val="left"/>
        <w:textAlignment w:val="auto"/>
        <w:outlineLvl w:val="2"/>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4）中标人的其它售后服务承诺属于本合同的一部分，如果有不同约定的，以服务水平和层级更高的为准。</w:t>
      </w:r>
    </w:p>
    <w:p>
      <w:pPr>
        <w:pStyle w:val="228"/>
        <w:keepNext w:val="0"/>
        <w:keepLines w:val="0"/>
        <w:pageBreakBefore w:val="0"/>
        <w:widowControl w:val="0"/>
        <w:tabs>
          <w:tab w:val="left" w:pos="486"/>
          <w:tab w:val="left" w:pos="972"/>
        </w:tabs>
        <w:kinsoku/>
        <w:wordWrap/>
        <w:overflowPunct/>
        <w:topLinePunct w:val="0"/>
        <w:autoSpaceDE/>
        <w:autoSpaceDN/>
        <w:bidi w:val="0"/>
        <w:adjustRightInd/>
        <w:snapToGrid/>
        <w:spacing w:line="360" w:lineRule="auto"/>
        <w:ind w:firstLine="422" w:firstLineChars="200"/>
        <w:jc w:val="center"/>
        <w:textAlignment w:val="auto"/>
        <w:outlineLvl w:val="2"/>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（七）</w:t>
      </w:r>
      <w:bookmarkEnd w:id="110"/>
      <w:bookmarkEnd w:id="111"/>
      <w:bookmarkEnd w:id="112"/>
      <w:bookmarkEnd w:id="113"/>
      <w:bookmarkEnd w:id="114"/>
      <w:bookmarkEnd w:id="115"/>
      <w:bookmarkEnd w:id="116"/>
      <w:r>
        <w:rPr>
          <w:rFonts w:hint="eastAsia" w:ascii="宋体" w:hAnsi="宋体" w:eastAsia="宋体" w:cs="宋体"/>
          <w:b/>
          <w:bCs/>
          <w:color w:val="auto"/>
          <w:sz w:val="21"/>
          <w:szCs w:val="21"/>
          <w:highlight w:val="none"/>
          <w:lang w:eastAsia="zh-CN"/>
        </w:rPr>
        <w:t>项目人员</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供应商拟派的项目经理全面负责项目管理工作并做好资料整理，尽职尽责，未经采购人书面同意供应商不得任意变更驻场项目成员，项目成员在服务期限内被发现违纪违规行为或不能胜任情形的，采购人有权要求更换人员或单方面终止合同。</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2、采购人不提供人员办公及食宿相关场所和条件，供应商自行解决，并将相关成本纳入投标报价中综合考虑，不得要求采购人提供相应场所或便利条件，或额外支付费用，或索取交货期补偿等。</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3、供应商需根据本项目的特点、质量要求高、交货期紧张等实际因素配备足够的、满足项目质量技术要求的作业人员，确保在规定交货期内保质保量完成；</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4、供应商应对其履行合同所雇佣的全部人员严格要求，保障所有人员项目实施场地与生活区、办公区两点一线，不得在采购单位办公场所内流动、玩耍、逗留等，中标人须对全部雇佣人员、车辆在采购单位所在地发生的工伤事故、意外事故、财产损失等承担全部责任，同时采购人有权追究供应商责任。</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5、供应商在合同履行期间应遵守我国《劳动法》《劳动合同法》等法律法规规定，按时足额支付工人工资，办理社会保险等，相关费用由供应商承担，因上述相关事宜管理不到位等引发的事件、延误和给采购人造成的损失由供应商承担。</w:t>
      </w:r>
    </w:p>
    <w:p>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lang w:eastAsia="zh-CN"/>
        </w:rPr>
      </w:pPr>
      <w:bookmarkStart w:id="117" w:name="_Toc13334"/>
      <w:bookmarkStart w:id="118" w:name="_Toc1869"/>
      <w:bookmarkStart w:id="119" w:name="_Toc13260"/>
      <w:bookmarkStart w:id="120" w:name="_Toc17538"/>
      <w:bookmarkStart w:id="121" w:name="_Toc12324"/>
      <w:bookmarkStart w:id="122" w:name="_Toc24245"/>
      <w:bookmarkStart w:id="123" w:name="_Toc22189"/>
      <w:r>
        <w:rPr>
          <w:rFonts w:hint="eastAsia" w:ascii="宋体" w:hAnsi="宋体" w:eastAsia="宋体" w:cs="宋体"/>
          <w:b/>
          <w:bCs/>
          <w:color w:val="auto"/>
          <w:sz w:val="21"/>
          <w:szCs w:val="21"/>
          <w:highlight w:val="none"/>
        </w:rPr>
        <w:t>（八）</w:t>
      </w:r>
      <w:r>
        <w:rPr>
          <w:rFonts w:hint="eastAsia" w:ascii="宋体" w:hAnsi="宋体" w:eastAsia="宋体" w:cs="宋体"/>
          <w:b/>
          <w:bCs/>
          <w:color w:val="auto"/>
          <w:sz w:val="21"/>
          <w:szCs w:val="21"/>
          <w:highlight w:val="none"/>
          <w:lang w:eastAsia="zh-CN"/>
        </w:rPr>
        <w:t>培训</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lang w:eastAsia="zh-CN"/>
        </w:rPr>
        <w:t xml:space="preserve">中标人必须在所有产品安装验收完毕之后，对采购人及相关人员进行免费培训，保证采购人能正常操作设备的各种功能，并长期提供技术支持以及相关应用管理知识和维护。 </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 xml:space="preserve">1）培训方式：现场实践培训。 </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2）培训内容：包括货物的参数设置、操作、维护保养、应急处理、简单故障排除等，以确保能够熟悉掌握货物日常使用和维护管理。</w:t>
      </w:r>
    </w:p>
    <w:p>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（九）</w:t>
      </w:r>
      <w:r>
        <w:rPr>
          <w:rFonts w:hint="eastAsia" w:ascii="宋体" w:hAnsi="宋体" w:eastAsia="宋体" w:cs="宋体"/>
          <w:b/>
          <w:bCs/>
          <w:color w:val="auto"/>
          <w:sz w:val="21"/>
          <w:szCs w:val="21"/>
          <w:highlight w:val="none"/>
        </w:rPr>
        <w:t>保密要求</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w:t>
      </w:r>
      <w:r>
        <w:rPr>
          <w:rFonts w:hint="eastAsia" w:ascii="宋体" w:hAnsi="宋体" w:eastAsia="宋体" w:cs="宋体"/>
          <w:bCs/>
          <w:color w:val="auto"/>
          <w:sz w:val="21"/>
          <w:szCs w:val="21"/>
          <w:highlight w:val="none"/>
        </w:rPr>
        <w:t>中标人在项目实施过程中所获知的采购人的技术信息和商业秘密，负有保密责任。未经采购人同意均不得以任何方式向第三方泄露、出售、出租、许可他人使用或共同享用。违反本条规定给采购人造成损失的，中标人承担相应的责任。</w:t>
      </w:r>
    </w:p>
    <w:p>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（十）廉洁要求</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1、中标人在履行合同过程中不得以任何形式与采购人相关人员不当往来，并同意将上述廉洁承诺的遵守情况纳入本合同验收或绩效考核范畴，若中标人出现上述行为致使采购人形象受损或者相关人员被组织调查处理的，采购人有权从应支付的合同款项中进行扣除，若出现上述情况并确认属实，采购人发送书面扣款通知，上述款项直接从未支付的合同款中扣除。经确认中标人出现违规行为，每人次扣除一定费用，扣款金额在合同中约定。</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2、中标人为谋取不正当的利益出现违反廉洁承诺内容的行为，因上述行为涉及的合同款项应当全部返还采购人，涉及的合同款项无法确定的，中标人需返还采购人已支付的全部合同款项。</w:t>
      </w:r>
    </w:p>
    <w:p>
      <w:pPr>
        <w:pStyle w:val="19"/>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中标人违反廉洁承诺，受到刑事或者行政处罚的，采购人有权解除合同，合同自采购人发出书面通知之日起解除，中标人需承担相应的违约责任并赔偿采购人由此造成的损失，包括但不限于：聘请其他公司暂代中标人工作而产生的费用、聘请律师产生的费用等。</w:t>
      </w:r>
    </w:p>
    <w:p>
      <w:pPr>
        <w:pStyle w:val="228"/>
        <w:tabs>
          <w:tab w:val="left" w:pos="486"/>
          <w:tab w:val="left" w:pos="972"/>
        </w:tabs>
        <w:spacing w:line="360" w:lineRule="auto"/>
        <w:jc w:val="center"/>
        <w:outlineLvl w:val="2"/>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eastAsia="zh-CN"/>
        </w:rPr>
        <w:t>（十一）</w:t>
      </w:r>
      <w:r>
        <w:rPr>
          <w:rFonts w:hint="eastAsia" w:ascii="宋体" w:hAnsi="宋体" w:eastAsia="宋体" w:cs="宋体"/>
          <w:b/>
          <w:bCs/>
          <w:color w:val="auto"/>
          <w:sz w:val="21"/>
          <w:szCs w:val="21"/>
          <w:highlight w:val="none"/>
        </w:rPr>
        <w:t>付款方式</w:t>
      </w:r>
      <w:bookmarkEnd w:id="117"/>
      <w:bookmarkEnd w:id="118"/>
      <w:bookmarkEnd w:id="119"/>
      <w:bookmarkEnd w:id="120"/>
      <w:bookmarkEnd w:id="121"/>
      <w:bookmarkEnd w:id="122"/>
      <w:bookmarkEnd w:id="123"/>
    </w:p>
    <w:p>
      <w:pPr>
        <w:bidi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预付款：合同签订后7个工作日内，</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rPr>
        <w:t>合同</w:t>
      </w:r>
      <w:r>
        <w:rPr>
          <w:rFonts w:hint="eastAsia" w:ascii="宋体" w:hAnsi="宋体" w:eastAsia="宋体" w:cs="宋体"/>
          <w:color w:val="auto"/>
          <w:sz w:val="21"/>
          <w:szCs w:val="21"/>
          <w:highlight w:val="none"/>
          <w:lang w:eastAsia="zh-CN"/>
        </w:rPr>
        <w:t>金额</w:t>
      </w:r>
      <w:r>
        <w:rPr>
          <w:rFonts w:hint="eastAsia" w:ascii="宋体" w:hAnsi="宋体" w:eastAsia="宋体" w:cs="宋体"/>
          <w:color w:val="auto"/>
          <w:sz w:val="21"/>
          <w:szCs w:val="21"/>
          <w:highlight w:val="none"/>
        </w:rPr>
        <w:t>的30%；</w:t>
      </w:r>
    </w:p>
    <w:p>
      <w:pPr>
        <w:bidi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进度款：</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rPr>
        <w:t>完成供货并通过验收合格后经</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确认7个工作日内，</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eastAsia="zh-CN"/>
        </w:rPr>
        <w:t>中标供应商至</w:t>
      </w:r>
      <w:r>
        <w:rPr>
          <w:rFonts w:hint="eastAsia" w:ascii="宋体" w:hAnsi="宋体" w:eastAsia="宋体" w:cs="宋体"/>
          <w:color w:val="auto"/>
          <w:sz w:val="21"/>
          <w:szCs w:val="21"/>
          <w:highlight w:val="none"/>
        </w:rPr>
        <w:t>合同</w:t>
      </w:r>
      <w:r>
        <w:rPr>
          <w:rFonts w:hint="eastAsia" w:ascii="宋体" w:hAnsi="宋体" w:eastAsia="宋体" w:cs="宋体"/>
          <w:color w:val="auto"/>
          <w:sz w:val="21"/>
          <w:szCs w:val="21"/>
          <w:highlight w:val="none"/>
          <w:lang w:eastAsia="zh-CN"/>
        </w:rPr>
        <w:t>金额</w:t>
      </w:r>
      <w:r>
        <w:rPr>
          <w:rFonts w:hint="eastAsia" w:ascii="宋体" w:hAnsi="宋体" w:eastAsia="宋体" w:cs="宋体"/>
          <w:color w:val="auto"/>
          <w:sz w:val="21"/>
          <w:szCs w:val="21"/>
          <w:highlight w:val="none"/>
        </w:rPr>
        <w:t>的95%；</w:t>
      </w:r>
    </w:p>
    <w:p>
      <w:pPr>
        <w:bidi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尾款：质保期结束后</w:t>
      </w:r>
      <w:r>
        <w:rPr>
          <w:rFonts w:hint="eastAsia" w:ascii="宋体" w:hAnsi="宋体" w:eastAsia="宋体" w:cs="宋体"/>
          <w:color w:val="auto"/>
          <w:sz w:val="21"/>
          <w:szCs w:val="21"/>
          <w:highlight w:val="none"/>
          <w:lang w:eastAsia="zh-CN"/>
        </w:rPr>
        <w:t>采购人</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rPr>
        <w:t>剩余5%质保金。</w:t>
      </w:r>
    </w:p>
    <w:p>
      <w:pPr>
        <w:bidi w:val="0"/>
        <w:spacing w:line="360" w:lineRule="auto"/>
        <w:ind w:firstLine="420" w:firstLineChars="200"/>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rPr>
        <w:t>注：采购人付款前，中标</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须开具合法、等额的发票，否则采购人有权拒绝付款并无需承担违约责任。</w:t>
      </w:r>
    </w:p>
    <w:p>
      <w:pPr>
        <w:bidi w:val="0"/>
        <w:spacing w:line="360" w:lineRule="auto"/>
        <w:ind w:firstLine="420" w:firstLineChars="200"/>
        <w:rPr>
          <w:rFonts w:hint="eastAsia" w:ascii="宋体" w:hAnsi="宋体" w:eastAsia="宋体" w:cs="宋体"/>
          <w:strike/>
          <w:dstrike w:val="0"/>
          <w:color w:val="auto"/>
          <w:sz w:val="21"/>
          <w:szCs w:val="21"/>
          <w:highlight w:val="none"/>
          <w:u w:val="none"/>
          <w:lang w:val="en-US" w:eastAsia="zh-CN"/>
        </w:rPr>
        <w:sectPr>
          <w:footerReference r:id="rId4" w:type="default"/>
          <w:pgSz w:w="11906" w:h="16839"/>
          <w:pgMar w:top="1058" w:right="1134" w:bottom="737" w:left="1139" w:header="878" w:footer="567" w:gutter="0"/>
          <w:pgBorders>
            <w:top w:val="none" w:sz="0" w:space="0"/>
            <w:left w:val="none" w:sz="0" w:space="0"/>
            <w:bottom w:val="none" w:sz="0" w:space="0"/>
            <w:right w:val="none" w:sz="0" w:space="0"/>
          </w:pgBorders>
          <w:pgNumType w:fmt="decimal"/>
          <w:cols w:space="720" w:num="1"/>
        </w:sectPr>
      </w:pPr>
    </w:p>
    <w:p>
      <w:pPr>
        <w:spacing w:line="360" w:lineRule="exact"/>
        <w:jc w:val="both"/>
        <w:outlineLvl w:val="9"/>
        <w:rPr>
          <w:rFonts w:hint="eastAsia" w:ascii="宋体" w:hAnsi="宋体" w:eastAsia="宋体" w:cs="宋体"/>
          <w:b/>
          <w:bCs/>
          <w:color w:val="auto"/>
          <w:szCs w:val="28"/>
          <w:highlight w:val="none"/>
        </w:rPr>
      </w:pPr>
    </w:p>
    <w:p>
      <w:pPr>
        <w:keepNext w:val="0"/>
        <w:keepLines w:val="0"/>
        <w:pageBreakBefore w:val="0"/>
        <w:widowControl w:val="0"/>
        <w:kinsoku/>
        <w:wordWrap/>
        <w:overflowPunct/>
        <w:topLinePunct w:val="0"/>
        <w:autoSpaceDE/>
        <w:autoSpaceDN/>
        <w:bidi w:val="0"/>
        <w:adjustRightInd/>
        <w:snapToGrid/>
        <w:spacing w:line="288" w:lineRule="auto"/>
        <w:ind w:left="21" w:leftChars="10" w:firstLine="562" w:firstLineChars="200"/>
        <w:jc w:val="center"/>
        <w:textAlignment w:val="auto"/>
        <w:outlineLvl w:val="0"/>
        <w:rPr>
          <w:rFonts w:hint="eastAsia" w:ascii="宋体" w:hAnsi="宋体" w:eastAsia="宋体" w:cs="宋体"/>
          <w:b/>
          <w:bCs/>
          <w:color w:val="auto"/>
          <w:szCs w:val="28"/>
          <w:highlight w:val="none"/>
        </w:rPr>
      </w:pPr>
      <w:bookmarkStart w:id="124" w:name="_Toc26222"/>
      <w:bookmarkStart w:id="125" w:name="_Toc31234"/>
      <w:bookmarkStart w:id="126" w:name="_Toc20243"/>
      <w:bookmarkStart w:id="127" w:name="_Toc20610"/>
      <w:r>
        <w:rPr>
          <w:rFonts w:hint="eastAsia" w:ascii="宋体" w:hAnsi="宋体" w:eastAsia="宋体" w:cs="宋体"/>
          <w:b/>
          <w:bCs/>
          <w:color w:val="auto"/>
          <w:sz w:val="28"/>
          <w:szCs w:val="40"/>
          <w:highlight w:val="none"/>
        </w:rPr>
        <w:t>第四部分  合同条款及格式</w:t>
      </w:r>
      <w:bookmarkEnd w:id="124"/>
      <w:bookmarkEnd w:id="125"/>
      <w:bookmarkEnd w:id="126"/>
      <w:bookmarkEnd w:id="127"/>
    </w:p>
    <w:p>
      <w:pPr>
        <w:jc w:val="center"/>
        <w:rPr>
          <w:rStyle w:val="52"/>
          <w:rFonts w:hint="eastAsia" w:ascii="宋体" w:hAnsi="宋体" w:eastAsia="宋体" w:cs="宋体"/>
          <w:color w:val="auto"/>
          <w:sz w:val="32"/>
          <w:highlight w:val="none"/>
        </w:rPr>
      </w:pPr>
      <w:r>
        <w:rPr>
          <w:rStyle w:val="52"/>
          <w:rFonts w:hint="eastAsia" w:ascii="宋体" w:hAnsi="宋体" w:eastAsia="宋体" w:cs="宋体"/>
          <w:color w:val="auto"/>
          <w:sz w:val="32"/>
          <w:highlight w:val="none"/>
        </w:rPr>
        <w:t>货物采购合同</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买方：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（以下简称买方）</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卖方：</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（以下简称卖方）</w:t>
      </w:r>
    </w:p>
    <w:p>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为了保护双方合法权益，根据《中华人民共和国</w:t>
      </w:r>
      <w:r>
        <w:rPr>
          <w:rFonts w:hint="eastAsia" w:ascii="宋体" w:hAnsi="宋体" w:eastAsia="宋体" w:cs="宋体"/>
          <w:color w:val="auto"/>
          <w:sz w:val="21"/>
          <w:szCs w:val="21"/>
          <w:highlight w:val="none"/>
          <w:lang w:eastAsia="zh-CN"/>
        </w:rPr>
        <w:t>民典</w:t>
      </w:r>
      <w:r>
        <w:rPr>
          <w:rFonts w:hint="eastAsia" w:ascii="宋体" w:hAnsi="宋体" w:eastAsia="宋体" w:cs="宋体"/>
          <w:color w:val="auto"/>
          <w:sz w:val="21"/>
          <w:szCs w:val="21"/>
          <w:highlight w:val="none"/>
        </w:rPr>
        <w:t>法》、《中华人民共和国招投标法》及温州市关于国资采购的办法，经双方友好协商（或公开招投标程序），</w:t>
      </w:r>
      <w:r>
        <w:rPr>
          <w:rFonts w:hint="eastAsia" w:ascii="宋体" w:hAnsi="宋体" w:eastAsia="宋体" w:cs="宋体"/>
          <w:color w:val="auto"/>
          <w:sz w:val="21"/>
          <w:szCs w:val="21"/>
          <w:highlight w:val="none"/>
          <w:u w:val="single"/>
          <w:lang w:eastAsia="zh-CN"/>
        </w:rPr>
        <w:t>瓯窑产业化项目研发生产提效设备-陶艺工作室仪器设备</w:t>
      </w:r>
      <w:r>
        <w:rPr>
          <w:rFonts w:hint="eastAsia" w:ascii="宋体" w:hAnsi="宋体" w:eastAsia="宋体" w:cs="宋体"/>
          <w:color w:val="auto"/>
          <w:sz w:val="21"/>
          <w:szCs w:val="21"/>
          <w:highlight w:val="none"/>
        </w:rPr>
        <w:t xml:space="preserve">供货事宜进行讨论，达成一致意见，具体内容如下： </w:t>
      </w:r>
    </w:p>
    <w:p>
      <w:pPr>
        <w:pStyle w:val="175"/>
        <w:spacing w:line="360" w:lineRule="auto"/>
        <w:ind w:firstLine="0" w:firstLineChars="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1.</w:t>
      </w:r>
      <w:r>
        <w:rPr>
          <w:rFonts w:hint="eastAsia" w:ascii="宋体" w:hAnsi="宋体" w:eastAsia="宋体" w:cs="宋体"/>
          <w:color w:val="auto"/>
          <w:sz w:val="21"/>
          <w:szCs w:val="21"/>
          <w:highlight w:val="none"/>
        </w:rPr>
        <w:t xml:space="preserve"> </w:t>
      </w:r>
      <w:r>
        <w:rPr>
          <w:rFonts w:hint="eastAsia" w:ascii="宋体" w:hAnsi="宋体" w:eastAsia="宋体" w:cs="宋体"/>
          <w:b/>
          <w:color w:val="auto"/>
          <w:sz w:val="21"/>
          <w:szCs w:val="21"/>
          <w:highlight w:val="none"/>
        </w:rPr>
        <w:t>货物的名称、技术规范和数量</w:t>
      </w:r>
    </w:p>
    <w:tbl>
      <w:tblPr>
        <w:tblStyle w:val="49"/>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190"/>
        <w:gridCol w:w="1943"/>
        <w:gridCol w:w="900"/>
        <w:gridCol w:w="750"/>
        <w:gridCol w:w="855"/>
        <w:gridCol w:w="1118"/>
        <w:gridCol w:w="1117"/>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pPr>
              <w:pStyle w:val="98"/>
              <w:snapToGrid w:val="0"/>
              <w:spacing w:line="360" w:lineRule="exact"/>
              <w:ind w:right="63"/>
              <w:jc w:val="both"/>
              <w:rPr>
                <w:rFonts w:hint="eastAsia" w:ascii="宋体" w:hAnsi="宋体" w:eastAsia="宋体" w:cs="宋体"/>
                <w:color w:val="auto"/>
                <w:szCs w:val="21"/>
                <w:highlight w:val="none"/>
              </w:rPr>
            </w:pPr>
            <w:bookmarkStart w:id="128" w:name="_Toc513820511"/>
            <w:bookmarkStart w:id="129" w:name="_Toc475521692"/>
            <w:bookmarkStart w:id="130" w:name="_Toc475521219"/>
            <w:r>
              <w:rPr>
                <w:rFonts w:hint="eastAsia" w:ascii="宋体" w:hAnsi="宋体" w:eastAsia="宋体" w:cs="宋体"/>
                <w:color w:val="auto"/>
                <w:szCs w:val="21"/>
                <w:highlight w:val="none"/>
              </w:rPr>
              <w:t>序号</w:t>
            </w:r>
          </w:p>
        </w:tc>
        <w:tc>
          <w:tcPr>
            <w:tcW w:w="1190" w:type="dxa"/>
            <w:vAlign w:val="center"/>
          </w:tcPr>
          <w:p>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货物名称</w:t>
            </w:r>
          </w:p>
        </w:tc>
        <w:tc>
          <w:tcPr>
            <w:tcW w:w="1943" w:type="dxa"/>
            <w:vAlign w:val="center"/>
          </w:tcPr>
          <w:p>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规格/型号</w:t>
            </w:r>
          </w:p>
        </w:tc>
        <w:tc>
          <w:tcPr>
            <w:tcW w:w="900" w:type="dxa"/>
            <w:vAlign w:val="center"/>
          </w:tcPr>
          <w:p>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品牌/产地</w:t>
            </w:r>
          </w:p>
        </w:tc>
        <w:tc>
          <w:tcPr>
            <w:tcW w:w="750" w:type="dxa"/>
            <w:vAlign w:val="center"/>
          </w:tcPr>
          <w:p>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数量</w:t>
            </w:r>
          </w:p>
        </w:tc>
        <w:tc>
          <w:tcPr>
            <w:tcW w:w="855" w:type="dxa"/>
            <w:vAlign w:val="center"/>
          </w:tcPr>
          <w:p>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w:t>
            </w:r>
          </w:p>
        </w:tc>
        <w:tc>
          <w:tcPr>
            <w:tcW w:w="1118" w:type="dxa"/>
            <w:vAlign w:val="center"/>
          </w:tcPr>
          <w:p>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单价 （含税）</w:t>
            </w:r>
          </w:p>
        </w:tc>
        <w:tc>
          <w:tcPr>
            <w:tcW w:w="1117" w:type="dxa"/>
            <w:vAlign w:val="center"/>
          </w:tcPr>
          <w:p>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总价    （含税）</w:t>
            </w:r>
          </w:p>
        </w:tc>
        <w:tc>
          <w:tcPr>
            <w:tcW w:w="800" w:type="dxa"/>
            <w:vAlign w:val="center"/>
          </w:tcPr>
          <w:p>
            <w:pPr>
              <w:pStyle w:val="98"/>
              <w:snapToGrid w:val="0"/>
              <w:spacing w:line="360" w:lineRule="exact"/>
              <w:ind w:right="63"/>
              <w:jc w:val="both"/>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83" w:type="dxa"/>
            <w:vAlign w:val="center"/>
          </w:tcPr>
          <w:p>
            <w:pPr>
              <w:pStyle w:val="98"/>
              <w:snapToGrid w:val="0"/>
              <w:spacing w:line="360" w:lineRule="exact"/>
              <w:ind w:right="63"/>
              <w:jc w:val="both"/>
              <w:rPr>
                <w:rFonts w:hint="eastAsia" w:ascii="宋体" w:hAnsi="宋体" w:eastAsia="宋体" w:cs="宋体"/>
                <w:color w:val="auto"/>
                <w:szCs w:val="21"/>
                <w:highlight w:val="none"/>
              </w:rPr>
            </w:pPr>
          </w:p>
        </w:tc>
        <w:tc>
          <w:tcPr>
            <w:tcW w:w="119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943"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9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75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55"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8"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1117"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c>
          <w:tcPr>
            <w:tcW w:w="800" w:type="dxa"/>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6" w:type="dxa"/>
            <w:gridSpan w:val="3"/>
            <w:vAlign w:val="center"/>
          </w:tcPr>
          <w:p>
            <w:pPr>
              <w:pStyle w:val="98"/>
              <w:snapToGrid w:val="0"/>
              <w:spacing w:line="360" w:lineRule="exact"/>
              <w:ind w:left="63" w:right="63" w:firstLine="460"/>
              <w:jc w:val="both"/>
              <w:rPr>
                <w:rFonts w:hint="eastAsia" w:ascii="宋体" w:hAnsi="宋体" w:eastAsia="宋体" w:cs="宋体"/>
                <w:color w:val="auto"/>
                <w:szCs w:val="21"/>
                <w:highlight w:val="none"/>
              </w:rPr>
            </w:pPr>
          </w:p>
        </w:tc>
        <w:tc>
          <w:tcPr>
            <w:tcW w:w="5540" w:type="dxa"/>
            <w:gridSpan w:val="6"/>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6" w:type="dxa"/>
            <w:gridSpan w:val="3"/>
            <w:vAlign w:val="center"/>
          </w:tcPr>
          <w:p>
            <w:pPr>
              <w:pStyle w:val="98"/>
              <w:snapToGrid w:val="0"/>
              <w:spacing w:line="360" w:lineRule="exact"/>
              <w:ind w:left="63" w:right="63" w:firstLine="460"/>
              <w:jc w:val="both"/>
              <w:rPr>
                <w:rFonts w:hint="eastAsia" w:ascii="宋体" w:hAnsi="宋体" w:eastAsia="宋体" w:cs="宋体"/>
                <w:color w:val="auto"/>
                <w:szCs w:val="21"/>
                <w:highlight w:val="none"/>
              </w:rPr>
            </w:pPr>
          </w:p>
        </w:tc>
        <w:tc>
          <w:tcPr>
            <w:tcW w:w="5540" w:type="dxa"/>
            <w:gridSpan w:val="6"/>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816" w:type="dxa"/>
            <w:gridSpan w:val="3"/>
            <w:vAlign w:val="center"/>
          </w:tcPr>
          <w:p>
            <w:pPr>
              <w:pStyle w:val="98"/>
              <w:snapToGrid w:val="0"/>
              <w:spacing w:line="360" w:lineRule="exact"/>
              <w:ind w:left="63" w:right="63" w:firstLine="460"/>
              <w:jc w:val="both"/>
              <w:rPr>
                <w:rFonts w:hint="eastAsia" w:ascii="宋体" w:hAnsi="宋体" w:eastAsia="宋体" w:cs="宋体"/>
                <w:color w:val="auto"/>
                <w:szCs w:val="21"/>
                <w:highlight w:val="none"/>
              </w:rPr>
            </w:pPr>
          </w:p>
        </w:tc>
        <w:tc>
          <w:tcPr>
            <w:tcW w:w="5540" w:type="dxa"/>
            <w:gridSpan w:val="6"/>
            <w:vAlign w:val="center"/>
          </w:tcPr>
          <w:p>
            <w:pPr>
              <w:pStyle w:val="98"/>
              <w:snapToGrid w:val="0"/>
              <w:spacing w:line="360" w:lineRule="exact"/>
              <w:ind w:left="63" w:right="63" w:firstLine="460"/>
              <w:rPr>
                <w:rFonts w:hint="eastAsia" w:ascii="宋体" w:hAnsi="宋体" w:eastAsia="宋体" w:cs="宋体"/>
                <w:color w:val="auto"/>
                <w:szCs w:val="21"/>
                <w:highlight w:val="none"/>
              </w:rPr>
            </w:pPr>
          </w:p>
        </w:tc>
      </w:tr>
    </w:tbl>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31" w:name="_Toc28103940"/>
      <w:bookmarkStart w:id="132" w:name="_Toc28104041"/>
      <w:r>
        <w:rPr>
          <w:rFonts w:hint="eastAsia" w:ascii="宋体" w:hAnsi="宋体" w:eastAsia="宋体" w:cs="宋体"/>
          <w:color w:val="auto"/>
          <w:szCs w:val="21"/>
          <w:highlight w:val="none"/>
        </w:rPr>
        <w:t>1.1</w:t>
      </w:r>
      <w:bookmarkEnd w:id="128"/>
      <w:bookmarkEnd w:id="129"/>
      <w:bookmarkEnd w:id="130"/>
      <w:r>
        <w:rPr>
          <w:rFonts w:hint="eastAsia" w:ascii="宋体" w:hAnsi="宋体" w:eastAsia="宋体" w:cs="宋体"/>
          <w:b/>
          <w:bCs/>
          <w:color w:val="auto"/>
          <w:szCs w:val="21"/>
          <w:highlight w:val="none"/>
        </w:rPr>
        <w:t>本项目报价为“交钥匙”价。项目实施过程中所需的墙面开孔及封堵（如有）、胶带、设备的吊装、搬运、机械、设备检测、试运行、场地清理及垃圾清运费、</w:t>
      </w:r>
      <w:r>
        <w:rPr>
          <w:rFonts w:hint="eastAsia" w:ascii="宋体" w:hAnsi="宋体" w:eastAsia="宋体" w:cs="宋体"/>
          <w:b/>
          <w:bCs/>
          <w:color w:val="auto"/>
          <w:szCs w:val="21"/>
          <w:highlight w:val="none"/>
          <w:lang w:eastAsia="zh-CN"/>
        </w:rPr>
        <w:t>买方</w:t>
      </w:r>
      <w:r>
        <w:rPr>
          <w:rFonts w:hint="eastAsia" w:ascii="宋体" w:hAnsi="宋体" w:eastAsia="宋体" w:cs="宋体"/>
          <w:b/>
          <w:bCs/>
          <w:color w:val="auto"/>
          <w:szCs w:val="21"/>
          <w:highlight w:val="none"/>
        </w:rPr>
        <w:t>既有设施设备成品保护费、包装及运输、采购、施工、保管、安装或集成、调试、培训、咨询、服务、检测、安保、劳务、材料、差旅交通、就餐住宿、管理、利润、规费、税金、保险、相关协调费、专利技术、知识产权、售后服务费及其他实物和技术工作收费等所有为完成本项目所发生的全部相关费用均包含在所报价格中。</w:t>
      </w:r>
      <w:bookmarkEnd w:id="131"/>
      <w:bookmarkEnd w:id="132"/>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33" w:name="_Toc28103941"/>
      <w:bookmarkStart w:id="134" w:name="_Toc28104042"/>
      <w:r>
        <w:rPr>
          <w:rFonts w:hint="eastAsia" w:ascii="宋体" w:hAnsi="宋体" w:eastAsia="宋体" w:cs="宋体"/>
          <w:color w:val="auto"/>
          <w:szCs w:val="21"/>
          <w:highlight w:val="none"/>
        </w:rPr>
        <w:t>1.2表中的内容应与中标通知书、招标文件及被买方接受的规格性能偏离表相一致(包括技术资料的提供要求)。</w:t>
      </w:r>
      <w:bookmarkEnd w:id="133"/>
      <w:bookmarkEnd w:id="134"/>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35" w:name="_Toc28103942"/>
      <w:bookmarkStart w:id="136" w:name="_Toc28104043"/>
      <w:bookmarkStart w:id="137" w:name="_Toc513820513"/>
      <w:bookmarkStart w:id="138" w:name="_Toc475521221"/>
      <w:bookmarkStart w:id="139" w:name="_Toc475521694"/>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 xml:space="preserve">、货物产品为原制造商制造的全新、优质、合格的产品，并未对其子部件作任何的更改和替换；表面无划损、无任何缺陷隐患，在中国境内可依常规安全合法使用； </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1.4</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 xml:space="preserve">指定的位置进行安装，安装要求符合相关的技术及安全标准，保证使用效果及安全。 </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、拆除及安装过程出现的安全问题，由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 xml:space="preserve">承担全部责任。 </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1.6</w:t>
      </w:r>
      <w:r>
        <w:rPr>
          <w:rFonts w:hint="eastAsia" w:ascii="宋体" w:hAnsi="宋体" w:eastAsia="宋体" w:cs="宋体"/>
          <w:color w:val="auto"/>
          <w:szCs w:val="21"/>
          <w:highlight w:val="none"/>
        </w:rPr>
        <w:t>、使用过程出现的安全问题，由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承担全部责任（除因</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 xml:space="preserve">使用不当造成的除外）。 </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1.7</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应保证，</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在中华人民共和国使用</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所提供的货物或货物的任何一部分时，免受第三方提出的侵犯其专利权、商标权或工业设计权的起诉。</w:t>
      </w:r>
    </w:p>
    <w:p>
      <w:pPr>
        <w:pStyle w:val="26"/>
        <w:spacing w:line="360" w:lineRule="auto"/>
        <w:jc w:val="left"/>
        <w:outlineLvl w:val="9"/>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2.</w:t>
      </w:r>
      <w:r>
        <w:rPr>
          <w:rFonts w:hint="eastAsia" w:ascii="宋体" w:hAnsi="宋体" w:eastAsia="宋体" w:cs="宋体"/>
          <w:color w:val="auto"/>
          <w:szCs w:val="21"/>
          <w:highlight w:val="none"/>
        </w:rPr>
        <w:t xml:space="preserve"> 合同交货期、交货方式、地点</w:t>
      </w:r>
      <w:bookmarkEnd w:id="135"/>
      <w:bookmarkEnd w:id="136"/>
      <w:bookmarkEnd w:id="137"/>
      <w:bookmarkEnd w:id="138"/>
      <w:bookmarkEnd w:id="139"/>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40" w:name="_Toc475521695"/>
      <w:bookmarkStart w:id="141" w:name="_Toc475521222"/>
      <w:bookmarkStart w:id="142" w:name="_Toc28103943"/>
      <w:bookmarkStart w:id="143" w:name="_Toc513820514"/>
      <w:bookmarkStart w:id="144" w:name="_Toc28104044"/>
      <w:r>
        <w:rPr>
          <w:rFonts w:hint="eastAsia" w:ascii="宋体" w:hAnsi="宋体" w:eastAsia="宋体" w:cs="宋体"/>
          <w:color w:val="auto"/>
          <w:szCs w:val="21"/>
          <w:highlight w:val="none"/>
        </w:rPr>
        <w:t>2.1</w:t>
      </w:r>
      <w:r>
        <w:rPr>
          <w:rFonts w:hint="eastAsia" w:ascii="宋体" w:hAnsi="宋体" w:eastAsia="宋体" w:cs="宋体"/>
          <w:color w:val="auto"/>
          <w:highlight w:val="none"/>
        </w:rPr>
        <w:t>合同协议书签署前5个工作日内</w:t>
      </w:r>
      <w:r>
        <w:rPr>
          <w:rFonts w:hint="eastAsia" w:ascii="宋体" w:hAnsi="宋体" w:eastAsia="宋体" w:cs="宋体"/>
          <w:color w:val="auto"/>
          <w:szCs w:val="21"/>
          <w:highlight w:val="none"/>
        </w:rPr>
        <w:t>，卖方向买方支付合同总价款5%作为履约保证金，履约保证金在项目验收合格后无息退还。未按要求支付的，取消中标资格，并赔偿买方损失。</w:t>
      </w:r>
      <w:bookmarkEnd w:id="140"/>
      <w:bookmarkEnd w:id="141"/>
      <w:bookmarkEnd w:id="142"/>
      <w:bookmarkEnd w:id="143"/>
      <w:bookmarkEnd w:id="144"/>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 w:val="21"/>
          <w:szCs w:val="21"/>
          <w:highlight w:val="none"/>
          <w:lang w:eastAsia="zh-CN"/>
        </w:rPr>
      </w:pPr>
      <w:bookmarkStart w:id="145" w:name="_Toc475521696"/>
      <w:bookmarkStart w:id="146" w:name="_Toc513820515"/>
      <w:bookmarkStart w:id="147" w:name="_Toc475521223"/>
      <w:bookmarkStart w:id="148" w:name="_Toc28104045"/>
      <w:bookmarkStart w:id="149" w:name="_Toc28103944"/>
      <w:r>
        <w:rPr>
          <w:rFonts w:hint="eastAsia" w:ascii="宋体" w:hAnsi="宋体" w:eastAsia="宋体" w:cs="宋体"/>
          <w:color w:val="auto"/>
          <w:szCs w:val="21"/>
          <w:highlight w:val="none"/>
        </w:rPr>
        <w:t>2.2卖方应在合同签订生效后</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日历天内完成合同货物的供货、安装、调试</w:t>
      </w:r>
      <w:bookmarkEnd w:id="145"/>
      <w:bookmarkEnd w:id="146"/>
      <w:bookmarkEnd w:id="147"/>
      <w:bookmarkEnd w:id="148"/>
      <w:bookmarkEnd w:id="149"/>
      <w:bookmarkStart w:id="150" w:name="_Toc475521224"/>
      <w:bookmarkStart w:id="151" w:name="_Toc513820516"/>
      <w:bookmarkStart w:id="152" w:name="_Toc475521697"/>
      <w:r>
        <w:rPr>
          <w:rFonts w:hint="eastAsia" w:ascii="宋体" w:hAnsi="宋体" w:eastAsia="宋体" w:cs="宋体"/>
          <w:b w:val="0"/>
          <w:bCs w:val="0"/>
          <w:color w:val="auto"/>
          <w:szCs w:val="22"/>
          <w:highlight w:val="none"/>
          <w:lang w:eastAsia="zh-CN"/>
        </w:rPr>
        <w:t>，</w:t>
      </w:r>
      <w:bookmarkStart w:id="153" w:name="_Toc28103945"/>
      <w:bookmarkStart w:id="154" w:name="_Toc28104046"/>
      <w:r>
        <w:rPr>
          <w:rFonts w:hint="eastAsia" w:ascii="宋体" w:hAnsi="宋体" w:eastAsia="宋体" w:cs="宋体"/>
          <w:b w:val="0"/>
          <w:bCs w:val="0"/>
          <w:color w:val="auto"/>
          <w:szCs w:val="22"/>
          <w:highlight w:val="none"/>
          <w:u w:val="single"/>
          <w:lang w:val="en-US" w:eastAsia="zh-CN"/>
        </w:rPr>
        <w:t xml:space="preserve">     </w:t>
      </w:r>
      <w:r>
        <w:rPr>
          <w:rFonts w:hint="eastAsia" w:ascii="宋体" w:hAnsi="宋体" w:eastAsia="宋体" w:cs="宋体"/>
          <w:b w:val="0"/>
          <w:bCs w:val="0"/>
          <w:color w:val="auto"/>
          <w:szCs w:val="22"/>
          <w:highlight w:val="none"/>
          <w:lang w:val="en-US" w:eastAsia="zh-CN"/>
        </w:rPr>
        <w:t>日历天内完成</w:t>
      </w:r>
      <w:r>
        <w:rPr>
          <w:rFonts w:hint="eastAsia" w:ascii="宋体" w:hAnsi="宋体" w:eastAsia="宋体" w:cs="宋体"/>
          <w:color w:val="auto"/>
          <w:sz w:val="21"/>
          <w:szCs w:val="21"/>
          <w:highlight w:val="none"/>
          <w:lang w:eastAsia="zh-CN"/>
        </w:rPr>
        <w:t>试运行并交付使用。</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2.3交货方式、地点：由卖方负责运至</w:t>
      </w:r>
      <w:r>
        <w:rPr>
          <w:rFonts w:hint="eastAsia" w:ascii="宋体" w:hAnsi="宋体" w:eastAsia="宋体" w:cs="宋体"/>
          <w:color w:val="auto"/>
          <w:szCs w:val="21"/>
          <w:highlight w:val="none"/>
          <w:u w:val="single"/>
        </w:rPr>
        <w:t>买方指定地点</w:t>
      </w:r>
      <w:r>
        <w:rPr>
          <w:rFonts w:hint="eastAsia" w:ascii="宋体" w:hAnsi="宋体" w:eastAsia="宋体" w:cs="宋体"/>
          <w:color w:val="auto"/>
          <w:szCs w:val="21"/>
          <w:highlight w:val="none"/>
        </w:rPr>
        <w:t>内。</w:t>
      </w:r>
      <w:bookmarkEnd w:id="150"/>
      <w:bookmarkEnd w:id="151"/>
      <w:bookmarkEnd w:id="152"/>
      <w:bookmarkEnd w:id="153"/>
      <w:bookmarkEnd w:id="154"/>
    </w:p>
    <w:p>
      <w:pPr>
        <w:pStyle w:val="26"/>
        <w:spacing w:line="360" w:lineRule="auto"/>
        <w:jc w:val="left"/>
        <w:outlineLvl w:val="9"/>
        <w:rPr>
          <w:rFonts w:hint="eastAsia" w:ascii="宋体" w:hAnsi="宋体" w:eastAsia="宋体" w:cs="宋体"/>
          <w:b/>
          <w:color w:val="auto"/>
          <w:szCs w:val="21"/>
          <w:highlight w:val="none"/>
        </w:rPr>
      </w:pPr>
      <w:bookmarkStart w:id="155" w:name="_Toc475521226"/>
      <w:bookmarkStart w:id="156" w:name="_Toc513820518"/>
      <w:bookmarkStart w:id="157" w:name="_Toc475521699"/>
      <w:bookmarkStart w:id="158" w:name="_Toc28103946"/>
      <w:bookmarkStart w:id="159" w:name="_Toc28104047"/>
      <w:r>
        <w:rPr>
          <w:rFonts w:hint="eastAsia" w:ascii="宋体" w:hAnsi="宋体" w:eastAsia="宋体" w:cs="宋体"/>
          <w:b/>
          <w:color w:val="auto"/>
          <w:szCs w:val="21"/>
          <w:highlight w:val="none"/>
        </w:rPr>
        <w:t>3.合同金额</w:t>
      </w:r>
      <w:bookmarkEnd w:id="155"/>
      <w:bookmarkEnd w:id="156"/>
      <w:bookmarkEnd w:id="157"/>
      <w:bookmarkEnd w:id="158"/>
      <w:bookmarkEnd w:id="159"/>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60" w:name="_Toc28103947"/>
      <w:bookmarkStart w:id="161" w:name="_Toc513820519"/>
      <w:bookmarkStart w:id="162" w:name="_Toc475521227"/>
      <w:bookmarkStart w:id="163" w:name="_Toc28104048"/>
      <w:bookmarkStart w:id="164" w:name="_Toc475521700"/>
      <w:r>
        <w:rPr>
          <w:rFonts w:hint="eastAsia" w:ascii="宋体" w:hAnsi="宋体" w:eastAsia="宋体" w:cs="宋体"/>
          <w:color w:val="auto"/>
          <w:szCs w:val="21"/>
          <w:highlight w:val="none"/>
        </w:rPr>
        <w:t>3.1本合同的总价为人民币大写：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元整，小写￥</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r>
        <w:rPr>
          <w:rFonts w:hint="eastAsia" w:ascii="宋体" w:hAnsi="宋体" w:eastAsia="宋体" w:cs="宋体"/>
          <w:color w:val="auto"/>
          <w:szCs w:val="21"/>
          <w:highlight w:val="none"/>
          <w:lang w:val="en-US" w:eastAsia="zh-CN"/>
        </w:rPr>
        <w:t>其中：不含税总价</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税额</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合同的总价为含税不变价(税指进口税、增值税等所涉一切税种)，合同附件价格不影响合同价格。</w:t>
      </w:r>
      <w:bookmarkEnd w:id="160"/>
      <w:bookmarkEnd w:id="161"/>
      <w:bookmarkEnd w:id="162"/>
      <w:bookmarkEnd w:id="163"/>
      <w:bookmarkEnd w:id="164"/>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165" w:name="_Toc475521701"/>
      <w:bookmarkStart w:id="166" w:name="_Toc513820520"/>
      <w:bookmarkStart w:id="167" w:name="_Toc475521228"/>
      <w:bookmarkStart w:id="168" w:name="_Toc28103948"/>
      <w:bookmarkStart w:id="169" w:name="_Toc28104049"/>
      <w:r>
        <w:rPr>
          <w:rFonts w:hint="eastAsia" w:ascii="宋体" w:hAnsi="宋体" w:eastAsia="宋体" w:cs="宋体"/>
          <w:color w:val="auto"/>
          <w:szCs w:val="21"/>
          <w:highlight w:val="none"/>
        </w:rPr>
        <w:t>3.2本合同除因买方实际需要或重大变更调整方案可按投标报价书中的价格调整合同以外，其它一律不得调整。</w:t>
      </w:r>
      <w:bookmarkEnd w:id="165"/>
      <w:bookmarkEnd w:id="166"/>
      <w:bookmarkEnd w:id="167"/>
      <w:bookmarkEnd w:id="168"/>
      <w:bookmarkEnd w:id="169"/>
    </w:p>
    <w:p>
      <w:pPr>
        <w:pStyle w:val="26"/>
        <w:spacing w:line="360" w:lineRule="auto"/>
        <w:jc w:val="left"/>
        <w:outlineLvl w:val="9"/>
        <w:rPr>
          <w:rFonts w:hint="eastAsia" w:ascii="宋体" w:hAnsi="宋体" w:eastAsia="宋体" w:cs="宋体"/>
          <w:b/>
          <w:color w:val="auto"/>
          <w:szCs w:val="21"/>
          <w:highlight w:val="none"/>
        </w:rPr>
      </w:pPr>
      <w:bookmarkStart w:id="170" w:name="_Toc28103949"/>
      <w:bookmarkStart w:id="171" w:name="_Toc513820521"/>
      <w:bookmarkStart w:id="172" w:name="_Toc475521229"/>
      <w:bookmarkStart w:id="173" w:name="_Toc28104050"/>
      <w:bookmarkStart w:id="174" w:name="_Toc475521702"/>
      <w:r>
        <w:rPr>
          <w:rFonts w:hint="eastAsia" w:ascii="宋体" w:hAnsi="宋体" w:eastAsia="宋体" w:cs="宋体"/>
          <w:b/>
          <w:color w:val="auto"/>
          <w:szCs w:val="21"/>
          <w:highlight w:val="none"/>
        </w:rPr>
        <w:t>4.付款方式</w:t>
      </w:r>
      <w:bookmarkEnd w:id="170"/>
      <w:bookmarkEnd w:id="171"/>
      <w:bookmarkEnd w:id="172"/>
      <w:bookmarkEnd w:id="173"/>
      <w:bookmarkEnd w:id="174"/>
    </w:p>
    <w:p>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val="en-US" w:eastAsia="zh-CN"/>
        </w:rPr>
      </w:pPr>
      <w:bookmarkStart w:id="175" w:name="_Toc28104051"/>
      <w:bookmarkStart w:id="176" w:name="_Toc513820522"/>
      <w:bookmarkStart w:id="177" w:name="_Toc475521234"/>
      <w:bookmarkStart w:id="178" w:name="_Toc475521707"/>
      <w:bookmarkStart w:id="179" w:name="_Toc28103950"/>
      <w:r>
        <w:rPr>
          <w:rFonts w:hint="eastAsia" w:ascii="宋体" w:hAnsi="宋体" w:eastAsia="宋体" w:cs="宋体"/>
          <w:color w:val="auto"/>
          <w:sz w:val="21"/>
          <w:szCs w:val="21"/>
          <w:highlight w:val="none"/>
          <w:lang w:val="en-US" w:eastAsia="zh-CN"/>
        </w:rPr>
        <w:t>4.1、预付款：合同签订后7个工作日内，买方支付卖方合同金额的30%；</w:t>
      </w:r>
    </w:p>
    <w:p>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4.2、进度款：卖方完成供货并通过验收合格后经买方确认7个工作日内，买方支付卖方至合同金额的95%；</w:t>
      </w:r>
    </w:p>
    <w:p>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4.3、尾款：质保期结束后买方支付卖方剩余5%质保金。</w:t>
      </w:r>
    </w:p>
    <w:p>
      <w:pPr>
        <w:tabs>
          <w:tab w:val="left" w:pos="396"/>
        </w:tabs>
        <w:autoSpaceDE w:val="0"/>
        <w:autoSpaceDN w:val="0"/>
        <w:adjustRightInd w:val="0"/>
        <w:snapToGrid w:val="0"/>
        <w:spacing w:line="360" w:lineRule="auto"/>
        <w:ind w:firstLine="420" w:firstLineChars="200"/>
        <w:textAlignment w:val="bottom"/>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注：买方</w:t>
      </w:r>
      <w:r>
        <w:rPr>
          <w:rFonts w:hint="eastAsia" w:ascii="宋体" w:hAnsi="宋体" w:cs="宋体"/>
          <w:color w:val="auto"/>
          <w:sz w:val="21"/>
          <w:szCs w:val="21"/>
          <w:highlight w:val="none"/>
          <w:lang w:val="en-US" w:eastAsia="zh-CN"/>
        </w:rPr>
        <w:t>每次</w:t>
      </w:r>
      <w:r>
        <w:rPr>
          <w:rFonts w:hint="eastAsia" w:ascii="宋体" w:hAnsi="宋体" w:eastAsia="宋体" w:cs="宋体"/>
          <w:color w:val="auto"/>
          <w:sz w:val="21"/>
          <w:szCs w:val="21"/>
          <w:highlight w:val="none"/>
          <w:lang w:val="en-US" w:eastAsia="zh-CN"/>
        </w:rPr>
        <w:t>付款前，卖方须开具合法、等额的发票，否则买方有权拒绝付款并无需承担违约责任。</w:t>
      </w:r>
    </w:p>
    <w:p>
      <w:pPr>
        <w:pStyle w:val="26"/>
        <w:spacing w:line="360" w:lineRule="auto"/>
        <w:jc w:val="left"/>
        <w:outlineLvl w:val="9"/>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 货物的</w:t>
      </w:r>
      <w:bookmarkEnd w:id="175"/>
      <w:bookmarkEnd w:id="176"/>
      <w:bookmarkEnd w:id="177"/>
      <w:bookmarkEnd w:id="178"/>
      <w:bookmarkEnd w:id="179"/>
      <w:r>
        <w:rPr>
          <w:rFonts w:hint="eastAsia" w:ascii="宋体" w:hAnsi="宋体" w:eastAsia="宋体" w:cs="宋体"/>
          <w:b/>
          <w:color w:val="auto"/>
          <w:szCs w:val="21"/>
          <w:highlight w:val="none"/>
        </w:rPr>
        <w:t>技术要求</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应于验收后向</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提供验收报告、技术文档的归纳、整理、提交，并提供完整的技术资料。</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Cs w:val="21"/>
          <w:highlight w:val="none"/>
        </w:rPr>
        <w:t>2、技术文件：货物清单、产品合格证、使用说明、检测合格报告、完整的技术资料应随货物一起送到，未按要求送达视为虚假应标，按政府采购相关法律法规处理。</w:t>
      </w:r>
    </w:p>
    <w:p>
      <w:pPr>
        <w:pStyle w:val="26"/>
        <w:spacing w:line="360" w:lineRule="auto"/>
        <w:jc w:val="left"/>
        <w:outlineLvl w:val="9"/>
        <w:rPr>
          <w:rFonts w:hint="eastAsia" w:ascii="宋体" w:hAnsi="宋体" w:eastAsia="宋体" w:cs="宋体"/>
          <w:b/>
          <w:color w:val="auto"/>
          <w:szCs w:val="21"/>
          <w:highlight w:val="none"/>
        </w:rPr>
      </w:pPr>
      <w:bookmarkStart w:id="180" w:name="_Toc475521236"/>
      <w:bookmarkStart w:id="181" w:name="_Toc475521709"/>
      <w:bookmarkStart w:id="182" w:name="_Toc513820524"/>
      <w:bookmarkStart w:id="183" w:name="_Toc28103952"/>
      <w:bookmarkStart w:id="184" w:name="_Toc28104053"/>
      <w:r>
        <w:rPr>
          <w:rFonts w:hint="eastAsia" w:ascii="宋体" w:hAnsi="宋体" w:eastAsia="宋体" w:cs="宋体"/>
          <w:b/>
          <w:color w:val="auto"/>
          <w:szCs w:val="21"/>
          <w:highlight w:val="none"/>
        </w:rPr>
        <w:t>6. 知识产权</w:t>
      </w:r>
      <w:bookmarkEnd w:id="180"/>
      <w:bookmarkEnd w:id="181"/>
      <w:bookmarkEnd w:id="182"/>
      <w:bookmarkEnd w:id="183"/>
      <w:bookmarkEnd w:id="184"/>
      <w:r>
        <w:rPr>
          <w:rFonts w:hint="eastAsia" w:ascii="宋体" w:hAnsi="宋体" w:eastAsia="宋体" w:cs="宋体"/>
          <w:b/>
          <w:color w:val="auto"/>
          <w:szCs w:val="21"/>
          <w:highlight w:val="none"/>
        </w:rPr>
        <w:t>归属和处理方式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应保护</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在使用本服务或其任何一部分时不受因</w:t>
      </w:r>
      <w:r>
        <w:rPr>
          <w:rFonts w:hint="eastAsia" w:ascii="宋体" w:hAnsi="宋体" w:eastAsia="宋体" w:cs="宋体"/>
          <w:color w:val="auto"/>
          <w:szCs w:val="21"/>
          <w:highlight w:val="none"/>
          <w:lang w:eastAsia="zh-CN"/>
        </w:rPr>
        <w:t>卖</w:t>
      </w:r>
      <w:r>
        <w:rPr>
          <w:rFonts w:hint="eastAsia" w:ascii="宋体" w:hAnsi="宋体" w:eastAsia="宋体" w:cs="宋体"/>
          <w:color w:val="auto"/>
          <w:szCs w:val="21"/>
          <w:highlight w:val="none"/>
        </w:rPr>
        <w:t>方（中标方）造成的第三方提出侵犯专利权、商标权、著作权或其它知识产权起诉的指控。如果任何第三方提出由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导致的侵权指控，</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须与第三方交涉并承担可能发生的一切法律责任和费用</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若因此造成买方损失的，卖方赔偿买方全部损失</w:t>
      </w:r>
      <w:r>
        <w:rPr>
          <w:rFonts w:hint="eastAsia" w:ascii="宋体" w:hAnsi="宋体" w:eastAsia="宋体" w:cs="宋体"/>
          <w:color w:val="auto"/>
          <w:szCs w:val="21"/>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依本合同约定向</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提供的报告、资料、文件等内容及服务成果后，</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对上述内容享有充分、完整和排他的著作权和知识产权。未经</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书面许可，</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不得向任何第三方提供上述报告、资料、文件等内容及服务成果。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6.</w:t>
      </w: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服务人员应履行保密义务。如</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因违反本条约定给</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造成损失的，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应当承担相应的法律责任，并赔偿由此给</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Cs w:val="21"/>
          <w:highlight w:val="none"/>
        </w:rPr>
        <w:t>造成的一切损失。</w:t>
      </w:r>
    </w:p>
    <w:p>
      <w:pPr>
        <w:pStyle w:val="26"/>
        <w:spacing w:line="360" w:lineRule="auto"/>
        <w:jc w:val="left"/>
        <w:outlineLvl w:val="9"/>
        <w:rPr>
          <w:rFonts w:hint="eastAsia" w:ascii="宋体" w:hAnsi="宋体" w:eastAsia="宋体" w:cs="宋体"/>
          <w:b/>
          <w:color w:val="auto"/>
          <w:szCs w:val="21"/>
          <w:highlight w:val="none"/>
        </w:rPr>
      </w:pPr>
      <w:bookmarkStart w:id="185" w:name="_Toc28103954"/>
      <w:bookmarkStart w:id="186" w:name="_Toc513820526"/>
      <w:bookmarkStart w:id="187" w:name="_Toc28104055"/>
      <w:bookmarkStart w:id="188" w:name="_Toc475521711"/>
      <w:bookmarkStart w:id="189" w:name="_Toc475521238"/>
      <w:r>
        <w:rPr>
          <w:rFonts w:hint="eastAsia" w:ascii="宋体" w:hAnsi="宋体" w:eastAsia="宋体" w:cs="宋体"/>
          <w:b/>
          <w:color w:val="auto"/>
          <w:szCs w:val="21"/>
          <w:highlight w:val="none"/>
        </w:rPr>
        <w:t>7. 货物包装、运输、装卸和保险</w:t>
      </w:r>
      <w:bookmarkEnd w:id="185"/>
      <w:bookmarkEnd w:id="186"/>
      <w:bookmarkEnd w:id="187"/>
      <w:bookmarkEnd w:id="188"/>
      <w:bookmarkEnd w:id="189"/>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1、由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负责按国家相关标准进行产品包装且包装必须为制造商原厂包装，设备的包装均应有良好的防湿、防锈、防潮、防雨、防腐及防碰撞的措施，凡由于包装不良造成的损失和由此产生的费用均由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负责将设备材料运抵交货地点过程中的全部运输费用，包括装卸车、货物现场的搬运。</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3、各种产品,</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提供装箱清单，按装箱清单验收货物。</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4、货物在验收合格前的保险由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负责其派出的现场服务人员人身意外保险。</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7.</w:t>
      </w:r>
      <w:r>
        <w:rPr>
          <w:rFonts w:hint="eastAsia" w:ascii="宋体" w:hAnsi="宋体" w:eastAsia="宋体" w:cs="宋体"/>
          <w:color w:val="auto"/>
          <w:szCs w:val="21"/>
          <w:highlight w:val="none"/>
        </w:rPr>
        <w:t>5、</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负责本单位与本项目有关人员的人身意外保险。货物在验收合格前的保险由</w:t>
      </w:r>
      <w:r>
        <w:rPr>
          <w:rFonts w:hint="eastAsia" w:hAnsi="宋体" w:cs="宋体"/>
          <w:color w:val="auto"/>
          <w:szCs w:val="21"/>
          <w:highlight w:val="none"/>
          <w:lang w:val="en-US" w:eastAsia="zh-CN"/>
        </w:rPr>
        <w:t>卖方</w:t>
      </w:r>
      <w:r>
        <w:rPr>
          <w:rFonts w:hint="eastAsia" w:ascii="宋体" w:hAnsi="宋体" w:eastAsia="宋体" w:cs="宋体"/>
          <w:color w:val="auto"/>
          <w:szCs w:val="21"/>
          <w:highlight w:val="none"/>
        </w:rPr>
        <w:t>负责。</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负责因自身原因引发的</w:t>
      </w:r>
      <w:r>
        <w:rPr>
          <w:rFonts w:hint="eastAsia" w:hAnsi="宋体" w:cs="宋体"/>
          <w:color w:val="auto"/>
          <w:szCs w:val="21"/>
          <w:highlight w:val="none"/>
          <w:lang w:val="en-US" w:eastAsia="zh-CN"/>
        </w:rPr>
        <w:t>包括工作人员及</w:t>
      </w:r>
      <w:r>
        <w:rPr>
          <w:rFonts w:hint="eastAsia" w:ascii="宋体" w:hAnsi="宋体" w:eastAsia="宋体" w:cs="宋体"/>
          <w:color w:val="auto"/>
          <w:szCs w:val="21"/>
          <w:highlight w:val="none"/>
        </w:rPr>
        <w:t>第三方</w:t>
      </w:r>
      <w:r>
        <w:rPr>
          <w:rFonts w:hint="eastAsia" w:hAnsi="宋体" w:cs="宋体"/>
          <w:color w:val="auto"/>
          <w:szCs w:val="21"/>
          <w:highlight w:val="none"/>
          <w:lang w:val="en-US" w:eastAsia="zh-CN"/>
        </w:rPr>
        <w:t>在内的</w:t>
      </w:r>
      <w:r>
        <w:rPr>
          <w:rFonts w:hint="eastAsia" w:ascii="宋体" w:hAnsi="宋体" w:eastAsia="宋体" w:cs="宋体"/>
          <w:color w:val="auto"/>
          <w:szCs w:val="21"/>
          <w:highlight w:val="none"/>
        </w:rPr>
        <w:t>人身伤害、伤亡和财产损失的赔偿</w:t>
      </w:r>
      <w:r>
        <w:rPr>
          <w:rFonts w:hint="eastAsia" w:hAnsi="宋体" w:cs="宋体"/>
          <w:color w:val="auto"/>
          <w:szCs w:val="21"/>
          <w:highlight w:val="none"/>
          <w:lang w:eastAsia="zh-CN"/>
        </w:rPr>
        <w:t>，</w:t>
      </w:r>
      <w:r>
        <w:rPr>
          <w:rFonts w:hint="eastAsia" w:hAnsi="宋体" w:cs="宋体"/>
          <w:color w:val="auto"/>
          <w:szCs w:val="21"/>
          <w:highlight w:val="none"/>
          <w:lang w:val="en-US" w:eastAsia="zh-CN"/>
        </w:rPr>
        <w:t>若因此造成买方损失的，卖方赔偿买方由此产生的全部损失</w:t>
      </w:r>
      <w:r>
        <w:rPr>
          <w:rFonts w:hint="eastAsia" w:ascii="宋体" w:hAnsi="宋体" w:eastAsia="宋体" w:cs="宋体"/>
          <w:color w:val="auto"/>
          <w:szCs w:val="21"/>
          <w:highlight w:val="none"/>
        </w:rPr>
        <w:t>。</w:t>
      </w:r>
    </w:p>
    <w:p>
      <w:pPr>
        <w:pStyle w:val="26"/>
        <w:spacing w:line="360" w:lineRule="auto"/>
        <w:jc w:val="left"/>
        <w:outlineLvl w:val="9"/>
        <w:rPr>
          <w:rFonts w:hint="eastAsia" w:ascii="宋体" w:hAnsi="宋体" w:eastAsia="宋体" w:cs="宋体"/>
          <w:b/>
          <w:color w:val="auto"/>
          <w:szCs w:val="21"/>
          <w:highlight w:val="none"/>
        </w:rPr>
      </w:pPr>
      <w:bookmarkStart w:id="190" w:name="_Toc475521719"/>
      <w:bookmarkStart w:id="191" w:name="_Toc28104063"/>
      <w:bookmarkStart w:id="192" w:name="_Toc513820534"/>
      <w:bookmarkStart w:id="193" w:name="_Toc28103962"/>
      <w:bookmarkStart w:id="194" w:name="_Toc475521246"/>
      <w:r>
        <w:rPr>
          <w:rFonts w:hint="eastAsia" w:ascii="宋体" w:hAnsi="宋体" w:eastAsia="宋体" w:cs="宋体"/>
          <w:b/>
          <w:color w:val="auto"/>
          <w:szCs w:val="21"/>
          <w:highlight w:val="none"/>
        </w:rPr>
        <w:t>8. 质量保证及售后服务</w:t>
      </w:r>
      <w:bookmarkEnd w:id="190"/>
      <w:bookmarkEnd w:id="191"/>
      <w:bookmarkEnd w:id="192"/>
      <w:bookmarkEnd w:id="193"/>
      <w:bookmarkEnd w:id="194"/>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1、交货验收完毕后，</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有责任及时通告产品问题信息，并提供相应的解决措施，包括更换。对于</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在使用过程中发现的问题，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要及时提供相应的解决方案，保障正常使用。</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需完全服从</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在质保期内的管理，积极提供质量保修服务，不得以任何理由拖延维修。质保期内根据</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要求对产品进行定期维护和巡检，并向</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提交固定巡检人员信息和巡检报告。质保期满后提供终身保修服务。产品若出现问题时提供以下形式的技术支持服务，一般故障12小时内处理完毕，特殊故障24小时内处理完毕：</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①电话咨询：接</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通知后1小时内，</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须为</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提供电话咨询的技术援助，解答用户在使用中遇到的问题，及时提出解决问题的建议和操作方法；</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②线上服务：接</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通知后1小时内，</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须为采购人提供及时的线上咨询和技术支持服务的响应。通过线上多种方式进行技术援助，配合解决</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在使用中遇到的问题，及时提出解决问题的建议和操作方法；</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③现场响应：自收到用户的服务请求起2小时内，若以上两种服务形式不能解决问题，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应指派技术人员4小时内赶赴现场进行故障处理或到场维修。遇到重大技术问题，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应及时组织有关技术专家进行技术会诊，并在24小时内采取相应措施以确保设备的正常运行。如现场不能解决问题的，免费提供备品备件供</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使用。如</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未在规定时间内解决问题，给</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造成损失的，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须承担赔偿责任。质保期满后提供终身保修服务。响应速度同质保期内要求。</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3、交付后，</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应组织</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及相关人员进行培训，包括但不限于以下内容：</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（1）相关产品的使用、维护和保养等方法；（以使操作人员具备独立进行操作、故障处理、日常测试和维护保养等工作的能力为要求）。</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（2）相关产品的操作培训计划。</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4、对于</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在使用过程中发现的问题，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要及时提供相应的解决方案，保障正常使用。产品在用户使用的头三个月内，同一产品出现三次质量问题，</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应免费整机更换。</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5、质保期内及质保期满后均应按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要求提供软硬件系统优化、功能升级和故障分析等服务，配合</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完成相关系统和平台对接工作，不再另计费用。</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6、在质保期结束前，须由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和</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进行一次全面检查，任何缺陷必须由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负责修理，在修理之后，</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应将缺陷原因、修理内容、完成修理及恢复正常的时间和日期等报告给</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7、</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应加强平台管理，按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要求开展网络安全自查工作并及时整改。因</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过失导致的网络安全事件，相关损失与责任全部由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8.</w:t>
      </w:r>
      <w:r>
        <w:rPr>
          <w:rFonts w:hint="eastAsia" w:ascii="宋体" w:hAnsi="宋体" w:eastAsia="宋体" w:cs="宋体"/>
          <w:color w:val="auto"/>
          <w:szCs w:val="21"/>
          <w:highlight w:val="none"/>
        </w:rPr>
        <w:t>8、</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须按</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要求按时提交系统完整数据库结构和相关技术文档，相关公共数据须符合</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数据交换标准。</w:t>
      </w:r>
    </w:p>
    <w:p>
      <w:pPr>
        <w:pStyle w:val="26"/>
        <w:spacing w:line="360" w:lineRule="auto"/>
        <w:jc w:val="left"/>
        <w:outlineLvl w:val="9"/>
        <w:rPr>
          <w:rFonts w:hint="eastAsia" w:ascii="宋体" w:hAnsi="宋体" w:eastAsia="宋体" w:cs="宋体"/>
          <w:b/>
          <w:color w:val="auto"/>
          <w:szCs w:val="21"/>
          <w:highlight w:val="none"/>
        </w:rPr>
      </w:pPr>
      <w:bookmarkStart w:id="195" w:name="_Toc475521729"/>
      <w:bookmarkStart w:id="196" w:name="_Toc475521256"/>
      <w:bookmarkStart w:id="197" w:name="_Toc28104073"/>
      <w:bookmarkStart w:id="198" w:name="_Toc28103972"/>
      <w:bookmarkStart w:id="199" w:name="_Toc513820544"/>
      <w:r>
        <w:rPr>
          <w:rFonts w:hint="eastAsia" w:ascii="宋体" w:hAnsi="宋体" w:eastAsia="宋体" w:cs="宋体"/>
          <w:b/>
          <w:color w:val="auto"/>
          <w:szCs w:val="21"/>
          <w:highlight w:val="none"/>
        </w:rPr>
        <w:t>9. 货物检验和技术服务</w:t>
      </w:r>
      <w:bookmarkEnd w:id="195"/>
      <w:bookmarkEnd w:id="196"/>
      <w:bookmarkEnd w:id="197"/>
      <w:bookmarkEnd w:id="198"/>
      <w:bookmarkEnd w:id="199"/>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1、合同货物产品在</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送达、安装、调试完毕五日内，由</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按照合同货物参数及技术要求进行质量验收，并签署验收意见。对验收不合格的，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应当无条件进行重新返修、更换，直至</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验收合格为止，所需费用由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自行承担，同时，</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应当承担相应违约责任。经</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催告，</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仍无法提供验收合格的货物的，</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有权解除合同并要求</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承担相应违约责任。</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2、对已验收的货物，</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如发现存在潜在的质量问题，应书面形式在质量保证期内向</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提出异议，</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应当在收到异议后的十日内予以书面答复（十日内不书面答复的视为</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同意</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异议）。经确认存在质量问题且属于原厂家更换范畴的，</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应及时给予免费更换，并由</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重新组织验收。</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3、交付的货物数量和质量均符合本合同约定的，由</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和</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出具最终验收报告，但该报告不能免除</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对货物由于设计、工艺或材料的缺陷而产生的故障或质量问题应承担的责任。全部货物经</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验收合格后，货物的风险转移到</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，此前货物灭失、损坏等风险由</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承担。</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4、本次采购货物产品如涉及地埋，</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必须负责全部的施工、地面恢复，地埋组件等，所有工作必须符合国家及行业标准。进行地埋等隐蔽工程施工时必须告知</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 xml:space="preserve">，并且进行施工现场的拍照。照片将作为使用单位的验收依据之一。 </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 xml:space="preserve">5、交付验收标准：依次序对照适用标准为： </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1) 符合中华人民共和国国家安全质量标准、环保标准或行业标准； </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2) 符合招标文件和响应承诺中采购人认可的合理最佳配置、参数及各项要求； </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3) 货物来源国官方标准。上述标准必须是有关官方机构发布的最新版本的标准； </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4) 如招标文件的技术要求或招标文件中承诺的技术要求，高于国家或行业标准，以高的标准进行验收。</w:t>
      </w:r>
    </w:p>
    <w:p>
      <w:pPr>
        <w:pStyle w:val="26"/>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outlineLvl w:val="9"/>
        <w:rPr>
          <w:rFonts w:hint="eastAsia" w:ascii="宋体" w:hAnsi="宋体" w:eastAsia="宋体" w:cs="宋体"/>
          <w:b/>
          <w:color w:val="auto"/>
          <w:szCs w:val="21"/>
          <w:highlight w:val="none"/>
        </w:rPr>
      </w:pPr>
      <w:bookmarkStart w:id="200" w:name="_Toc475521263"/>
      <w:bookmarkStart w:id="201" w:name="_Toc28103976"/>
      <w:bookmarkStart w:id="202" w:name="_Toc513820548"/>
      <w:bookmarkStart w:id="203" w:name="_Toc475521736"/>
      <w:bookmarkStart w:id="204" w:name="_Toc28104077"/>
      <w:r>
        <w:rPr>
          <w:rFonts w:hint="eastAsia" w:ascii="宋体" w:hAnsi="宋体" w:eastAsia="宋体" w:cs="宋体"/>
          <w:b/>
          <w:color w:val="auto"/>
          <w:szCs w:val="21"/>
          <w:highlight w:val="none"/>
        </w:rPr>
        <w:t>9.</w:t>
      </w: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到货货物应与投标技术描述相一致，否则买方将有权拒绝接收该批货物。</w:t>
      </w:r>
      <w:bookmarkEnd w:id="200"/>
      <w:bookmarkEnd w:id="201"/>
      <w:bookmarkEnd w:id="202"/>
      <w:bookmarkEnd w:id="203"/>
      <w:bookmarkEnd w:id="204"/>
    </w:p>
    <w:p>
      <w:pPr>
        <w:pStyle w:val="26"/>
        <w:spacing w:line="360" w:lineRule="auto"/>
        <w:jc w:val="left"/>
        <w:outlineLvl w:val="9"/>
        <w:rPr>
          <w:rFonts w:hint="eastAsia" w:ascii="宋体" w:hAnsi="宋体" w:eastAsia="宋体" w:cs="宋体"/>
          <w:b/>
          <w:color w:val="auto"/>
          <w:szCs w:val="21"/>
          <w:highlight w:val="none"/>
        </w:rPr>
      </w:pPr>
      <w:bookmarkStart w:id="205" w:name="_Toc28104078"/>
      <w:bookmarkStart w:id="206" w:name="_Toc28103977"/>
      <w:bookmarkStart w:id="207" w:name="_Toc475521737"/>
      <w:bookmarkStart w:id="208" w:name="_Toc513820549"/>
      <w:bookmarkStart w:id="209" w:name="_Toc475521264"/>
      <w:r>
        <w:rPr>
          <w:rFonts w:hint="eastAsia" w:ascii="宋体" w:hAnsi="宋体" w:eastAsia="宋体" w:cs="宋体"/>
          <w:b/>
          <w:color w:val="auto"/>
          <w:szCs w:val="21"/>
          <w:highlight w:val="none"/>
        </w:rPr>
        <w:t>10. 技术文件和资料</w:t>
      </w:r>
      <w:bookmarkEnd w:id="205"/>
      <w:bookmarkEnd w:id="206"/>
      <w:bookmarkEnd w:id="207"/>
      <w:bookmarkEnd w:id="208"/>
      <w:bookmarkEnd w:id="209"/>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卖方</w:t>
      </w:r>
      <w:r>
        <w:rPr>
          <w:rFonts w:hint="eastAsia" w:ascii="宋体" w:hAnsi="宋体" w:eastAsia="宋体" w:cs="宋体"/>
          <w:color w:val="auto"/>
          <w:szCs w:val="21"/>
          <w:highlight w:val="none"/>
        </w:rPr>
        <w:t>应于验收后向</w:t>
      </w:r>
      <w:r>
        <w:rPr>
          <w:rFonts w:hint="eastAsia" w:ascii="宋体" w:hAnsi="宋体" w:eastAsia="宋体" w:cs="宋体"/>
          <w:color w:val="auto"/>
          <w:szCs w:val="21"/>
          <w:highlight w:val="none"/>
          <w:lang w:eastAsia="zh-CN"/>
        </w:rPr>
        <w:t>买方</w:t>
      </w:r>
      <w:r>
        <w:rPr>
          <w:rFonts w:hint="eastAsia" w:ascii="宋体" w:hAnsi="宋体" w:eastAsia="宋体" w:cs="宋体"/>
          <w:color w:val="auto"/>
          <w:szCs w:val="21"/>
          <w:highlight w:val="none"/>
        </w:rPr>
        <w:t>提供验收报告、技术文档的归纳、整理、提交，并提供完整的技术资料。</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2、技术文件：货物清单、产品合格证、使用说明、检测合格报告、完整的技术资料应随货物一起送到，未按要求送达视为虚假应标，按政府采购相关法律法规处理。</w:t>
      </w:r>
    </w:p>
    <w:p>
      <w:pPr>
        <w:pStyle w:val="26"/>
        <w:spacing w:line="360" w:lineRule="auto"/>
        <w:jc w:val="left"/>
        <w:outlineLvl w:val="9"/>
        <w:rPr>
          <w:rFonts w:hint="eastAsia" w:ascii="宋体" w:hAnsi="宋体" w:eastAsia="宋体" w:cs="宋体"/>
          <w:b/>
          <w:color w:val="auto"/>
          <w:szCs w:val="21"/>
          <w:highlight w:val="none"/>
        </w:rPr>
      </w:pPr>
      <w:bookmarkStart w:id="210" w:name="_Toc475521741"/>
      <w:bookmarkStart w:id="211" w:name="_Toc28104082"/>
      <w:bookmarkStart w:id="212" w:name="_Toc28103981"/>
      <w:bookmarkStart w:id="213" w:name="_Toc513820553"/>
      <w:bookmarkStart w:id="214" w:name="_Toc475521268"/>
      <w:r>
        <w:rPr>
          <w:rFonts w:hint="eastAsia" w:ascii="宋体" w:hAnsi="宋体" w:eastAsia="宋体" w:cs="宋体"/>
          <w:b/>
          <w:color w:val="auto"/>
          <w:szCs w:val="21"/>
          <w:highlight w:val="none"/>
        </w:rPr>
        <w:t>11. 合同变更</w:t>
      </w:r>
      <w:bookmarkEnd w:id="210"/>
      <w:bookmarkEnd w:id="211"/>
      <w:bookmarkEnd w:id="212"/>
      <w:bookmarkEnd w:id="213"/>
      <w:bookmarkEnd w:id="214"/>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15" w:name="_Toc513820554"/>
      <w:bookmarkStart w:id="216" w:name="_Toc28104083"/>
      <w:bookmarkStart w:id="217" w:name="_Toc475521269"/>
      <w:bookmarkStart w:id="218" w:name="_Toc475521742"/>
      <w:bookmarkStart w:id="219" w:name="_Toc28103982"/>
      <w:r>
        <w:rPr>
          <w:rFonts w:hint="eastAsia" w:ascii="宋体" w:hAnsi="宋体" w:eastAsia="宋体" w:cs="宋体"/>
          <w:color w:val="auto"/>
          <w:szCs w:val="21"/>
          <w:highlight w:val="none"/>
        </w:rPr>
        <w:t>11.1买卖双方的任何一方对合同内容提出修改，均应以书面形式通知对方，并达成由双方签署的合同修改书。</w:t>
      </w:r>
      <w:bookmarkEnd w:id="215"/>
      <w:bookmarkEnd w:id="216"/>
      <w:bookmarkEnd w:id="217"/>
      <w:bookmarkEnd w:id="218"/>
      <w:bookmarkEnd w:id="219"/>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20" w:name="_Toc475521270"/>
      <w:bookmarkStart w:id="221" w:name="_Toc28103983"/>
      <w:bookmarkStart w:id="222" w:name="_Toc28104084"/>
      <w:bookmarkStart w:id="223" w:name="_Toc475521743"/>
      <w:bookmarkStart w:id="224" w:name="_Toc513820555"/>
      <w:r>
        <w:rPr>
          <w:rFonts w:hint="eastAsia" w:ascii="宋体" w:hAnsi="宋体" w:eastAsia="宋体" w:cs="宋体"/>
          <w:color w:val="auto"/>
          <w:szCs w:val="21"/>
          <w:highlight w:val="none"/>
        </w:rPr>
        <w:t>11.2除非买方对货物的型号、规格和涉及价格因素的技术参数和配套件提出修改，卖方不得对合同价格提出修改要求。</w:t>
      </w:r>
      <w:bookmarkEnd w:id="220"/>
      <w:bookmarkEnd w:id="221"/>
      <w:bookmarkEnd w:id="222"/>
      <w:bookmarkEnd w:id="223"/>
      <w:bookmarkEnd w:id="224"/>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25" w:name="_Toc475521271"/>
      <w:bookmarkStart w:id="226" w:name="_Toc28103984"/>
      <w:bookmarkStart w:id="227" w:name="_Toc513820556"/>
      <w:bookmarkStart w:id="228" w:name="_Toc475521744"/>
      <w:bookmarkStart w:id="229" w:name="_Toc28104085"/>
      <w:r>
        <w:rPr>
          <w:rFonts w:hint="eastAsia" w:ascii="宋体" w:hAnsi="宋体" w:eastAsia="宋体" w:cs="宋体"/>
          <w:color w:val="auto"/>
          <w:szCs w:val="21"/>
          <w:highlight w:val="none"/>
        </w:rPr>
        <w:t>11.3买方因设计施工变更货物的型号规格及数量，卖方应承诺多退少补，并及时供货保证施工进度需要。</w:t>
      </w:r>
      <w:bookmarkEnd w:id="225"/>
      <w:bookmarkEnd w:id="226"/>
      <w:bookmarkEnd w:id="227"/>
      <w:bookmarkEnd w:id="228"/>
      <w:bookmarkEnd w:id="229"/>
    </w:p>
    <w:p>
      <w:pPr>
        <w:pStyle w:val="26"/>
        <w:spacing w:line="360" w:lineRule="auto"/>
        <w:jc w:val="left"/>
        <w:outlineLvl w:val="9"/>
        <w:rPr>
          <w:rFonts w:hint="eastAsia" w:ascii="宋体" w:hAnsi="宋体" w:eastAsia="宋体" w:cs="宋体"/>
          <w:b/>
          <w:color w:val="auto"/>
          <w:szCs w:val="21"/>
          <w:highlight w:val="none"/>
        </w:rPr>
      </w:pPr>
      <w:bookmarkStart w:id="230" w:name="_Toc513820557"/>
      <w:bookmarkStart w:id="231" w:name="_Toc475521745"/>
      <w:bookmarkStart w:id="232" w:name="_Toc28103985"/>
      <w:bookmarkStart w:id="233" w:name="_Toc475521272"/>
      <w:bookmarkStart w:id="234" w:name="_Toc28104086"/>
      <w:r>
        <w:rPr>
          <w:rFonts w:hint="eastAsia" w:ascii="宋体" w:hAnsi="宋体" w:eastAsia="宋体" w:cs="宋体"/>
          <w:b/>
          <w:color w:val="auto"/>
          <w:szCs w:val="21"/>
          <w:highlight w:val="none"/>
        </w:rPr>
        <w:t>12. 违约责任</w:t>
      </w:r>
      <w:bookmarkEnd w:id="230"/>
      <w:bookmarkEnd w:id="231"/>
      <w:bookmarkEnd w:id="232"/>
      <w:bookmarkEnd w:id="233"/>
      <w:bookmarkEnd w:id="234"/>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1、卖方须严格按照采购文件要求及投标文件进行履约，未按要求履约的，或因卖方原因服务质量及诚信要求达不到约定的标准，买方有权不对其进行验收，有权要求卖方支付合同金额10%的违约金，若该违约金不足以弥补买方实际损失的，卖方还应赔偿买方所有实际损失（包括但不限于买方本身的财产损失、由此而导致的买方对任何第三方的法律责任等），同时买方有权对卖方进行双倍罚款或解除合同。</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2、若非买方原因，卖方逾期签订合同或逾期交付的，买方有权要求卖方支付逾期违约金，逾期违约金为每天1000.00元人民币，但其最终累计金额不超过合同价款的10%；卖方必须按买方指定的时间和地点按时交货上门，产品或服务不符合买方要求的,买方有权拒绝收货，买方在收货后发现存在质量问题的，卖方必须在接到采购人通知之日起3日内负责免费调换至合格，同时买方有权要求卖方承担逾期交付的违约责任。</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3、本项目不得分包、转包。卖方将本项目违规转包或分包的，买方有权解除合同，卖方应向买方支付合同金额10%的违约金，给买方造成损失的还需另行赔偿买方损失。</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4、供应商违约后，买方要求供应商继续履行合同的，卖方承担了违约责任后，仍应继续履行合同。</w:t>
      </w:r>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12.</w:t>
      </w:r>
      <w:r>
        <w:rPr>
          <w:rFonts w:hint="eastAsia" w:ascii="宋体" w:hAnsi="宋体" w:eastAsia="宋体" w:cs="宋体"/>
          <w:color w:val="auto"/>
          <w:szCs w:val="21"/>
          <w:highlight w:val="none"/>
        </w:rPr>
        <w:t>5、如因卖方工作人员在履行职务过程中的疏忽、失职、过错等故意或者过失原因给买方造成损失或侵害，包括但不限于买方本身的财产损失、由此而导致的采购人对任何第三方的法律责任等，卖方对此均应承担全部的赔偿责任。</w:t>
      </w:r>
    </w:p>
    <w:p>
      <w:pPr>
        <w:pStyle w:val="26"/>
        <w:spacing w:line="360" w:lineRule="auto"/>
        <w:jc w:val="left"/>
        <w:outlineLvl w:val="9"/>
        <w:rPr>
          <w:rFonts w:hint="eastAsia" w:ascii="宋体" w:hAnsi="宋体" w:eastAsia="宋体" w:cs="宋体"/>
          <w:b/>
          <w:color w:val="auto"/>
          <w:szCs w:val="21"/>
          <w:highlight w:val="none"/>
        </w:rPr>
      </w:pPr>
      <w:bookmarkStart w:id="235" w:name="_Toc513820571"/>
      <w:bookmarkStart w:id="236" w:name="_Toc475521759"/>
      <w:bookmarkStart w:id="237" w:name="_Toc28103999"/>
      <w:bookmarkStart w:id="238" w:name="_Toc28104100"/>
      <w:bookmarkStart w:id="239" w:name="_Toc475521286"/>
      <w:r>
        <w:rPr>
          <w:rFonts w:hint="eastAsia" w:ascii="宋体" w:hAnsi="宋体" w:eastAsia="宋体" w:cs="宋体"/>
          <w:b/>
          <w:color w:val="auto"/>
          <w:szCs w:val="21"/>
          <w:highlight w:val="none"/>
        </w:rPr>
        <w:t>13. 合同纠纷解决方式</w:t>
      </w:r>
      <w:bookmarkEnd w:id="235"/>
      <w:bookmarkEnd w:id="236"/>
      <w:bookmarkEnd w:id="237"/>
      <w:bookmarkEnd w:id="238"/>
      <w:bookmarkEnd w:id="239"/>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40" w:name="_Toc28104000"/>
      <w:bookmarkStart w:id="241" w:name="_Toc513820572"/>
      <w:bookmarkStart w:id="242" w:name="_Toc28104101"/>
      <w:bookmarkStart w:id="243" w:name="_Toc475521760"/>
      <w:bookmarkStart w:id="244" w:name="_Toc475521287"/>
      <w:r>
        <w:rPr>
          <w:rFonts w:hint="eastAsia" w:ascii="宋体" w:hAnsi="宋体" w:eastAsia="宋体" w:cs="宋体"/>
          <w:color w:val="auto"/>
          <w:szCs w:val="21"/>
          <w:highlight w:val="none"/>
        </w:rPr>
        <w:t>13.1凡有关本合同或执行本合同中发生的争端，买卖双方应通过友好协商，妥善解决。如通过协商仍不能解决时，可向</w:t>
      </w:r>
      <w:r>
        <w:rPr>
          <w:rFonts w:hint="eastAsia" w:ascii="宋体" w:hAnsi="宋体" w:eastAsia="宋体" w:cs="宋体"/>
          <w:color w:val="auto"/>
          <w:szCs w:val="21"/>
          <w:highlight w:val="none"/>
          <w:u w:val="single"/>
          <w:lang w:eastAsia="zh-CN"/>
        </w:rPr>
        <w:t>温州</w:t>
      </w:r>
      <w:r>
        <w:rPr>
          <w:rFonts w:hint="eastAsia" w:ascii="宋体" w:hAnsi="宋体" w:eastAsia="宋体" w:cs="宋体"/>
          <w:color w:val="auto"/>
          <w:szCs w:val="21"/>
          <w:highlight w:val="none"/>
          <w:u w:val="single"/>
        </w:rPr>
        <w:t>市</w:t>
      </w:r>
      <w:r>
        <w:rPr>
          <w:rFonts w:hint="eastAsia" w:hAnsi="宋体" w:cs="宋体"/>
          <w:color w:val="auto"/>
          <w:szCs w:val="21"/>
          <w:highlight w:val="none"/>
          <w:u w:val="single"/>
          <w:lang w:val="en-US" w:eastAsia="zh-CN"/>
        </w:rPr>
        <w:t>龙湾区</w:t>
      </w:r>
      <w:r>
        <w:rPr>
          <w:rFonts w:hint="eastAsia" w:ascii="宋体" w:hAnsi="宋体" w:eastAsia="宋体" w:cs="宋体"/>
          <w:color w:val="auto"/>
          <w:szCs w:val="21"/>
          <w:highlight w:val="none"/>
          <w:u w:val="single"/>
        </w:rPr>
        <w:t>人民法院</w:t>
      </w:r>
      <w:r>
        <w:rPr>
          <w:rFonts w:hint="eastAsia" w:ascii="宋体" w:hAnsi="宋体" w:eastAsia="宋体" w:cs="宋体"/>
          <w:color w:val="auto"/>
          <w:szCs w:val="21"/>
          <w:highlight w:val="none"/>
        </w:rPr>
        <w:t>起诉。</w:t>
      </w:r>
      <w:bookmarkEnd w:id="240"/>
      <w:bookmarkEnd w:id="241"/>
      <w:bookmarkEnd w:id="242"/>
      <w:bookmarkEnd w:id="243"/>
      <w:bookmarkEnd w:id="244"/>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45" w:name="_Toc513820573"/>
      <w:bookmarkStart w:id="246" w:name="_Toc28104001"/>
      <w:bookmarkStart w:id="247" w:name="_Toc475521288"/>
      <w:bookmarkStart w:id="248" w:name="_Toc28104102"/>
      <w:bookmarkStart w:id="249" w:name="_Toc475521761"/>
      <w:r>
        <w:rPr>
          <w:rFonts w:hint="eastAsia" w:ascii="宋体" w:hAnsi="宋体" w:eastAsia="宋体" w:cs="宋体"/>
          <w:color w:val="auto"/>
          <w:szCs w:val="21"/>
          <w:highlight w:val="none"/>
        </w:rPr>
        <w:t>13.2诉讼费用除</w:t>
      </w:r>
      <w:r>
        <w:rPr>
          <w:rFonts w:hint="eastAsia" w:hAnsi="宋体" w:cs="宋体"/>
          <w:color w:val="auto"/>
          <w:szCs w:val="21"/>
          <w:highlight w:val="none"/>
          <w:lang w:val="en-US" w:eastAsia="zh-CN"/>
        </w:rPr>
        <w:t>人民法院</w:t>
      </w:r>
      <w:r>
        <w:rPr>
          <w:rFonts w:hint="eastAsia" w:ascii="宋体" w:hAnsi="宋体" w:eastAsia="宋体" w:cs="宋体"/>
          <w:color w:val="auto"/>
          <w:szCs w:val="21"/>
          <w:highlight w:val="none"/>
        </w:rPr>
        <w:t>另有</w:t>
      </w:r>
      <w:r>
        <w:rPr>
          <w:rFonts w:hint="eastAsia" w:hAnsi="宋体" w:cs="宋体"/>
          <w:color w:val="auto"/>
          <w:szCs w:val="21"/>
          <w:highlight w:val="none"/>
          <w:lang w:val="en-US" w:eastAsia="zh-CN"/>
        </w:rPr>
        <w:t>判</w:t>
      </w:r>
      <w:r>
        <w:rPr>
          <w:rFonts w:hint="eastAsia" w:ascii="宋体" w:hAnsi="宋体" w:eastAsia="宋体" w:cs="宋体"/>
          <w:color w:val="auto"/>
          <w:szCs w:val="21"/>
          <w:highlight w:val="none"/>
        </w:rPr>
        <w:t>决外，由败诉方承担。</w:t>
      </w:r>
      <w:bookmarkEnd w:id="245"/>
      <w:bookmarkEnd w:id="246"/>
      <w:bookmarkEnd w:id="247"/>
      <w:bookmarkEnd w:id="248"/>
      <w:bookmarkEnd w:id="249"/>
    </w:p>
    <w:p>
      <w:pPr>
        <w:pStyle w:val="26"/>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outlineLvl w:val="9"/>
        <w:rPr>
          <w:rFonts w:hint="eastAsia" w:ascii="宋体" w:hAnsi="宋体" w:eastAsia="宋体" w:cs="宋体"/>
          <w:color w:val="auto"/>
          <w:szCs w:val="21"/>
          <w:highlight w:val="none"/>
        </w:rPr>
      </w:pPr>
      <w:bookmarkStart w:id="250" w:name="_Toc513820574"/>
      <w:bookmarkStart w:id="251" w:name="_Toc475521762"/>
      <w:bookmarkStart w:id="252" w:name="_Toc28104103"/>
      <w:bookmarkStart w:id="253" w:name="_Toc28104002"/>
      <w:bookmarkStart w:id="254" w:name="_Toc475521289"/>
      <w:r>
        <w:rPr>
          <w:rFonts w:hint="eastAsia" w:ascii="宋体" w:hAnsi="宋体" w:eastAsia="宋体" w:cs="宋体"/>
          <w:color w:val="auto"/>
          <w:szCs w:val="21"/>
          <w:highlight w:val="none"/>
        </w:rPr>
        <w:t>13.3在诉讼期间，除正在进行诉讼的部分外，本合同其他部分应继续执行。</w:t>
      </w:r>
      <w:bookmarkEnd w:id="250"/>
      <w:bookmarkEnd w:id="251"/>
      <w:bookmarkEnd w:id="252"/>
      <w:bookmarkEnd w:id="253"/>
      <w:bookmarkEnd w:id="254"/>
    </w:p>
    <w:p>
      <w:pPr>
        <w:pStyle w:val="26"/>
        <w:spacing w:line="360" w:lineRule="auto"/>
        <w:jc w:val="left"/>
        <w:outlineLvl w:val="9"/>
        <w:rPr>
          <w:rFonts w:hint="eastAsia" w:ascii="宋体" w:hAnsi="宋体" w:eastAsia="宋体" w:cs="宋体"/>
          <w:b/>
          <w:color w:val="auto"/>
          <w:szCs w:val="21"/>
          <w:highlight w:val="none"/>
        </w:rPr>
      </w:pPr>
      <w:bookmarkStart w:id="255" w:name="_Toc28104003"/>
      <w:bookmarkStart w:id="256" w:name="_Toc28104104"/>
      <w:bookmarkStart w:id="257" w:name="_Toc475521763"/>
      <w:bookmarkStart w:id="258" w:name="_Toc513820575"/>
      <w:bookmarkStart w:id="259" w:name="_Toc475521290"/>
      <w:r>
        <w:rPr>
          <w:rFonts w:hint="eastAsia" w:ascii="宋体" w:hAnsi="宋体" w:eastAsia="宋体" w:cs="宋体"/>
          <w:b/>
          <w:color w:val="auto"/>
          <w:szCs w:val="21"/>
          <w:highlight w:val="none"/>
        </w:rPr>
        <w:t>14. 适用法律</w:t>
      </w:r>
      <w:bookmarkEnd w:id="255"/>
      <w:bookmarkEnd w:id="256"/>
      <w:bookmarkEnd w:id="257"/>
      <w:bookmarkEnd w:id="258"/>
      <w:bookmarkEnd w:id="259"/>
    </w:p>
    <w:p>
      <w:pPr>
        <w:pStyle w:val="26"/>
        <w:spacing w:line="360" w:lineRule="auto"/>
        <w:ind w:firstLine="420" w:firstLineChars="200"/>
        <w:jc w:val="left"/>
        <w:outlineLvl w:val="9"/>
        <w:rPr>
          <w:rFonts w:hint="eastAsia" w:ascii="宋体" w:hAnsi="宋体" w:eastAsia="宋体" w:cs="宋体"/>
          <w:color w:val="auto"/>
          <w:szCs w:val="21"/>
          <w:highlight w:val="none"/>
        </w:rPr>
      </w:pPr>
      <w:bookmarkStart w:id="260" w:name="_Toc475521291"/>
      <w:bookmarkStart w:id="261" w:name="_Toc475521764"/>
      <w:bookmarkStart w:id="262" w:name="_Toc513820576"/>
      <w:bookmarkStart w:id="263" w:name="_Toc28104105"/>
      <w:bookmarkStart w:id="264" w:name="_Toc28104004"/>
      <w:r>
        <w:rPr>
          <w:rFonts w:hint="eastAsia" w:ascii="宋体" w:hAnsi="宋体" w:eastAsia="宋体" w:cs="宋体"/>
          <w:color w:val="auto"/>
          <w:szCs w:val="21"/>
          <w:highlight w:val="none"/>
        </w:rPr>
        <w:t>14.1本合同按照中华人民共和国的生效法律、法规和浙江省、温州市政府的规定进行解释。</w:t>
      </w:r>
      <w:bookmarkEnd w:id="260"/>
      <w:bookmarkEnd w:id="261"/>
      <w:bookmarkEnd w:id="262"/>
      <w:bookmarkEnd w:id="263"/>
      <w:bookmarkEnd w:id="264"/>
    </w:p>
    <w:p>
      <w:pPr>
        <w:pStyle w:val="26"/>
        <w:spacing w:line="360" w:lineRule="auto"/>
        <w:jc w:val="left"/>
        <w:outlineLvl w:val="9"/>
        <w:rPr>
          <w:rFonts w:hint="eastAsia" w:ascii="宋体" w:hAnsi="宋体" w:eastAsia="宋体" w:cs="宋体"/>
          <w:b/>
          <w:color w:val="auto"/>
          <w:szCs w:val="21"/>
          <w:highlight w:val="none"/>
        </w:rPr>
      </w:pPr>
      <w:bookmarkStart w:id="265" w:name="_Toc28104005"/>
      <w:bookmarkStart w:id="266" w:name="_Toc513820577"/>
      <w:bookmarkStart w:id="267" w:name="_Toc28104106"/>
      <w:bookmarkStart w:id="268" w:name="_Toc475521765"/>
      <w:bookmarkStart w:id="269" w:name="_Toc475521292"/>
      <w:r>
        <w:rPr>
          <w:rFonts w:hint="eastAsia" w:ascii="宋体" w:hAnsi="宋体" w:eastAsia="宋体" w:cs="宋体"/>
          <w:b/>
          <w:color w:val="auto"/>
          <w:szCs w:val="21"/>
          <w:highlight w:val="none"/>
        </w:rPr>
        <w:t>15. 合同生效及其他</w:t>
      </w:r>
      <w:bookmarkEnd w:id="265"/>
      <w:bookmarkEnd w:id="266"/>
      <w:bookmarkEnd w:id="267"/>
      <w:bookmarkEnd w:id="268"/>
      <w:bookmarkEnd w:id="269"/>
    </w:p>
    <w:p>
      <w:pPr>
        <w:pStyle w:val="26"/>
        <w:spacing w:line="360" w:lineRule="auto"/>
        <w:ind w:firstLine="420" w:firstLineChars="200"/>
        <w:jc w:val="left"/>
        <w:outlineLvl w:val="9"/>
        <w:rPr>
          <w:rFonts w:hint="eastAsia" w:ascii="宋体" w:hAnsi="宋体" w:eastAsia="宋体" w:cs="宋体"/>
          <w:color w:val="auto"/>
          <w:szCs w:val="21"/>
          <w:highlight w:val="none"/>
        </w:rPr>
      </w:pPr>
      <w:bookmarkStart w:id="270" w:name="_Toc513820578"/>
      <w:bookmarkStart w:id="271" w:name="_Toc475521293"/>
      <w:bookmarkStart w:id="272" w:name="_Toc28104006"/>
      <w:bookmarkStart w:id="273" w:name="_Toc28104107"/>
      <w:bookmarkStart w:id="274" w:name="_Toc475521766"/>
      <w:r>
        <w:rPr>
          <w:rFonts w:hint="eastAsia" w:ascii="宋体" w:hAnsi="宋体" w:eastAsia="宋体" w:cs="宋体"/>
          <w:color w:val="auto"/>
          <w:szCs w:val="21"/>
          <w:highlight w:val="none"/>
        </w:rPr>
        <w:t>15.1合同应在双方签字盖公章后生效，招、投标文件、补充文件及询标答疑纪要作为本合同的附件，与本合同具有同等法律效力，解释顺序按时间逆序优先执行。</w:t>
      </w:r>
      <w:bookmarkEnd w:id="270"/>
      <w:bookmarkEnd w:id="271"/>
      <w:bookmarkEnd w:id="272"/>
      <w:bookmarkEnd w:id="273"/>
      <w:bookmarkEnd w:id="274"/>
    </w:p>
    <w:p>
      <w:pPr>
        <w:pStyle w:val="26"/>
        <w:spacing w:line="360" w:lineRule="auto"/>
        <w:ind w:firstLine="420" w:firstLineChars="200"/>
        <w:jc w:val="left"/>
        <w:outlineLvl w:val="9"/>
        <w:rPr>
          <w:rFonts w:hint="eastAsia" w:ascii="宋体" w:hAnsi="宋体" w:eastAsia="宋体" w:cs="宋体"/>
          <w:color w:val="auto"/>
          <w:szCs w:val="21"/>
          <w:highlight w:val="none"/>
        </w:rPr>
      </w:pPr>
      <w:bookmarkStart w:id="275" w:name="_Toc28104007"/>
      <w:bookmarkStart w:id="276" w:name="_Toc28104108"/>
      <w:bookmarkStart w:id="277" w:name="_Toc475521767"/>
      <w:bookmarkStart w:id="278" w:name="_Toc513820579"/>
      <w:bookmarkStart w:id="279" w:name="_Toc475521294"/>
      <w:r>
        <w:rPr>
          <w:rFonts w:hint="eastAsia" w:ascii="宋体" w:hAnsi="宋体" w:eastAsia="宋体" w:cs="宋体"/>
          <w:color w:val="auto"/>
          <w:szCs w:val="21"/>
          <w:highlight w:val="none"/>
        </w:rPr>
        <w:t>15.2本合同共4份，买方执2份，卖方执2份，同等生效。</w:t>
      </w:r>
      <w:bookmarkEnd w:id="275"/>
      <w:bookmarkEnd w:id="276"/>
      <w:bookmarkEnd w:id="277"/>
      <w:bookmarkEnd w:id="278"/>
      <w:bookmarkEnd w:id="279"/>
    </w:p>
    <w:p>
      <w:pPr>
        <w:pStyle w:val="26"/>
        <w:spacing w:line="360" w:lineRule="auto"/>
        <w:jc w:val="left"/>
        <w:outlineLvl w:val="9"/>
        <w:rPr>
          <w:rFonts w:hint="eastAsia" w:ascii="宋体" w:hAnsi="宋体" w:eastAsia="宋体" w:cs="宋体"/>
          <w:color w:val="auto"/>
          <w:szCs w:val="21"/>
          <w:highlight w:val="none"/>
        </w:rPr>
      </w:pPr>
      <w:bookmarkStart w:id="280" w:name="_Toc513820580"/>
      <w:bookmarkStart w:id="281" w:name="_Toc28104008"/>
      <w:bookmarkStart w:id="282" w:name="_Toc475521295"/>
      <w:bookmarkStart w:id="283" w:name="_Toc475521768"/>
      <w:bookmarkStart w:id="284" w:name="_Toc28104109"/>
      <w:r>
        <w:rPr>
          <w:rFonts w:hint="eastAsia" w:ascii="宋体" w:hAnsi="宋体" w:eastAsia="宋体" w:cs="宋体"/>
          <w:b/>
          <w:bCs/>
          <w:color w:val="auto"/>
          <w:szCs w:val="21"/>
          <w:highlight w:val="none"/>
        </w:rPr>
        <w:t>16.</w:t>
      </w:r>
      <w:r>
        <w:rPr>
          <w:rFonts w:hint="eastAsia" w:ascii="宋体" w:hAnsi="宋体" w:eastAsia="宋体" w:cs="宋体"/>
          <w:color w:val="auto"/>
          <w:szCs w:val="21"/>
          <w:highlight w:val="none"/>
        </w:rPr>
        <w:t xml:space="preserve"> </w:t>
      </w:r>
      <w:r>
        <w:rPr>
          <w:rFonts w:hint="eastAsia" w:ascii="宋体" w:hAnsi="宋体" w:eastAsia="宋体" w:cs="宋体"/>
          <w:b/>
          <w:color w:val="auto"/>
          <w:szCs w:val="21"/>
          <w:highlight w:val="none"/>
        </w:rPr>
        <w:t>双方约定的其它事宜</w:t>
      </w:r>
      <w:r>
        <w:rPr>
          <w:rFonts w:hint="eastAsia" w:ascii="宋体" w:hAnsi="宋体" w:eastAsia="宋体" w:cs="宋体"/>
          <w:b/>
          <w:color w:val="auto"/>
          <w:szCs w:val="21"/>
          <w:highlight w:val="none"/>
          <w:u w:val="single"/>
        </w:rPr>
        <w:t xml:space="preserve">                                                      </w:t>
      </w:r>
      <w:r>
        <w:rPr>
          <w:rFonts w:hint="eastAsia" w:ascii="宋体" w:hAnsi="宋体" w:eastAsia="宋体" w:cs="宋体"/>
          <w:b/>
          <w:color w:val="auto"/>
          <w:szCs w:val="21"/>
          <w:highlight w:val="none"/>
        </w:rPr>
        <w:t xml:space="preserve"> 。</w:t>
      </w:r>
      <w:bookmarkEnd w:id="280"/>
      <w:bookmarkEnd w:id="281"/>
      <w:bookmarkEnd w:id="282"/>
      <w:bookmarkEnd w:id="283"/>
      <w:bookmarkEnd w:id="284"/>
    </w:p>
    <w:p>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买方（盖章） ：                           卖方（盖章）： </w:t>
      </w:r>
    </w:p>
    <w:p>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法定代表人或授权委托人（签字）：           法定代表人或授权委托人（签字）：</w:t>
      </w:r>
    </w:p>
    <w:p>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开户银行：                                开户银行：</w:t>
      </w:r>
    </w:p>
    <w:p>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帐号：                                    帐号：</w:t>
      </w:r>
    </w:p>
    <w:p>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                                  联系人：</w:t>
      </w:r>
    </w:p>
    <w:p>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                                联系电话：</w:t>
      </w:r>
    </w:p>
    <w:p>
      <w:pPr>
        <w:pStyle w:val="175"/>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签约日期：                                签约日期：</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highlight w:val="none"/>
        </w:rPr>
        <w:t>注：本合同作为示范文本（含廉政承诺书（必须提供）），具体以中标人与采购人所签定正式合同为准。</w:t>
      </w:r>
    </w:p>
    <w:p>
      <w:pPr>
        <w:rPr>
          <w:rFonts w:hint="eastAsia" w:ascii="宋体" w:hAnsi="宋体" w:eastAsia="宋体" w:cs="宋体"/>
          <w:color w:val="auto"/>
          <w:szCs w:val="21"/>
          <w:highlight w:val="none"/>
        </w:rPr>
      </w:pPr>
    </w:p>
    <w:p>
      <w:pPr>
        <w:snapToGrid w:val="0"/>
        <w:spacing w:line="360" w:lineRule="exact"/>
        <w:ind w:firstLine="211" w:firstLineChars="100"/>
        <w:jc w:val="center"/>
        <w:rPr>
          <w:rFonts w:hint="eastAsia" w:ascii="宋体" w:hAnsi="宋体" w:eastAsia="宋体" w:cs="宋体"/>
          <w:b/>
          <w:bCs/>
          <w:color w:val="auto"/>
          <w:kern w:val="24"/>
          <w:sz w:val="28"/>
          <w:szCs w:val="28"/>
          <w:highlight w:val="none"/>
        </w:rPr>
      </w:pPr>
      <w:r>
        <w:rPr>
          <w:rFonts w:hint="eastAsia" w:ascii="宋体" w:hAnsi="宋体" w:eastAsia="宋体" w:cs="宋体"/>
          <w:b/>
          <w:bCs/>
          <w:color w:val="auto"/>
          <w:szCs w:val="28"/>
          <w:highlight w:val="none"/>
        </w:rPr>
        <w:br w:type="page"/>
      </w:r>
      <w:r>
        <w:rPr>
          <w:rFonts w:hint="eastAsia" w:ascii="宋体" w:hAnsi="宋体" w:eastAsia="宋体" w:cs="宋体"/>
          <w:b/>
          <w:bCs/>
          <w:color w:val="auto"/>
          <w:kern w:val="24"/>
          <w:sz w:val="28"/>
          <w:szCs w:val="28"/>
          <w:highlight w:val="none"/>
        </w:rPr>
        <w:t>廉政承诺书</w:t>
      </w:r>
    </w:p>
    <w:p>
      <w:pPr>
        <w:spacing w:line="5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根据国家反腐倡廉精神要求，以及</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有关工程建设、廉政建设规定，我向</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作出郑重的廉政承诺：</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1、严格遵守</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及各下属公司招投标、廉政建设相关制度，管理好本单位工作人员，诚实做人，诚信做事。</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不向业主单位管理人员行贿；不邀请业主单位管理人员参股或搭暗股；不向业主单位管理人员送礼金（品）、送回扣、送验收（评审）红包、送有价证券等物品；不宴请业主单位管理人员和安排健身、娱乐活动；不向业主单位管理人员提供通讯工具、交通工具等。</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3、不参加业主单位管理人员（或家人）的婚丧嫁娶等活动，拒绝业主单位管理人员个人提供的材料设备、工程分包、劳务等经济活动要求，拒绝业主单位管理人员有关工作安插要求，不向业主单位管理人员提供各类长短途旅游等休闲活动。</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4、保证在工程建设中以设备质量、工程质量为重，积极配合业主单位和监理单位，保质保量完成设备安装、工程建设，承诺在设备供应和工程建设中的所作所为能经受历史的检验并终身负责。  </w:t>
      </w:r>
    </w:p>
    <w:p>
      <w:pPr>
        <w:spacing w:line="5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以上承诺如有违反，本人自愿接受党纪、政纪处理及</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 xml:space="preserve">管理制度处置，甚至法律制裁。  </w:t>
      </w:r>
    </w:p>
    <w:p>
      <w:pPr>
        <w:spacing w:line="520" w:lineRule="exact"/>
        <w:ind w:right="-316"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特此承诺。                               </w:t>
      </w:r>
    </w:p>
    <w:p>
      <w:pPr>
        <w:spacing w:line="520" w:lineRule="exact"/>
        <w:ind w:right="-316" w:firstLine="3360" w:firstLineChars="1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承诺人：            （签字）</w:t>
      </w:r>
    </w:p>
    <w:p>
      <w:pPr>
        <w:spacing w:line="520" w:lineRule="exact"/>
        <w:ind w:firstLine="3360" w:firstLineChars="16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时 间：</w:t>
      </w:r>
    </w:p>
    <w:p>
      <w:pPr>
        <w:rPr>
          <w:rFonts w:hint="eastAsia" w:ascii="宋体" w:hAnsi="宋体" w:eastAsia="宋体" w:cs="宋体"/>
          <w:color w:val="auto"/>
          <w:szCs w:val="21"/>
          <w:highlight w:val="none"/>
        </w:rPr>
      </w:pPr>
    </w:p>
    <w:p>
      <w:pPr>
        <w:rPr>
          <w:rFonts w:hint="eastAsia" w:ascii="宋体" w:hAnsi="宋体" w:eastAsia="宋体" w:cs="宋体"/>
          <w:color w:val="auto"/>
          <w:szCs w:val="21"/>
          <w:highlight w:val="none"/>
        </w:rPr>
      </w:pPr>
    </w:p>
    <w:p>
      <w:pPr>
        <w:snapToGrid w:val="0"/>
        <w:spacing w:before="120" w:beforeLines="50" w:after="120" w:afterLines="50"/>
        <w:rPr>
          <w:rFonts w:hint="eastAsia" w:ascii="宋体" w:hAnsi="宋体" w:eastAsia="宋体" w:cs="宋体"/>
          <w:color w:val="auto"/>
          <w:highlight w:val="none"/>
        </w:rPr>
      </w:pPr>
      <w:r>
        <w:rPr>
          <w:rFonts w:hint="eastAsia" w:ascii="宋体" w:hAnsi="宋体" w:eastAsia="宋体" w:cs="宋体"/>
          <w:color w:val="auto"/>
          <w:szCs w:val="21"/>
          <w:highlight w:val="none"/>
        </w:rPr>
        <w:t>（本承诺书一式两份，本人与</w:t>
      </w:r>
      <w:r>
        <w:rPr>
          <w:rFonts w:hint="eastAsia" w:ascii="宋体" w:hAnsi="宋体" w:eastAsia="宋体" w:cs="宋体"/>
          <w:color w:val="auto"/>
          <w:szCs w:val="21"/>
          <w:highlight w:val="none"/>
          <w:lang w:eastAsia="zh-CN"/>
        </w:rPr>
        <w:t>温州瓯瓷产业发展有限公司</w:t>
      </w:r>
      <w:r>
        <w:rPr>
          <w:rFonts w:hint="eastAsia" w:ascii="宋体" w:hAnsi="宋体" w:eastAsia="宋体" w:cs="宋体"/>
          <w:color w:val="auto"/>
          <w:szCs w:val="21"/>
          <w:highlight w:val="none"/>
        </w:rPr>
        <w:t>各存1份）</w:t>
      </w:r>
    </w:p>
    <w:p>
      <w:pPr>
        <w:snapToGrid w:val="0"/>
        <w:spacing w:line="360" w:lineRule="auto"/>
        <w:ind w:firstLine="211" w:firstLineChars="100"/>
        <w:rPr>
          <w:rFonts w:hint="eastAsia" w:ascii="宋体" w:hAnsi="宋体" w:eastAsia="宋体" w:cs="宋体"/>
          <w:b/>
          <w:color w:val="auto"/>
          <w:szCs w:val="21"/>
          <w:highlight w:val="none"/>
        </w:rPr>
      </w:pPr>
    </w:p>
    <w:p>
      <w:pPr>
        <w:snapToGrid w:val="0"/>
        <w:spacing w:line="360" w:lineRule="auto"/>
        <w:ind w:firstLine="211" w:firstLineChars="100"/>
        <w:rPr>
          <w:rFonts w:hint="eastAsia" w:ascii="宋体" w:hAnsi="宋体" w:eastAsia="宋体" w:cs="宋体"/>
          <w:b/>
          <w:color w:val="auto"/>
          <w:szCs w:val="21"/>
          <w:highlight w:val="none"/>
        </w:rPr>
      </w:pPr>
    </w:p>
    <w:p>
      <w:pPr>
        <w:snapToGrid w:val="0"/>
        <w:spacing w:line="360" w:lineRule="auto"/>
        <w:ind w:firstLine="211" w:firstLineChars="100"/>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注：本合同作为示范文本（含廉政承诺书（必须提供），具体以中标人与</w:t>
      </w:r>
      <w:r>
        <w:rPr>
          <w:rFonts w:hint="eastAsia" w:ascii="宋体" w:hAnsi="宋体" w:eastAsia="宋体" w:cs="宋体"/>
          <w:b/>
          <w:color w:val="auto"/>
          <w:szCs w:val="21"/>
          <w:highlight w:val="none"/>
          <w:lang w:eastAsia="zh-CN"/>
        </w:rPr>
        <w:t>采购人</w:t>
      </w:r>
      <w:r>
        <w:rPr>
          <w:rFonts w:hint="eastAsia" w:ascii="宋体" w:hAnsi="宋体" w:eastAsia="宋体" w:cs="宋体"/>
          <w:b/>
          <w:color w:val="auto"/>
          <w:szCs w:val="21"/>
          <w:highlight w:val="none"/>
        </w:rPr>
        <w:t>所签定正式合同为准。</w:t>
      </w:r>
    </w:p>
    <w:p>
      <w:pPr>
        <w:pStyle w:val="20"/>
        <w:spacing w:after="50" w:line="360" w:lineRule="auto"/>
        <w:ind w:firstLine="0"/>
        <w:jc w:val="both"/>
        <w:outlineLvl w:val="9"/>
        <w:rPr>
          <w:rFonts w:hint="eastAsia" w:ascii="宋体" w:hAnsi="宋体" w:eastAsia="宋体" w:cs="宋体"/>
          <w:b/>
          <w:bCs/>
          <w:color w:val="auto"/>
          <w:szCs w:val="28"/>
          <w:highlight w:val="none"/>
        </w:rPr>
      </w:pPr>
    </w:p>
    <w:p>
      <w:pPr>
        <w:pStyle w:val="20"/>
        <w:spacing w:after="50" w:line="360" w:lineRule="auto"/>
        <w:ind w:firstLine="0"/>
        <w:jc w:val="both"/>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br w:type="page"/>
      </w:r>
    </w:p>
    <w:p>
      <w:pPr>
        <w:pStyle w:val="20"/>
        <w:spacing w:after="50" w:line="360" w:lineRule="auto"/>
        <w:ind w:firstLine="0"/>
        <w:jc w:val="center"/>
        <w:outlineLvl w:val="0"/>
        <w:rPr>
          <w:rFonts w:hint="eastAsia" w:ascii="宋体" w:hAnsi="宋体" w:eastAsia="宋体" w:cs="宋体"/>
          <w:b/>
          <w:bCs/>
          <w:color w:val="auto"/>
          <w:sz w:val="36"/>
          <w:highlight w:val="none"/>
        </w:rPr>
      </w:pPr>
      <w:bookmarkStart w:id="285" w:name="_Toc816"/>
      <w:r>
        <w:rPr>
          <w:rFonts w:hint="eastAsia" w:ascii="宋体" w:hAnsi="宋体" w:eastAsia="宋体" w:cs="宋体"/>
          <w:b/>
          <w:bCs/>
          <w:color w:val="auto"/>
          <w:szCs w:val="28"/>
          <w:highlight w:val="none"/>
        </w:rPr>
        <w:t>第五部分  投标文件格式</w:t>
      </w:r>
      <w:bookmarkEnd w:id="75"/>
      <w:bookmarkEnd w:id="76"/>
      <w:bookmarkEnd w:id="285"/>
    </w:p>
    <w:p>
      <w:pPr>
        <w:numPr>
          <w:ilvl w:val="0"/>
          <w:numId w:val="0"/>
        </w:numPr>
        <w:tabs>
          <w:tab w:val="left" w:pos="5106"/>
        </w:tabs>
        <w:spacing w:after="312" w:afterLines="100" w:line="400" w:lineRule="exact"/>
        <w:jc w:val="center"/>
        <w:outlineLvl w:val="1"/>
        <w:rPr>
          <w:rFonts w:hint="eastAsia" w:ascii="宋体" w:hAnsi="宋体" w:eastAsia="宋体" w:cs="宋体"/>
          <w:b/>
          <w:bCs/>
          <w:color w:val="auto"/>
          <w:sz w:val="28"/>
          <w:szCs w:val="36"/>
          <w:highlight w:val="none"/>
        </w:rPr>
      </w:pPr>
      <w:bookmarkStart w:id="286" w:name="_Toc29924"/>
      <w:bookmarkStart w:id="287" w:name="_Toc29280"/>
      <w:bookmarkStart w:id="288" w:name="_Toc11753"/>
      <w:r>
        <w:rPr>
          <w:rFonts w:hint="eastAsia" w:ascii="宋体" w:hAnsi="宋体" w:eastAsia="宋体" w:cs="宋体"/>
          <w:b/>
          <w:bCs/>
          <w:color w:val="auto"/>
          <w:sz w:val="28"/>
          <w:szCs w:val="36"/>
          <w:highlight w:val="none"/>
        </w:rPr>
        <w:t>附件</w:t>
      </w:r>
      <w:r>
        <w:rPr>
          <w:rFonts w:hint="eastAsia" w:ascii="宋体" w:hAnsi="宋体" w:eastAsia="宋体" w:cs="宋体"/>
          <w:b/>
          <w:bCs/>
          <w:color w:val="auto"/>
          <w:sz w:val="28"/>
          <w:szCs w:val="36"/>
          <w:highlight w:val="none"/>
          <w:lang w:val="en-US" w:eastAsia="zh-CN"/>
        </w:rPr>
        <w:t>1</w:t>
      </w:r>
      <w:r>
        <w:rPr>
          <w:rFonts w:hint="eastAsia" w:ascii="宋体" w:hAnsi="宋体" w:eastAsia="宋体" w:cs="宋体"/>
          <w:b/>
          <w:bCs/>
          <w:color w:val="auto"/>
          <w:sz w:val="28"/>
          <w:szCs w:val="36"/>
          <w:highlight w:val="none"/>
        </w:rPr>
        <w:t xml:space="preserve">  资格</w:t>
      </w:r>
      <w:r>
        <w:rPr>
          <w:rFonts w:hint="eastAsia" w:ascii="宋体" w:hAnsi="宋体" w:eastAsia="宋体" w:cs="宋体"/>
          <w:b/>
          <w:bCs/>
          <w:color w:val="auto"/>
          <w:sz w:val="28"/>
          <w:szCs w:val="36"/>
          <w:highlight w:val="none"/>
          <w:lang w:val="en-US" w:eastAsia="zh-CN"/>
        </w:rPr>
        <w:t>审查</w:t>
      </w:r>
      <w:r>
        <w:rPr>
          <w:rFonts w:hint="eastAsia" w:ascii="宋体" w:hAnsi="宋体" w:eastAsia="宋体" w:cs="宋体"/>
          <w:b/>
          <w:bCs/>
          <w:color w:val="auto"/>
          <w:sz w:val="28"/>
          <w:szCs w:val="36"/>
          <w:highlight w:val="none"/>
        </w:rPr>
        <w:t>文件</w:t>
      </w:r>
      <w:bookmarkEnd w:id="286"/>
      <w:bookmarkEnd w:id="287"/>
      <w:bookmarkEnd w:id="288"/>
    </w:p>
    <w:p>
      <w:pPr>
        <w:rPr>
          <w:rFonts w:hint="eastAsia" w:ascii="宋体" w:hAnsi="宋体" w:eastAsia="宋体" w:cs="宋体"/>
          <w:color w:val="auto"/>
          <w:highlight w:val="none"/>
          <w:lang w:val="en-US" w:eastAsia="zh-CN"/>
        </w:rPr>
      </w:pPr>
      <w:r>
        <w:rPr>
          <w:rFonts w:hint="eastAsia" w:ascii="宋体" w:hAnsi="宋体" w:eastAsia="宋体" w:cs="宋体"/>
          <w:b/>
          <w:color w:val="auto"/>
          <w:szCs w:val="22"/>
          <w:highlight w:val="none"/>
        </w:rPr>
        <w:t>包括但不限</w:t>
      </w:r>
      <w:r>
        <w:rPr>
          <w:rFonts w:hint="eastAsia" w:ascii="宋体" w:hAnsi="宋体" w:eastAsia="宋体" w:cs="宋体"/>
          <w:b/>
          <w:color w:val="auto"/>
          <w:szCs w:val="22"/>
          <w:highlight w:val="none"/>
          <w:lang w:val="en-US" w:eastAsia="zh-CN"/>
        </w:rPr>
        <w:t>于：</w:t>
      </w:r>
    </w:p>
    <w:p>
      <w:pPr>
        <w:numPr>
          <w:ilvl w:val="0"/>
          <w:numId w:val="17"/>
        </w:numPr>
        <w:snapToGrid w:val="0"/>
        <w:spacing w:line="360" w:lineRule="exact"/>
        <w:ind w:firstLine="840" w:firstLineChars="400"/>
        <w:rPr>
          <w:rFonts w:hint="eastAsia" w:ascii="宋体" w:hAnsi="宋体" w:eastAsia="宋体" w:cs="宋体"/>
          <w:bCs/>
          <w:color w:val="auto"/>
          <w:szCs w:val="22"/>
          <w:highlight w:val="none"/>
        </w:rPr>
      </w:pPr>
      <w:r>
        <w:rPr>
          <w:rFonts w:hint="eastAsia" w:ascii="宋体" w:hAnsi="宋体" w:eastAsia="宋体" w:cs="宋体"/>
          <w:bCs/>
          <w:color w:val="auto"/>
          <w:szCs w:val="22"/>
          <w:highlight w:val="none"/>
          <w:lang w:eastAsia="zh-CN"/>
        </w:rPr>
        <w:t>投标供应商</w:t>
      </w:r>
      <w:r>
        <w:rPr>
          <w:rFonts w:hint="eastAsia" w:ascii="宋体" w:hAnsi="宋体" w:eastAsia="宋体" w:cs="宋体"/>
          <w:bCs/>
          <w:color w:val="auto"/>
          <w:szCs w:val="22"/>
          <w:highlight w:val="none"/>
        </w:rPr>
        <w:t>营业执照副本；</w:t>
      </w:r>
    </w:p>
    <w:p>
      <w:pPr>
        <w:snapToGrid w:val="0"/>
        <w:spacing w:line="360" w:lineRule="exact"/>
        <w:ind w:firstLine="840" w:firstLineChars="4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2、参加国有企业采购活动前3年内在经营活动中有/无重大违法记录的书面声明</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lang w:val="en-US" w:eastAsia="zh-CN"/>
        </w:rPr>
        <w:t>格式如下</w:t>
      </w:r>
      <w:r>
        <w:rPr>
          <w:rFonts w:hint="eastAsia" w:ascii="宋体" w:hAnsi="宋体" w:eastAsia="宋体" w:cs="宋体"/>
          <w:color w:val="auto"/>
          <w:szCs w:val="22"/>
          <w:highlight w:val="none"/>
          <w:lang w:eastAsia="zh-CN"/>
        </w:rPr>
        <w:t>）</w:t>
      </w:r>
      <w:r>
        <w:rPr>
          <w:rFonts w:hint="eastAsia" w:ascii="宋体" w:hAnsi="宋体" w:eastAsia="宋体" w:cs="宋体"/>
          <w:color w:val="auto"/>
          <w:szCs w:val="21"/>
          <w:highlight w:val="none"/>
          <w:lang w:val="en-US" w:eastAsia="zh-CN"/>
        </w:rPr>
        <w:t>；</w:t>
      </w:r>
    </w:p>
    <w:p>
      <w:pPr>
        <w:snapToGrid w:val="0"/>
        <w:spacing w:line="360" w:lineRule="exact"/>
        <w:ind w:firstLine="840" w:firstLineChars="4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3、未被“信用中国” ( www.creditchina.gov.cn )、中国政府采购网(www.ccgp.gov.cn ] 列入失信被执行人、重大税收违法案件当事人名单、政府采购严重违法失信行为记录名单。（以采购组织机构在开标当日在“信用中国”（www.creditchina.gov.cn）、中国政府采购网（www.ccgp.gov.cn）网页查询记录为准。）</w:t>
      </w:r>
    </w:p>
    <w:p>
      <w:pPr>
        <w:snapToGrid w:val="0"/>
        <w:spacing w:line="360" w:lineRule="exact"/>
        <w:ind w:firstLine="840" w:firstLineChars="4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4、投标保证金缴纳凭证。</w:t>
      </w:r>
    </w:p>
    <w:p>
      <w:pPr>
        <w:snapToGrid w:val="0"/>
        <w:spacing w:line="360" w:lineRule="exact"/>
        <w:ind w:firstLine="840" w:firstLineChars="400"/>
        <w:rPr>
          <w:rFonts w:hint="eastAsia" w:ascii="宋体" w:hAnsi="宋体" w:eastAsia="宋体" w:cs="宋体"/>
          <w:color w:val="auto"/>
          <w:szCs w:val="22"/>
          <w:highlight w:val="none"/>
        </w:rPr>
      </w:pP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关于</w:t>
      </w:r>
      <w:r>
        <w:rPr>
          <w:rFonts w:hint="eastAsia" w:ascii="宋体" w:hAnsi="宋体" w:eastAsia="宋体" w:cs="宋体"/>
          <w:color w:val="auto"/>
          <w:szCs w:val="22"/>
          <w:highlight w:val="none"/>
          <w:lang w:eastAsia="zh-CN"/>
        </w:rPr>
        <w:t>满足</w:t>
      </w:r>
      <w:r>
        <w:rPr>
          <w:rFonts w:hint="eastAsia" w:ascii="宋体" w:hAnsi="宋体" w:eastAsia="宋体" w:cs="宋体"/>
          <w:color w:val="auto"/>
          <w:szCs w:val="21"/>
          <w:highlight w:val="none"/>
          <w:lang w:eastAsia="zh-CN"/>
        </w:rPr>
        <w:t>《温州市市属国有企业采购管理办法》</w:t>
      </w:r>
      <w:r>
        <w:rPr>
          <w:rFonts w:hint="eastAsia" w:ascii="宋体" w:hAnsi="宋体" w:eastAsia="宋体" w:cs="宋体"/>
          <w:color w:val="auto"/>
          <w:szCs w:val="21"/>
          <w:highlight w:val="none"/>
        </w:rPr>
        <w:t>第十</w:t>
      </w:r>
      <w:r>
        <w:rPr>
          <w:rFonts w:hint="eastAsia" w:ascii="宋体" w:hAnsi="宋体" w:eastAsia="宋体" w:cs="宋体"/>
          <w:color w:val="auto"/>
          <w:szCs w:val="21"/>
          <w:highlight w:val="none"/>
          <w:lang w:val="en-US" w:eastAsia="zh-CN"/>
        </w:rPr>
        <w:t>八</w:t>
      </w:r>
      <w:r>
        <w:rPr>
          <w:rFonts w:hint="eastAsia" w:ascii="宋体" w:hAnsi="宋体" w:eastAsia="宋体" w:cs="宋体"/>
          <w:color w:val="auto"/>
          <w:szCs w:val="21"/>
          <w:highlight w:val="none"/>
        </w:rPr>
        <w:t>条</w:t>
      </w:r>
      <w:r>
        <w:rPr>
          <w:rFonts w:hint="eastAsia" w:ascii="宋体" w:hAnsi="宋体" w:eastAsia="宋体" w:cs="宋体"/>
          <w:color w:val="auto"/>
          <w:szCs w:val="21"/>
          <w:highlight w:val="none"/>
          <w:lang w:val="en-US" w:eastAsia="zh-CN"/>
        </w:rPr>
        <w:t>规定</w:t>
      </w:r>
      <w:r>
        <w:rPr>
          <w:rFonts w:hint="eastAsia" w:ascii="宋体" w:hAnsi="宋体" w:eastAsia="宋体" w:cs="宋体"/>
          <w:color w:val="auto"/>
          <w:szCs w:val="22"/>
          <w:highlight w:val="none"/>
        </w:rPr>
        <w:t>的承诺函</w:t>
      </w:r>
      <w:r>
        <w:rPr>
          <w:rFonts w:hint="eastAsia" w:ascii="宋体" w:hAnsi="宋体" w:eastAsia="宋体" w:cs="宋体"/>
          <w:color w:val="auto"/>
          <w:szCs w:val="22"/>
          <w:highlight w:val="none"/>
          <w:lang w:eastAsia="zh-CN"/>
        </w:rPr>
        <w:t>（</w:t>
      </w:r>
      <w:r>
        <w:rPr>
          <w:rFonts w:hint="eastAsia" w:ascii="宋体" w:hAnsi="宋体" w:eastAsia="宋体" w:cs="宋体"/>
          <w:color w:val="auto"/>
          <w:szCs w:val="22"/>
          <w:highlight w:val="none"/>
          <w:lang w:val="en-US" w:eastAsia="zh-CN"/>
        </w:rPr>
        <w:t>格式如下</w:t>
      </w:r>
      <w:r>
        <w:rPr>
          <w:rFonts w:hint="eastAsia" w:ascii="宋体" w:hAnsi="宋体" w:eastAsia="宋体" w:cs="宋体"/>
          <w:color w:val="auto"/>
          <w:szCs w:val="22"/>
          <w:highlight w:val="none"/>
          <w:lang w:eastAsia="zh-CN"/>
        </w:rPr>
        <w:t>）：</w:t>
      </w:r>
    </w:p>
    <w:p>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textAlignment w:val="auto"/>
        <w:rPr>
          <w:rFonts w:hint="eastAsia" w:ascii="宋体" w:hAnsi="宋体" w:eastAsia="宋体" w:cs="宋体"/>
          <w:b/>
          <w:color w:val="auto"/>
          <w:sz w:val="21"/>
          <w:szCs w:val="21"/>
          <w:highlight w:val="none"/>
          <w:u w:val="single"/>
        </w:rPr>
      </w:pPr>
    </w:p>
    <w:p>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textAlignment w:val="auto"/>
        <w:rPr>
          <w:rFonts w:hint="eastAsia" w:ascii="宋体" w:hAnsi="宋体" w:eastAsia="宋体" w:cs="宋体"/>
          <w:b/>
          <w:color w:val="auto"/>
          <w:sz w:val="21"/>
          <w:szCs w:val="21"/>
          <w:highlight w:val="none"/>
          <w:u w:val="single"/>
        </w:rPr>
      </w:pPr>
    </w:p>
    <w:p>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jc w:val="center"/>
        <w:textAlignment w:val="auto"/>
        <w:rPr>
          <w:rFonts w:hint="eastAsia" w:ascii="宋体" w:hAnsi="宋体" w:eastAsia="宋体" w:cs="宋体"/>
          <w:b/>
          <w:bCs/>
          <w:color w:val="auto"/>
          <w:spacing w:val="0"/>
          <w:sz w:val="21"/>
          <w:szCs w:val="21"/>
          <w:highlight w:val="none"/>
          <w:u w:val="single"/>
        </w:rPr>
      </w:pPr>
      <w:r>
        <w:rPr>
          <w:rFonts w:hint="eastAsia" w:ascii="宋体" w:hAnsi="宋体" w:eastAsia="宋体" w:cs="宋体"/>
          <w:b/>
          <w:bCs/>
          <w:color w:val="auto"/>
          <w:spacing w:val="0"/>
          <w:szCs w:val="22"/>
          <w:highlight w:val="none"/>
        </w:rPr>
        <w:t>关于满足</w:t>
      </w:r>
      <w:r>
        <w:rPr>
          <w:rFonts w:hint="eastAsia" w:ascii="宋体" w:hAnsi="宋体" w:eastAsia="宋体" w:cs="宋体"/>
          <w:b/>
          <w:bCs/>
          <w:color w:val="auto"/>
          <w:spacing w:val="0"/>
          <w:szCs w:val="21"/>
          <w:highlight w:val="none"/>
          <w:lang w:eastAsia="zh-CN"/>
        </w:rPr>
        <w:t>《温州市市属国有企业采购管理办法》</w:t>
      </w:r>
      <w:r>
        <w:rPr>
          <w:rFonts w:hint="eastAsia" w:ascii="宋体" w:hAnsi="宋体" w:eastAsia="宋体" w:cs="宋体"/>
          <w:b/>
          <w:bCs/>
          <w:color w:val="auto"/>
          <w:spacing w:val="0"/>
          <w:szCs w:val="21"/>
          <w:highlight w:val="none"/>
        </w:rPr>
        <w:t>第十</w:t>
      </w:r>
      <w:r>
        <w:rPr>
          <w:rFonts w:hint="eastAsia" w:ascii="宋体" w:hAnsi="宋体" w:eastAsia="宋体" w:cs="宋体"/>
          <w:b/>
          <w:bCs/>
          <w:color w:val="auto"/>
          <w:spacing w:val="0"/>
          <w:szCs w:val="21"/>
          <w:highlight w:val="none"/>
          <w:lang w:val="en-US" w:eastAsia="zh-CN"/>
        </w:rPr>
        <w:t>八</w:t>
      </w:r>
      <w:r>
        <w:rPr>
          <w:rFonts w:hint="eastAsia" w:ascii="宋体" w:hAnsi="宋体" w:eastAsia="宋体" w:cs="宋体"/>
          <w:b/>
          <w:bCs/>
          <w:color w:val="auto"/>
          <w:spacing w:val="0"/>
          <w:szCs w:val="21"/>
          <w:highlight w:val="none"/>
        </w:rPr>
        <w:t>条</w:t>
      </w:r>
      <w:r>
        <w:rPr>
          <w:rFonts w:hint="eastAsia" w:ascii="宋体" w:hAnsi="宋体" w:eastAsia="宋体" w:cs="宋体"/>
          <w:b/>
          <w:bCs/>
          <w:color w:val="auto"/>
          <w:spacing w:val="0"/>
          <w:szCs w:val="21"/>
          <w:highlight w:val="none"/>
          <w:lang w:val="en-US" w:eastAsia="zh-CN"/>
        </w:rPr>
        <w:t>规定</w:t>
      </w:r>
      <w:r>
        <w:rPr>
          <w:rFonts w:hint="eastAsia" w:ascii="宋体" w:hAnsi="宋体" w:eastAsia="宋体" w:cs="宋体"/>
          <w:b/>
          <w:bCs/>
          <w:color w:val="auto"/>
          <w:spacing w:val="0"/>
          <w:szCs w:val="22"/>
          <w:highlight w:val="none"/>
        </w:rPr>
        <w:t>的承诺函</w:t>
      </w:r>
    </w:p>
    <w:p>
      <w:pPr>
        <w:pStyle w:val="7"/>
        <w:keepNext w:val="0"/>
        <w:keepLines w:val="0"/>
        <w:pageBreakBefore w:val="0"/>
        <w:widowControl w:val="0"/>
        <w:kinsoku/>
        <w:wordWrap/>
        <w:overflowPunct w:val="0"/>
        <w:topLinePunct w:val="0"/>
        <w:autoSpaceDE/>
        <w:autoSpaceDN/>
        <w:bidi w:val="0"/>
        <w:adjustRightInd/>
        <w:spacing w:line="360" w:lineRule="exact"/>
        <w:ind w:right="-21" w:rightChars="-10" w:firstLine="0"/>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u w:val="single"/>
        </w:rPr>
        <w:t>致</w:t>
      </w:r>
      <w:r>
        <w:rPr>
          <w:rFonts w:hint="eastAsia" w:ascii="宋体" w:hAnsi="宋体" w:eastAsia="宋体" w:cs="宋体"/>
          <w:b/>
          <w:color w:val="auto"/>
          <w:sz w:val="21"/>
          <w:szCs w:val="21"/>
          <w:highlight w:val="none"/>
          <w:u w:val="single"/>
          <w:lang w:eastAsia="zh-CN"/>
        </w:rPr>
        <w:t>温州瓯瓷产业发展有限公司</w:t>
      </w:r>
      <w:r>
        <w:rPr>
          <w:rFonts w:hint="eastAsia" w:ascii="宋体" w:hAnsi="宋体" w:eastAsia="宋体" w:cs="宋体"/>
          <w:color w:val="auto"/>
          <w:sz w:val="21"/>
          <w:szCs w:val="21"/>
          <w:highlight w:val="none"/>
        </w:rPr>
        <w:t>：</w:t>
      </w:r>
    </w:p>
    <w:p>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我单位就</w:t>
      </w:r>
      <w:r>
        <w:rPr>
          <w:rFonts w:hint="eastAsia" w:ascii="宋体" w:hAnsi="宋体" w:eastAsia="宋体" w:cs="宋体"/>
          <w:color w:val="auto"/>
          <w:sz w:val="21"/>
          <w:szCs w:val="21"/>
          <w:highlight w:val="none"/>
          <w:u w:val="single"/>
          <w:lang w:val="en-US" w:eastAsia="zh-CN"/>
        </w:rPr>
        <w:t xml:space="preserve">   （项目名称、项目编号）  </w:t>
      </w:r>
      <w:r>
        <w:rPr>
          <w:rFonts w:hint="eastAsia" w:ascii="宋体" w:hAnsi="宋体" w:eastAsia="宋体" w:cs="宋体"/>
          <w:color w:val="auto"/>
          <w:sz w:val="21"/>
          <w:szCs w:val="21"/>
          <w:highlight w:val="none"/>
        </w:rPr>
        <w:t>承诺具备下列条件：</w:t>
      </w:r>
    </w:p>
    <w:p>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1.具有独立承担民事责任的能力；</w:t>
      </w:r>
    </w:p>
    <w:p>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2.具有良好的商业信誉和健全的财务会计制度；</w:t>
      </w:r>
    </w:p>
    <w:p>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3.具有履行合同所必需的设备和专业技术</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售后保障等</w:t>
      </w:r>
      <w:r>
        <w:rPr>
          <w:rFonts w:hint="eastAsia" w:ascii="宋体" w:hAnsi="宋体" w:eastAsia="宋体" w:cs="宋体"/>
          <w:color w:val="auto"/>
          <w:sz w:val="21"/>
          <w:szCs w:val="21"/>
          <w:highlight w:val="none"/>
        </w:rPr>
        <w:t>能力；</w:t>
      </w:r>
    </w:p>
    <w:p>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4.有依法缴纳税收和社会保障资金的良好记录；</w:t>
      </w:r>
    </w:p>
    <w:p>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5.参加采购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招投标等</w:t>
      </w:r>
      <w:r>
        <w:rPr>
          <w:rFonts w:hint="eastAsia" w:ascii="宋体" w:hAnsi="宋体" w:eastAsia="宋体" w:cs="宋体"/>
          <w:color w:val="auto"/>
          <w:sz w:val="21"/>
          <w:szCs w:val="21"/>
          <w:highlight w:val="none"/>
        </w:rPr>
        <w:t>活动前三年内,在经营活动中没有重大违法记录</w:t>
      </w:r>
      <w:r>
        <w:rPr>
          <w:rFonts w:hint="eastAsia" w:ascii="宋体" w:hAnsi="宋体" w:eastAsia="宋体" w:cs="宋体"/>
          <w:color w:val="auto"/>
          <w:sz w:val="21"/>
          <w:szCs w:val="21"/>
          <w:highlight w:val="none"/>
          <w:lang w:val="en-US" w:eastAsia="zh-CN"/>
        </w:rPr>
        <w:t>和</w:t>
      </w:r>
      <w:r>
        <w:rPr>
          <w:rFonts w:hint="eastAsia" w:ascii="宋体" w:hAnsi="宋体" w:eastAsia="宋体" w:cs="宋体"/>
          <w:color w:val="auto"/>
          <w:sz w:val="21"/>
          <w:szCs w:val="21"/>
          <w:highlight w:val="none"/>
        </w:rPr>
        <w:t>行贿记录。</w:t>
      </w:r>
    </w:p>
    <w:p>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法律、行政法规规定的其他条件</w:t>
      </w:r>
      <w:r>
        <w:rPr>
          <w:rFonts w:hint="eastAsia" w:ascii="宋体" w:hAnsi="宋体" w:eastAsia="宋体" w:cs="宋体"/>
          <w:color w:val="auto"/>
          <w:sz w:val="21"/>
          <w:szCs w:val="21"/>
          <w:highlight w:val="none"/>
        </w:rPr>
        <w:t>。</w:t>
      </w:r>
    </w:p>
    <w:p>
      <w:pPr>
        <w:keepNext w:val="0"/>
        <w:keepLines w:val="0"/>
        <w:pageBreakBefore w:val="0"/>
        <w:widowControl w:val="0"/>
        <w:kinsoku/>
        <w:wordWrap/>
        <w:topLinePunct w:val="0"/>
        <w:autoSpaceDE/>
        <w:autoSpaceDN/>
        <w:bidi w:val="0"/>
        <w:adjustRightInd/>
        <w:spacing w:line="36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如有虚假，</w:t>
      </w:r>
      <w:r>
        <w:rPr>
          <w:rFonts w:hint="eastAsia" w:ascii="宋体" w:hAnsi="宋体" w:eastAsia="宋体" w:cs="宋体"/>
          <w:b/>
          <w:bCs/>
          <w:color w:val="auto"/>
          <w:sz w:val="21"/>
          <w:szCs w:val="21"/>
          <w:highlight w:val="none"/>
          <w:lang w:eastAsia="zh-CN"/>
        </w:rPr>
        <w:t>采购人</w:t>
      </w:r>
      <w:r>
        <w:rPr>
          <w:rFonts w:hint="eastAsia" w:ascii="宋体" w:hAnsi="宋体" w:eastAsia="宋体" w:cs="宋体"/>
          <w:b/>
          <w:bCs/>
          <w:color w:val="auto"/>
          <w:sz w:val="21"/>
          <w:szCs w:val="21"/>
          <w:highlight w:val="none"/>
        </w:rPr>
        <w:t>可取消我单位任何资格（投标/中标/签订合同），我单位对此无任何异议。</w:t>
      </w:r>
    </w:p>
    <w:p>
      <w:pPr>
        <w:keepNext w:val="0"/>
        <w:keepLines w:val="0"/>
        <w:pageBreakBefore w:val="0"/>
        <w:widowControl w:val="0"/>
        <w:kinsoku/>
        <w:wordWrap/>
        <w:topLinePunct w:val="0"/>
        <w:autoSpaceDE/>
        <w:autoSpaceDN/>
        <w:bidi w:val="0"/>
        <w:adjustRightInd/>
        <w:spacing w:line="360" w:lineRule="exact"/>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特此承诺！</w:t>
      </w:r>
    </w:p>
    <w:p>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注：（1）参加采购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招投标等</w:t>
      </w:r>
      <w:r>
        <w:rPr>
          <w:rFonts w:hint="eastAsia" w:ascii="宋体" w:hAnsi="宋体" w:eastAsia="宋体" w:cs="宋体"/>
          <w:color w:val="auto"/>
          <w:sz w:val="21"/>
          <w:szCs w:val="21"/>
          <w:highlight w:val="none"/>
        </w:rPr>
        <w:t>活动的时间是指</w:t>
      </w:r>
      <w:r>
        <w:rPr>
          <w:rFonts w:hint="eastAsia" w:ascii="宋体" w:hAnsi="宋体" w:eastAsia="宋体" w:cs="宋体"/>
          <w:color w:val="auto"/>
          <w:sz w:val="21"/>
          <w:szCs w:val="21"/>
          <w:highlight w:val="none"/>
          <w:lang w:val="en-US" w:eastAsia="zh-CN"/>
        </w:rPr>
        <w:t>投标供应商</w:t>
      </w:r>
      <w:r>
        <w:rPr>
          <w:rFonts w:hint="eastAsia" w:ascii="宋体" w:hAnsi="宋体" w:eastAsia="宋体" w:cs="宋体"/>
          <w:color w:val="auto"/>
          <w:sz w:val="21"/>
          <w:szCs w:val="21"/>
          <w:highlight w:val="none"/>
        </w:rPr>
        <w:t>参加本项目的</w:t>
      </w:r>
      <w:r>
        <w:rPr>
          <w:rFonts w:hint="eastAsia" w:ascii="宋体" w:hAnsi="宋体" w:eastAsia="宋体" w:cs="宋体"/>
          <w:color w:val="auto"/>
          <w:sz w:val="21"/>
          <w:szCs w:val="21"/>
          <w:highlight w:val="none"/>
          <w:lang w:val="en-US" w:eastAsia="zh-CN"/>
        </w:rPr>
        <w:t>国有企业</w:t>
      </w:r>
      <w:r>
        <w:rPr>
          <w:rFonts w:hint="eastAsia" w:ascii="宋体" w:hAnsi="宋体" w:eastAsia="宋体" w:cs="宋体"/>
          <w:color w:val="auto"/>
          <w:sz w:val="21"/>
          <w:szCs w:val="21"/>
          <w:highlight w:val="none"/>
        </w:rPr>
        <w:t>采购活动时间为准（具体以投标截止时间为准）。</w:t>
      </w:r>
    </w:p>
    <w:p>
      <w:pPr>
        <w:keepNext w:val="0"/>
        <w:keepLines w:val="0"/>
        <w:pageBreakBefore w:val="0"/>
        <w:widowControl w:val="0"/>
        <w:kinsoku/>
        <w:wordWrap/>
        <w:topLinePunct w:val="0"/>
        <w:autoSpaceDE/>
        <w:autoSpaceDN/>
        <w:bidi w:val="0"/>
        <w:adjustRightInd/>
        <w:spacing w:line="36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（2）本承诺函必须提供。</w:t>
      </w:r>
    </w:p>
    <w:p>
      <w:pPr>
        <w:keepNext w:val="0"/>
        <w:keepLines w:val="0"/>
        <w:pageBreakBefore w:val="0"/>
        <w:widowControl w:val="0"/>
        <w:kinsoku/>
        <w:wordWrap/>
        <w:topLinePunct w:val="0"/>
        <w:autoSpaceDE/>
        <w:autoSpaceDN/>
        <w:bidi w:val="0"/>
        <w:adjustRightInd/>
        <w:spacing w:line="360" w:lineRule="exact"/>
        <w:ind w:right="-2" w:firstLine="5250" w:firstLineChars="25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投标供应商</w:t>
      </w:r>
      <w:r>
        <w:rPr>
          <w:rFonts w:hint="eastAsia" w:ascii="宋体" w:hAnsi="宋体" w:eastAsia="宋体" w:cs="宋体"/>
          <w:color w:val="auto"/>
          <w:sz w:val="21"/>
          <w:szCs w:val="21"/>
          <w:highlight w:val="none"/>
        </w:rPr>
        <w:t>（公章）：</w:t>
      </w:r>
    </w:p>
    <w:p>
      <w:pPr>
        <w:keepNext w:val="0"/>
        <w:keepLines w:val="0"/>
        <w:pageBreakBefore w:val="0"/>
        <w:widowControl w:val="0"/>
        <w:kinsoku/>
        <w:wordWrap/>
        <w:topLinePunct w:val="0"/>
        <w:autoSpaceDE/>
        <w:autoSpaceDN/>
        <w:bidi w:val="0"/>
        <w:adjustRightInd/>
        <w:spacing w:after="156" w:afterLines="50" w:line="360" w:lineRule="exact"/>
        <w:ind w:left="5250" w:leftChars="25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法定代表人或授权代表（签字或盖章）：日期：</w:t>
      </w:r>
    </w:p>
    <w:p>
      <w:pPr>
        <w:snapToGrid w:val="0"/>
        <w:spacing w:line="360" w:lineRule="exact"/>
        <w:ind w:firstLine="840" w:firstLineChars="400"/>
        <w:rPr>
          <w:rFonts w:hint="eastAsia" w:ascii="宋体" w:hAnsi="宋体" w:eastAsia="宋体" w:cs="宋体"/>
          <w:color w:val="auto"/>
          <w:szCs w:val="22"/>
          <w:highlight w:val="none"/>
        </w:rPr>
      </w:pPr>
      <w:r>
        <w:rPr>
          <w:rFonts w:hint="eastAsia" w:ascii="宋体" w:hAnsi="宋体" w:eastAsia="宋体" w:cs="宋体"/>
          <w:color w:val="auto"/>
          <w:szCs w:val="22"/>
          <w:highlight w:val="none"/>
          <w:lang w:val="en-US" w:eastAsia="zh-CN"/>
        </w:rPr>
        <w:t>5、</w:t>
      </w:r>
      <w:r>
        <w:rPr>
          <w:rFonts w:hint="eastAsia" w:ascii="宋体" w:hAnsi="宋体" w:eastAsia="宋体" w:cs="宋体"/>
          <w:color w:val="auto"/>
          <w:szCs w:val="22"/>
          <w:highlight w:val="none"/>
        </w:rPr>
        <w:t>其他证明文件。</w:t>
      </w:r>
    </w:p>
    <w:p>
      <w:pPr>
        <w:pStyle w:val="44"/>
        <w:spacing w:before="0" w:beforeAutospacing="0" w:after="0" w:afterAutospacing="0"/>
        <w:jc w:val="center"/>
        <w:rPr>
          <w:rFonts w:hint="eastAsia" w:ascii="宋体" w:hAnsi="宋体" w:eastAsia="宋体" w:cs="宋体"/>
          <w:color w:val="auto"/>
          <w:szCs w:val="21"/>
          <w:highlight w:val="none"/>
        </w:rPr>
      </w:pPr>
    </w:p>
    <w:p>
      <w:pPr>
        <w:pStyle w:val="86"/>
        <w:spacing w:line="360" w:lineRule="auto"/>
        <w:rPr>
          <w:rFonts w:hint="eastAsia" w:ascii="宋体" w:hAnsi="宋体" w:eastAsia="宋体" w:cs="宋体"/>
          <w:b/>
          <w:bCs/>
          <w:color w:val="auto"/>
          <w:highlight w:val="none"/>
        </w:rPr>
      </w:pPr>
    </w:p>
    <w:p>
      <w:pPr>
        <w:pStyle w:val="86"/>
        <w:spacing w:line="360" w:lineRule="auto"/>
        <w:rPr>
          <w:rFonts w:hint="eastAsia" w:ascii="宋体" w:hAnsi="宋体" w:eastAsia="宋体" w:cs="宋体"/>
          <w:b/>
          <w:bCs/>
          <w:color w:val="auto"/>
          <w:highlight w:val="none"/>
        </w:rPr>
      </w:pPr>
      <w:r>
        <w:rPr>
          <w:rFonts w:hint="eastAsia" w:ascii="宋体" w:hAnsi="宋体" w:eastAsia="宋体" w:cs="宋体"/>
          <w:b/>
          <w:bCs/>
          <w:color w:val="auto"/>
          <w:highlight w:val="none"/>
        </w:rPr>
        <w:t>备注：以上所需的各种证书、证件、证明、执照等证明材料均须加盖供应商电子签章。</w:t>
      </w:r>
    </w:p>
    <w:p>
      <w:pPr>
        <w:spacing w:line="400" w:lineRule="exact"/>
        <w:jc w:val="center"/>
        <w:outlineLvl w:val="1"/>
        <w:rPr>
          <w:rFonts w:hint="eastAsia" w:ascii="宋体" w:hAnsi="宋体" w:eastAsia="宋体" w:cs="宋体"/>
          <w:b/>
          <w:color w:val="auto"/>
          <w:kern w:val="0"/>
          <w:sz w:val="24"/>
          <w:szCs w:val="24"/>
          <w:highlight w:val="none"/>
        </w:rPr>
      </w:pPr>
      <w:bookmarkStart w:id="289" w:name="_Toc32727"/>
      <w:r>
        <w:rPr>
          <w:rFonts w:hint="eastAsia" w:ascii="宋体" w:hAnsi="宋体" w:eastAsia="宋体" w:cs="宋体"/>
          <w:color w:val="auto"/>
          <w:sz w:val="24"/>
          <w:szCs w:val="24"/>
          <w:highlight w:val="none"/>
        </w:rPr>
        <w:br w:type="page"/>
      </w:r>
      <w:bookmarkStart w:id="290" w:name="_Toc31852"/>
      <w:bookmarkStart w:id="291" w:name="_Toc28937"/>
      <w:bookmarkStart w:id="292" w:name="_Toc32120"/>
      <w:bookmarkStart w:id="293" w:name="_Toc22013"/>
      <w:r>
        <w:rPr>
          <w:rFonts w:hint="eastAsia" w:ascii="宋体" w:hAnsi="宋体" w:eastAsia="宋体" w:cs="宋体"/>
          <w:b/>
          <w:color w:val="auto"/>
          <w:kern w:val="0"/>
          <w:sz w:val="24"/>
          <w:szCs w:val="24"/>
          <w:highlight w:val="none"/>
        </w:rPr>
        <w:t>参加国有企业采购活动前3年内在经营活动中有/无重大违法记录的书面声明</w:t>
      </w:r>
      <w:bookmarkEnd w:id="290"/>
      <w:bookmarkEnd w:id="291"/>
    </w:p>
    <w:p>
      <w:pPr>
        <w:outlineLvl w:val="9"/>
        <w:rPr>
          <w:rFonts w:hint="eastAsia" w:ascii="宋体" w:hAnsi="宋体" w:eastAsia="宋体" w:cs="宋体"/>
          <w:color w:val="auto"/>
          <w:highlight w:val="none"/>
        </w:rPr>
      </w:pPr>
    </w:p>
    <w:p>
      <w:pPr>
        <w:outlineLvl w:val="9"/>
        <w:rPr>
          <w:rFonts w:hint="eastAsia" w:ascii="宋体" w:hAnsi="宋体" w:eastAsia="宋体" w:cs="宋体"/>
          <w:color w:val="auto"/>
          <w:highlight w:val="none"/>
        </w:rPr>
      </w:pPr>
      <w:r>
        <w:rPr>
          <w:rFonts w:hint="eastAsia" w:ascii="宋体" w:hAnsi="宋体" w:eastAsia="宋体" w:cs="宋体"/>
          <w:color w:val="auto"/>
          <w:highlight w:val="none"/>
        </w:rPr>
        <w:t xml:space="preserve">项目名称：                     </w:t>
      </w:r>
      <w:r>
        <w:rPr>
          <w:rFonts w:hint="eastAsia" w:ascii="宋体" w:hAnsi="宋体" w:eastAsia="宋体" w:cs="宋体"/>
          <w:color w:val="auto"/>
          <w:highlight w:val="none"/>
          <w:lang w:eastAsia="zh-CN"/>
        </w:rPr>
        <w:t>项目编号：</w:t>
      </w:r>
      <w:r>
        <w:rPr>
          <w:rFonts w:hint="eastAsia" w:ascii="宋体" w:hAnsi="宋体" w:cs="宋体"/>
          <w:color w:val="auto"/>
          <w:highlight w:val="none"/>
          <w:lang w:val="en-US" w:eastAsia="zh-CN"/>
        </w:rPr>
        <w:t>WGSS-GYNY-Z-2025018</w:t>
      </w:r>
      <w:r>
        <w:rPr>
          <w:rFonts w:hint="eastAsia" w:ascii="宋体" w:hAnsi="宋体" w:eastAsia="宋体" w:cs="宋体"/>
          <w:color w:val="auto"/>
          <w:highlight w:val="none"/>
        </w:rPr>
        <w:t xml:space="preserve"> </w:t>
      </w:r>
    </w:p>
    <w:tbl>
      <w:tblPr>
        <w:tblStyle w:val="49"/>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7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7" w:hRule="atLeast"/>
        </w:trPr>
        <w:tc>
          <w:tcPr>
            <w:tcW w:w="1940" w:type="dxa"/>
            <w:vAlign w:val="center"/>
          </w:tcPr>
          <w:p>
            <w:pPr>
              <w:rPr>
                <w:rFonts w:hint="eastAsia" w:ascii="宋体" w:hAnsi="宋体" w:eastAsia="宋体" w:cs="宋体"/>
                <w:color w:val="auto"/>
                <w:highlight w:val="none"/>
              </w:rPr>
            </w:pPr>
            <w:r>
              <w:rPr>
                <w:rFonts w:hint="eastAsia" w:ascii="宋体" w:hAnsi="宋体" w:eastAsia="宋体" w:cs="宋体"/>
                <w:color w:val="auto"/>
                <w:szCs w:val="22"/>
                <w:highlight w:val="none"/>
              </w:rPr>
              <w:t>参加国有企业采购活动前3年内重大违法记录的书面声明</w:t>
            </w:r>
          </w:p>
        </w:tc>
        <w:tc>
          <w:tcPr>
            <w:tcW w:w="7360" w:type="dxa"/>
            <w:vAlign w:val="top"/>
          </w:tcPr>
          <w:p>
            <w:pPr>
              <w:rPr>
                <w:rFonts w:hint="eastAsia" w:ascii="宋体" w:hAnsi="宋体" w:eastAsia="宋体" w:cs="宋体"/>
                <w:color w:val="auto"/>
                <w:highlight w:val="none"/>
              </w:rPr>
            </w:pPr>
          </w:p>
        </w:tc>
      </w:tr>
    </w:tbl>
    <w:p>
      <w:pPr>
        <w:rPr>
          <w:rFonts w:hint="eastAsia" w:ascii="宋体" w:hAnsi="宋体" w:eastAsia="宋体" w:cs="宋体"/>
          <w:color w:val="auto"/>
          <w:highlight w:val="none"/>
        </w:rPr>
      </w:pPr>
      <w:r>
        <w:rPr>
          <w:rFonts w:hint="eastAsia" w:ascii="宋体" w:hAnsi="宋体" w:eastAsia="宋体" w:cs="宋体"/>
          <w:color w:val="auto"/>
          <w:highlight w:val="none"/>
        </w:rPr>
        <w:t>备注：参加国有企业采购活动的时间是指供应商参加本项目的国有企业采购活动时间为准（具体以投标截止时间为准）</w:t>
      </w: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rPr>
          <w:rFonts w:hint="eastAsia" w:ascii="宋体" w:hAnsi="宋体" w:eastAsia="宋体" w:cs="宋体"/>
          <w:color w:val="auto"/>
          <w:highlight w:val="none"/>
        </w:rPr>
      </w:pP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投标供应商</w:t>
      </w:r>
      <w:r>
        <w:rPr>
          <w:rFonts w:hint="eastAsia" w:ascii="宋体" w:hAnsi="宋体" w:eastAsia="宋体" w:cs="宋体"/>
          <w:color w:val="auto"/>
          <w:kern w:val="0"/>
          <w:szCs w:val="21"/>
          <w:highlight w:val="none"/>
        </w:rPr>
        <w:t>（公章）：</w:t>
      </w: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pPr>
        <w:rPr>
          <w:rFonts w:hint="eastAsia" w:ascii="宋体" w:hAnsi="宋体" w:eastAsia="宋体" w:cs="宋体"/>
          <w:color w:val="auto"/>
          <w:sz w:val="24"/>
          <w:szCs w:val="24"/>
          <w:highlight w:val="none"/>
        </w:rPr>
      </w:pPr>
      <w:r>
        <w:rPr>
          <w:rFonts w:hint="eastAsia" w:ascii="宋体" w:hAnsi="宋体" w:eastAsia="宋体" w:cs="宋体"/>
          <w:b/>
          <w:bCs/>
          <w:color w:val="auto"/>
          <w:szCs w:val="28"/>
          <w:highlight w:val="none"/>
        </w:rPr>
        <w:br w:type="page"/>
      </w:r>
    </w:p>
    <w:p>
      <w:pPr>
        <w:pStyle w:val="3"/>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-1 法定代表人身份证明</w:t>
      </w:r>
      <w:bookmarkEnd w:id="289"/>
      <w:bookmarkEnd w:id="292"/>
      <w:bookmarkEnd w:id="293"/>
    </w:p>
    <w:p>
      <w:pPr>
        <w:spacing w:line="440" w:lineRule="exact"/>
        <w:rPr>
          <w:rFonts w:hint="eastAsia" w:ascii="宋体" w:hAnsi="宋体" w:eastAsia="宋体" w:cs="宋体"/>
          <w:color w:val="auto"/>
          <w:szCs w:val="21"/>
          <w:highlight w:val="none"/>
        </w:rPr>
      </w:pPr>
    </w:p>
    <w:p>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名称：</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p>
    <w:p>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单位性质：</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p>
    <w:p>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w:t>
      </w:r>
      <w:r>
        <w:rPr>
          <w:rFonts w:hint="eastAsia" w:ascii="宋体" w:hAnsi="宋体" w:eastAsia="宋体" w:cs="宋体"/>
          <w:color w:val="auto"/>
          <w:szCs w:val="21"/>
          <w:highlight w:val="none"/>
          <w:u w:val="single"/>
        </w:rPr>
        <w:t xml:space="preserve">                                   </w:t>
      </w:r>
    </w:p>
    <w:p>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成立时间：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日</w:t>
      </w:r>
    </w:p>
    <w:p>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经营期限：</w:t>
      </w:r>
      <w:r>
        <w:rPr>
          <w:rFonts w:hint="eastAsia" w:ascii="宋体" w:hAnsi="宋体" w:eastAsia="宋体" w:cs="宋体"/>
          <w:color w:val="auto"/>
          <w:szCs w:val="21"/>
          <w:highlight w:val="none"/>
          <w:u w:val="single"/>
        </w:rPr>
        <w:t xml:space="preserve">                               </w:t>
      </w:r>
    </w:p>
    <w:p>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性别：</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年龄：</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职务：</w:t>
      </w:r>
      <w:r>
        <w:rPr>
          <w:rFonts w:hint="eastAsia" w:ascii="宋体" w:hAnsi="宋体" w:eastAsia="宋体" w:cs="宋体"/>
          <w:color w:val="auto"/>
          <w:szCs w:val="21"/>
          <w:highlight w:val="none"/>
          <w:u w:val="single"/>
        </w:rPr>
        <w:t xml:space="preserve">        </w:t>
      </w:r>
    </w:p>
    <w:p>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系</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名称）的法定代表人。</w:t>
      </w:r>
    </w:p>
    <w:p>
      <w:pPr>
        <w:spacing w:line="44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特此证明。</w:t>
      </w:r>
    </w:p>
    <w:p>
      <w:pPr>
        <w:spacing w:line="440" w:lineRule="exact"/>
        <w:rPr>
          <w:rFonts w:hint="eastAsia" w:ascii="宋体" w:hAnsi="宋体" w:eastAsia="宋体" w:cs="宋体"/>
          <w:color w:val="auto"/>
          <w:szCs w:val="21"/>
          <w:highlight w:val="none"/>
        </w:rPr>
      </w:pPr>
    </w:p>
    <w:p>
      <w:pPr>
        <w:spacing w:line="440" w:lineRule="exact"/>
        <w:rPr>
          <w:rFonts w:hint="eastAsia" w:ascii="宋体" w:hAnsi="宋体" w:eastAsia="宋体" w:cs="宋体"/>
          <w:color w:val="auto"/>
          <w:szCs w:val="21"/>
          <w:highlight w:val="none"/>
        </w:rPr>
      </w:pPr>
      <w:r>
        <w:rPr>
          <w:rFonts w:hint="eastAsia" w:ascii="宋体" w:hAnsi="宋体" w:eastAsia="宋体" w:cs="宋体"/>
          <w:color w:val="auto"/>
          <w:highlight w:val="none"/>
        </w:rPr>
        <mc:AlternateContent>
          <mc:Choice Requires="wps">
            <w:drawing>
              <wp:anchor distT="45720" distB="45720" distL="114300" distR="114300" simplePos="0" relativeHeight="251659264" behindDoc="0" locked="0" layoutInCell="1" allowOverlap="1">
                <wp:simplePos x="0" y="0"/>
                <wp:positionH relativeFrom="column">
                  <wp:posOffset>133350</wp:posOffset>
                </wp:positionH>
                <wp:positionV relativeFrom="paragraph">
                  <wp:posOffset>2540</wp:posOffset>
                </wp:positionV>
                <wp:extent cx="3258185" cy="2076450"/>
                <wp:effectExtent l="4445" t="4445" r="13970" b="14605"/>
                <wp:wrapSquare wrapText="bothSides"/>
                <wp:docPr id="1" name="文本框 2"/>
                <wp:cNvGraphicFramePr/>
                <a:graphic xmlns:a="http://schemas.openxmlformats.org/drawingml/2006/main">
                  <a:graphicData uri="http://schemas.microsoft.com/office/word/2010/wordprocessingShape">
                    <wps:wsp>
                      <wps:cNvSpPr txBox="1"/>
                      <wps:spPr>
                        <a:xfrm>
                          <a:off x="0" y="0"/>
                          <a:ext cx="3258185" cy="2076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rPr>
                                <w:rFonts w:ascii="Arial" w:hAnsi="宋体" w:cs="Arial"/>
                                <w:szCs w:val="21"/>
                              </w:rPr>
                            </w:pPr>
                          </w:p>
                          <w:p>
                            <w:pPr>
                              <w:spacing w:line="360" w:lineRule="auto"/>
                              <w:rPr>
                                <w:rFonts w:ascii="Arial" w:hAnsi="宋体" w:cs="Arial"/>
                                <w:szCs w:val="21"/>
                              </w:rPr>
                            </w:pPr>
                          </w:p>
                          <w:p>
                            <w:pPr>
                              <w:spacing w:line="360" w:lineRule="auto"/>
                              <w:rPr>
                                <w:rFonts w:ascii="Arial" w:hAnsi="宋体" w:cs="Arial"/>
                                <w:szCs w:val="21"/>
                              </w:rPr>
                            </w:pPr>
                          </w:p>
                          <w:p>
                            <w:pPr>
                              <w:spacing w:line="360" w:lineRule="auto"/>
                              <w:rPr>
                                <w:rFonts w:ascii="Arial" w:hAnsi="Arial" w:cs="Arial"/>
                                <w:szCs w:val="21"/>
                              </w:rPr>
                            </w:pPr>
                            <w:r>
                              <w:rPr>
                                <w:rFonts w:ascii="Arial" w:hAnsi="宋体" w:cs="Arial"/>
                                <w:szCs w:val="21"/>
                              </w:rPr>
                              <w:t>身份证复印件粘贴处</w:t>
                            </w:r>
                          </w:p>
                          <w:p>
                            <w:r>
                              <w:rPr>
                                <w:rFonts w:ascii="Arial" w:hAnsi="宋体" w:cs="Arial"/>
                                <w:szCs w:val="21"/>
                              </w:rPr>
                              <w:t>（身份证需双面复印）</w:t>
                            </w:r>
                          </w:p>
                        </w:txbxContent>
                      </wps:txbx>
                      <wps:bodyPr wrap="square" upright="1"/>
                    </wps:wsp>
                  </a:graphicData>
                </a:graphic>
              </wp:anchor>
            </w:drawing>
          </mc:Choice>
          <mc:Fallback>
            <w:pict>
              <v:shape id="文本框 2" o:spid="_x0000_s1026" o:spt="202" type="#_x0000_t202" style="position:absolute;left:0pt;margin-left:10.5pt;margin-top:0.2pt;height:163.5pt;width:256.55pt;mso-wrap-distance-bottom:3.6pt;mso-wrap-distance-left:9pt;mso-wrap-distance-right:9pt;mso-wrap-distance-top:3.6pt;z-index:251659264;mso-width-relative:page;mso-height-relative:page;" fillcolor="#FFFFFF" filled="t" stroked="t" coordsize="21600,21600" o:gfxdata="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Kqhch1wAAAAcBAAAPAAAA&#10;AAAAAAEAIAAAACIAAABkcnMvZG93bnJldi54bWxQSwECFAAUAAAACACHTuJA8yaLPRYCAABFBAAA&#10;DgAAAAAAAAABACAAAAAmAQAAZHJzL2Uyb0RvYy54bWxQSwUGAAAAAAYABgBZAQAArgUAAAAA&#10;">
                <v:fill on="t" focussize="0,0"/>
                <v:stroke color="#000000" joinstyle="miter"/>
                <v:imagedata o:title=""/>
                <o:lock v:ext="edit" aspectratio="f"/>
                <v:textbox>
                  <w:txbxContent>
                    <w:p>
                      <w:pPr>
                        <w:spacing w:line="360" w:lineRule="auto"/>
                        <w:rPr>
                          <w:rFonts w:ascii="Arial" w:hAnsi="宋体" w:cs="Arial"/>
                          <w:szCs w:val="21"/>
                        </w:rPr>
                      </w:pPr>
                    </w:p>
                    <w:p>
                      <w:pPr>
                        <w:spacing w:line="360" w:lineRule="auto"/>
                        <w:rPr>
                          <w:rFonts w:ascii="Arial" w:hAnsi="宋体" w:cs="Arial"/>
                          <w:szCs w:val="21"/>
                        </w:rPr>
                      </w:pPr>
                    </w:p>
                    <w:p>
                      <w:pPr>
                        <w:spacing w:line="360" w:lineRule="auto"/>
                        <w:rPr>
                          <w:rFonts w:ascii="Arial" w:hAnsi="宋体" w:cs="Arial"/>
                          <w:szCs w:val="21"/>
                        </w:rPr>
                      </w:pPr>
                    </w:p>
                    <w:p>
                      <w:pPr>
                        <w:spacing w:line="360" w:lineRule="auto"/>
                        <w:rPr>
                          <w:rFonts w:ascii="Arial" w:hAnsi="Arial" w:cs="Arial"/>
                          <w:szCs w:val="21"/>
                        </w:rPr>
                      </w:pPr>
                      <w:r>
                        <w:rPr>
                          <w:rFonts w:ascii="Arial" w:hAnsi="宋体" w:cs="Arial"/>
                          <w:szCs w:val="21"/>
                        </w:rPr>
                        <w:t>身份证复印件粘贴处</w:t>
                      </w:r>
                    </w:p>
                    <w:p>
                      <w:r>
                        <w:rPr>
                          <w:rFonts w:ascii="Arial" w:hAnsi="宋体" w:cs="Arial"/>
                          <w:szCs w:val="21"/>
                        </w:rPr>
                        <w:t>（身份证需双面复印）</w:t>
                      </w:r>
                    </w:p>
                  </w:txbxContent>
                </v:textbox>
                <w10:wrap type="square"/>
              </v:shape>
            </w:pict>
          </mc:Fallback>
        </mc:AlternateContent>
      </w:r>
    </w:p>
    <w:p>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p>
    <w:p>
      <w:pPr>
        <w:spacing w:line="440" w:lineRule="exact"/>
        <w:rPr>
          <w:rFonts w:hint="eastAsia" w:ascii="宋体" w:hAnsi="宋体" w:eastAsia="宋体" w:cs="宋体"/>
          <w:color w:val="auto"/>
          <w:szCs w:val="21"/>
          <w:highlight w:val="none"/>
        </w:rPr>
      </w:pPr>
    </w:p>
    <w:p>
      <w:pPr>
        <w:spacing w:line="440" w:lineRule="exact"/>
        <w:rPr>
          <w:rFonts w:hint="eastAsia" w:ascii="宋体" w:hAnsi="宋体" w:eastAsia="宋体" w:cs="宋体"/>
          <w:color w:val="auto"/>
          <w:szCs w:val="21"/>
          <w:highlight w:val="none"/>
        </w:rPr>
      </w:pPr>
    </w:p>
    <w:p>
      <w:pPr>
        <w:spacing w:line="440" w:lineRule="exact"/>
        <w:rPr>
          <w:rFonts w:hint="eastAsia" w:ascii="宋体" w:hAnsi="宋体" w:eastAsia="宋体" w:cs="宋体"/>
          <w:color w:val="auto"/>
          <w:szCs w:val="21"/>
          <w:highlight w:val="none"/>
        </w:rPr>
      </w:pPr>
    </w:p>
    <w:p>
      <w:pPr>
        <w:spacing w:line="440" w:lineRule="exact"/>
        <w:rPr>
          <w:rFonts w:hint="eastAsia" w:ascii="宋体" w:hAnsi="宋体" w:eastAsia="宋体" w:cs="宋体"/>
          <w:color w:val="auto"/>
          <w:szCs w:val="21"/>
          <w:highlight w:val="none"/>
        </w:rPr>
      </w:pPr>
    </w:p>
    <w:p>
      <w:pPr>
        <w:spacing w:line="440" w:lineRule="exact"/>
        <w:rPr>
          <w:rFonts w:hint="eastAsia" w:ascii="宋体" w:hAnsi="宋体" w:eastAsia="宋体" w:cs="宋体"/>
          <w:color w:val="auto"/>
          <w:szCs w:val="21"/>
          <w:highlight w:val="none"/>
        </w:rPr>
      </w:pPr>
    </w:p>
    <w:p>
      <w:pPr>
        <w:spacing w:line="440" w:lineRule="exact"/>
        <w:rPr>
          <w:rFonts w:hint="eastAsia" w:ascii="宋体" w:hAnsi="宋体" w:eastAsia="宋体" w:cs="宋体"/>
          <w:color w:val="auto"/>
          <w:szCs w:val="21"/>
          <w:highlight w:val="none"/>
        </w:rPr>
      </w:pPr>
    </w:p>
    <w:p>
      <w:pPr>
        <w:spacing w:line="440" w:lineRule="exact"/>
        <w:rPr>
          <w:rFonts w:hint="eastAsia" w:ascii="宋体" w:hAnsi="宋体" w:eastAsia="宋体" w:cs="宋体"/>
          <w:color w:val="auto"/>
          <w:szCs w:val="21"/>
          <w:highlight w:val="none"/>
        </w:rPr>
      </w:pPr>
    </w:p>
    <w:p>
      <w:pPr>
        <w:spacing w:line="440" w:lineRule="exact"/>
        <w:rPr>
          <w:rFonts w:hint="eastAsia" w:ascii="宋体" w:hAnsi="宋体" w:eastAsia="宋体" w:cs="宋体"/>
          <w:color w:val="auto"/>
          <w:szCs w:val="21"/>
          <w:highlight w:val="none"/>
        </w:rPr>
      </w:pPr>
    </w:p>
    <w:p>
      <w:pPr>
        <w:spacing w:line="440" w:lineRule="exact"/>
        <w:jc w:val="righ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（盖单位章）</w:t>
      </w:r>
    </w:p>
    <w:p>
      <w:pPr>
        <w:spacing w:line="440" w:lineRule="exact"/>
        <w:rPr>
          <w:rFonts w:hint="eastAsia" w:ascii="宋体" w:hAnsi="宋体" w:eastAsia="宋体" w:cs="宋体"/>
          <w:b/>
          <w:color w:val="auto"/>
          <w:sz w:val="28"/>
          <w:highlight w:val="none"/>
        </w:rPr>
      </w:pPr>
      <w:r>
        <w:rPr>
          <w:rFonts w:hint="eastAsia" w:ascii="宋体" w:hAnsi="宋体" w:eastAsia="宋体" w:cs="宋体"/>
          <w:color w:val="auto"/>
          <w:highlight w:val="non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rPr>
        <w:t xml:space="preserve">日  </w:t>
      </w: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3"/>
        <w:jc w:val="center"/>
        <w:rPr>
          <w:rFonts w:hint="eastAsia" w:ascii="宋体" w:hAnsi="宋体" w:eastAsia="宋体" w:cs="宋体"/>
          <w:color w:val="auto"/>
          <w:highlight w:val="none"/>
        </w:rPr>
      </w:pPr>
      <w:bookmarkStart w:id="294" w:name="_Toc2998"/>
      <w:bookmarkStart w:id="295" w:name="_Toc32263"/>
      <w:bookmarkStart w:id="296" w:name="_Toc13894"/>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-2 法定代表人授权委托书</w:t>
      </w:r>
      <w:bookmarkEnd w:id="294"/>
      <w:bookmarkEnd w:id="295"/>
      <w:bookmarkEnd w:id="296"/>
    </w:p>
    <w:p>
      <w:pPr>
        <w:spacing w:line="360" w:lineRule="auto"/>
        <w:rPr>
          <w:rFonts w:hint="eastAsia" w:ascii="宋体" w:hAnsi="宋体" w:eastAsia="宋体" w:cs="宋体"/>
          <w:snapToGrid w:val="0"/>
          <w:color w:val="auto"/>
          <w:kern w:val="0"/>
          <w:szCs w:val="21"/>
          <w:highlight w:val="none"/>
          <w:lang w:eastAsia="zh-CN"/>
        </w:rPr>
      </w:pPr>
      <w:r>
        <w:rPr>
          <w:rFonts w:hint="eastAsia" w:ascii="宋体" w:hAnsi="宋体" w:eastAsia="宋体" w:cs="宋体"/>
          <w:snapToGrid w:val="0"/>
          <w:color w:val="auto"/>
          <w:kern w:val="0"/>
          <w:szCs w:val="21"/>
          <w:highlight w:val="none"/>
        </w:rPr>
        <w:t>温州瓯瓷产业发展有限公司</w:t>
      </w:r>
      <w:r>
        <w:rPr>
          <w:rFonts w:hint="eastAsia" w:ascii="宋体" w:hAnsi="宋体" w:eastAsia="宋体" w:cs="宋体"/>
          <w:snapToGrid w:val="0"/>
          <w:color w:val="auto"/>
          <w:kern w:val="0"/>
          <w:szCs w:val="21"/>
          <w:highlight w:val="none"/>
          <w:lang w:eastAsia="zh-CN"/>
        </w:rPr>
        <w:t>：</w:t>
      </w:r>
    </w:p>
    <w:p>
      <w:pPr>
        <w:spacing w:line="360" w:lineRule="auto"/>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本授权委托书声明：我</w:t>
      </w:r>
      <w:r>
        <w:rPr>
          <w:rFonts w:hint="eastAsia" w:ascii="宋体" w:hAnsi="宋体" w:eastAsia="宋体" w:cs="宋体"/>
          <w:snapToGrid w:val="0"/>
          <w:color w:val="auto"/>
          <w:kern w:val="0"/>
          <w:szCs w:val="21"/>
          <w:highlight w:val="none"/>
          <w:u w:val="single"/>
        </w:rPr>
        <w:t xml:space="preserve">  （法定代表人姓名）  </w:t>
      </w:r>
      <w:r>
        <w:rPr>
          <w:rFonts w:hint="eastAsia" w:ascii="宋体" w:hAnsi="宋体" w:eastAsia="宋体" w:cs="宋体"/>
          <w:snapToGrid w:val="0"/>
          <w:color w:val="auto"/>
          <w:kern w:val="0"/>
          <w:szCs w:val="21"/>
          <w:highlight w:val="none"/>
        </w:rPr>
        <w:t>系</w:t>
      </w:r>
      <w:r>
        <w:rPr>
          <w:rFonts w:hint="eastAsia" w:ascii="宋体" w:hAnsi="宋体" w:eastAsia="宋体" w:cs="宋体"/>
          <w:snapToGrid w:val="0"/>
          <w:color w:val="auto"/>
          <w:kern w:val="0"/>
          <w:szCs w:val="21"/>
          <w:highlight w:val="none"/>
          <w:u w:val="single"/>
        </w:rPr>
        <w:t xml:space="preserve">      （</w:t>
      </w:r>
      <w:r>
        <w:rPr>
          <w:rFonts w:hint="eastAsia" w:ascii="宋体" w:hAnsi="宋体" w:eastAsia="宋体" w:cs="宋体"/>
          <w:snapToGrid w:val="0"/>
          <w:color w:val="auto"/>
          <w:kern w:val="0"/>
          <w:szCs w:val="21"/>
          <w:highlight w:val="none"/>
          <w:u w:val="single"/>
          <w:lang w:eastAsia="zh-CN"/>
        </w:rPr>
        <w:t>投标供应商</w:t>
      </w:r>
      <w:r>
        <w:rPr>
          <w:rFonts w:hint="eastAsia" w:ascii="宋体" w:hAnsi="宋体" w:eastAsia="宋体" w:cs="宋体"/>
          <w:snapToGrid w:val="0"/>
          <w:color w:val="auto"/>
          <w:kern w:val="0"/>
          <w:szCs w:val="21"/>
          <w:highlight w:val="none"/>
          <w:u w:val="single"/>
        </w:rPr>
        <w:t xml:space="preserve">名称）       </w:t>
      </w:r>
      <w:r>
        <w:rPr>
          <w:rFonts w:hint="eastAsia" w:ascii="宋体" w:hAnsi="宋体" w:eastAsia="宋体" w:cs="宋体"/>
          <w:snapToGrid w:val="0"/>
          <w:color w:val="auto"/>
          <w:kern w:val="0"/>
          <w:szCs w:val="21"/>
          <w:highlight w:val="none"/>
        </w:rPr>
        <w:t>的法定代表人，现授权委托</w:t>
      </w:r>
      <w:r>
        <w:rPr>
          <w:rFonts w:hint="eastAsia" w:ascii="宋体" w:hAnsi="宋体" w:eastAsia="宋体" w:cs="宋体"/>
          <w:snapToGrid w:val="0"/>
          <w:color w:val="auto"/>
          <w:kern w:val="0"/>
          <w:szCs w:val="21"/>
          <w:highlight w:val="none"/>
          <w:u w:val="single"/>
        </w:rPr>
        <w:t xml:space="preserve">  （</w:t>
      </w:r>
      <w:r>
        <w:rPr>
          <w:rFonts w:hint="eastAsia" w:ascii="宋体" w:hAnsi="宋体" w:eastAsia="宋体" w:cs="宋体"/>
          <w:snapToGrid w:val="0"/>
          <w:color w:val="auto"/>
          <w:kern w:val="0"/>
          <w:szCs w:val="21"/>
          <w:highlight w:val="none"/>
          <w:u w:val="single"/>
          <w:lang w:eastAsia="zh-CN"/>
        </w:rPr>
        <w:t>投标供应商</w:t>
      </w:r>
      <w:r>
        <w:rPr>
          <w:rFonts w:hint="eastAsia" w:ascii="宋体" w:hAnsi="宋体" w:eastAsia="宋体" w:cs="宋体"/>
          <w:snapToGrid w:val="0"/>
          <w:color w:val="auto"/>
          <w:kern w:val="0"/>
          <w:szCs w:val="21"/>
          <w:highlight w:val="none"/>
          <w:u w:val="single"/>
        </w:rPr>
        <w:t xml:space="preserve">名称）   </w:t>
      </w:r>
      <w:r>
        <w:rPr>
          <w:rFonts w:hint="eastAsia" w:ascii="宋体" w:hAnsi="宋体" w:eastAsia="宋体" w:cs="宋体"/>
          <w:snapToGrid w:val="0"/>
          <w:color w:val="auto"/>
          <w:kern w:val="0"/>
          <w:szCs w:val="21"/>
          <w:highlight w:val="none"/>
        </w:rPr>
        <w:t>的</w:t>
      </w:r>
      <w:r>
        <w:rPr>
          <w:rFonts w:hint="eastAsia" w:ascii="宋体" w:hAnsi="宋体" w:eastAsia="宋体" w:cs="宋体"/>
          <w:snapToGrid w:val="0"/>
          <w:color w:val="auto"/>
          <w:kern w:val="0"/>
          <w:szCs w:val="21"/>
          <w:highlight w:val="none"/>
          <w:u w:val="single"/>
        </w:rPr>
        <w:t xml:space="preserve">  （授权代表姓名）  </w:t>
      </w:r>
      <w:r>
        <w:rPr>
          <w:rFonts w:hint="eastAsia" w:ascii="宋体" w:hAnsi="宋体" w:eastAsia="宋体" w:cs="宋体"/>
          <w:snapToGrid w:val="0"/>
          <w:color w:val="auto"/>
          <w:kern w:val="0"/>
          <w:szCs w:val="21"/>
          <w:highlight w:val="none"/>
        </w:rPr>
        <w:t>为我公司法定代表人授权代表，参加贵处组织的</w:t>
      </w:r>
      <w:r>
        <w:rPr>
          <w:rFonts w:hint="eastAsia" w:ascii="宋体" w:hAnsi="宋体" w:eastAsia="宋体" w:cs="宋体"/>
          <w:snapToGrid w:val="0"/>
          <w:color w:val="auto"/>
          <w:kern w:val="0"/>
          <w:szCs w:val="21"/>
          <w:highlight w:val="none"/>
          <w:u w:val="single"/>
        </w:rPr>
        <w:t xml:space="preserve">  （招标项目名称</w:t>
      </w:r>
      <w:r>
        <w:rPr>
          <w:rFonts w:hint="eastAsia" w:ascii="宋体" w:hAnsi="宋体" w:eastAsia="宋体" w:cs="宋体"/>
          <w:snapToGrid w:val="0"/>
          <w:color w:val="auto"/>
          <w:kern w:val="0"/>
          <w:szCs w:val="21"/>
          <w:highlight w:val="none"/>
          <w:u w:val="single"/>
          <w:lang w:eastAsia="zh-CN"/>
        </w:rPr>
        <w:t>、项目编号</w:t>
      </w:r>
      <w:r>
        <w:rPr>
          <w:rFonts w:hint="eastAsia" w:ascii="宋体" w:hAnsi="宋体" w:eastAsia="宋体" w:cs="宋体"/>
          <w:snapToGrid w:val="0"/>
          <w:color w:val="auto"/>
          <w:kern w:val="0"/>
          <w:szCs w:val="21"/>
          <w:highlight w:val="none"/>
          <w:u w:val="single"/>
        </w:rPr>
        <w:t xml:space="preserve">）  </w:t>
      </w:r>
      <w:r>
        <w:rPr>
          <w:rFonts w:hint="eastAsia" w:ascii="宋体" w:hAnsi="宋体" w:eastAsia="宋体" w:cs="宋体"/>
          <w:snapToGrid w:val="0"/>
          <w:color w:val="auto"/>
          <w:kern w:val="0"/>
          <w:szCs w:val="21"/>
          <w:highlight w:val="none"/>
        </w:rPr>
        <w:t>项目投标，全权处理本次招投标活动中的一切事宜，我承认授权代表全权代表我所签署的本项目的投标文件及招投标活动相关文件的内容。</w:t>
      </w:r>
    </w:p>
    <w:p>
      <w:pPr>
        <w:spacing w:line="500" w:lineRule="exact"/>
        <w:ind w:firstLine="612"/>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授权代表无转授权，特此授权。</w:t>
      </w:r>
    </w:p>
    <w:p>
      <w:pPr>
        <w:spacing w:line="500" w:lineRule="exact"/>
        <w:ind w:firstLine="612"/>
        <w:rPr>
          <w:rFonts w:hint="eastAsia" w:ascii="宋体" w:hAnsi="宋体" w:eastAsia="宋体" w:cs="宋体"/>
          <w:color w:val="auto"/>
          <w:szCs w:val="21"/>
          <w:highlight w:val="none"/>
        </w:rPr>
      </w:pPr>
      <w:r>
        <w:rPr>
          <w:rFonts w:hint="eastAsia" w:ascii="宋体" w:hAnsi="宋体" w:eastAsia="宋体" w:cs="宋体"/>
          <w:color w:val="auto"/>
          <w:szCs w:val="21"/>
          <w:highlight w:val="none"/>
        </w:rPr>
        <w:t>附：</w:t>
      </w:r>
    </w:p>
    <w:tbl>
      <w:tblPr>
        <w:tblStyle w:val="49"/>
        <w:tblW w:w="8460" w:type="dxa"/>
        <w:tblInd w:w="6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0"/>
        <w:gridCol w:w="2070"/>
        <w:gridCol w:w="2070"/>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top w:val="single" w:color="auto" w:sz="12" w:space="0"/>
              <w:left w:val="single" w:color="auto" w:sz="12" w:space="0"/>
            </w:tcBorders>
            <w:vAlign w:val="center"/>
          </w:tcPr>
          <w:p>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授权代表姓名</w:t>
            </w:r>
          </w:p>
        </w:tc>
        <w:tc>
          <w:tcPr>
            <w:tcW w:w="2070" w:type="dxa"/>
            <w:tcBorders>
              <w:top w:val="single" w:color="auto" w:sz="12" w:space="0"/>
            </w:tcBorders>
            <w:vAlign w:val="center"/>
          </w:tcPr>
          <w:p>
            <w:pPr>
              <w:ind w:firstLine="610"/>
              <w:jc w:val="right"/>
              <w:rPr>
                <w:rFonts w:hint="eastAsia" w:ascii="宋体" w:hAnsi="宋体" w:eastAsia="宋体" w:cs="宋体"/>
                <w:color w:val="auto"/>
                <w:szCs w:val="21"/>
                <w:highlight w:val="none"/>
              </w:rPr>
            </w:pPr>
          </w:p>
        </w:tc>
        <w:tc>
          <w:tcPr>
            <w:tcW w:w="2070" w:type="dxa"/>
            <w:tcBorders>
              <w:top w:val="single" w:color="auto" w:sz="12" w:space="0"/>
            </w:tcBorders>
            <w:vAlign w:val="center"/>
          </w:tcPr>
          <w:p>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性      别</w:t>
            </w:r>
          </w:p>
        </w:tc>
        <w:tc>
          <w:tcPr>
            <w:tcW w:w="2070" w:type="dxa"/>
            <w:tcBorders>
              <w:top w:val="single" w:color="auto" w:sz="12" w:space="0"/>
              <w:right w:val="single" w:color="auto" w:sz="12" w:space="0"/>
            </w:tcBorders>
            <w:vAlign w:val="center"/>
          </w:tcPr>
          <w:p>
            <w:pPr>
              <w:ind w:firstLine="610"/>
              <w:jc w:val="right"/>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left w:val="single" w:color="auto" w:sz="12" w:space="0"/>
            </w:tcBorders>
            <w:vAlign w:val="center"/>
          </w:tcPr>
          <w:p>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出 生 年 月</w:t>
            </w:r>
          </w:p>
        </w:tc>
        <w:tc>
          <w:tcPr>
            <w:tcW w:w="2070" w:type="dxa"/>
            <w:vAlign w:val="center"/>
          </w:tcPr>
          <w:p>
            <w:pPr>
              <w:ind w:firstLine="610"/>
              <w:jc w:val="right"/>
              <w:rPr>
                <w:rFonts w:hint="eastAsia" w:ascii="宋体" w:hAnsi="宋体" w:eastAsia="宋体" w:cs="宋体"/>
                <w:color w:val="auto"/>
                <w:szCs w:val="21"/>
                <w:highlight w:val="none"/>
              </w:rPr>
            </w:pPr>
          </w:p>
        </w:tc>
        <w:tc>
          <w:tcPr>
            <w:tcW w:w="2070" w:type="dxa"/>
            <w:vAlign w:val="center"/>
          </w:tcPr>
          <w:p>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身份证号码</w:t>
            </w:r>
          </w:p>
        </w:tc>
        <w:tc>
          <w:tcPr>
            <w:tcW w:w="2070" w:type="dxa"/>
            <w:tcBorders>
              <w:right w:val="single" w:color="auto" w:sz="12" w:space="0"/>
            </w:tcBorders>
            <w:vAlign w:val="center"/>
          </w:tcPr>
          <w:p>
            <w:pPr>
              <w:ind w:firstLine="610"/>
              <w:jc w:val="right"/>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left w:val="single" w:color="auto" w:sz="12" w:space="0"/>
            </w:tcBorders>
            <w:vAlign w:val="center"/>
          </w:tcPr>
          <w:p>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单       位</w:t>
            </w:r>
          </w:p>
        </w:tc>
        <w:tc>
          <w:tcPr>
            <w:tcW w:w="2070" w:type="dxa"/>
            <w:vAlign w:val="center"/>
          </w:tcPr>
          <w:p>
            <w:pPr>
              <w:ind w:firstLine="610"/>
              <w:jc w:val="right"/>
              <w:rPr>
                <w:rFonts w:hint="eastAsia" w:ascii="宋体" w:hAnsi="宋体" w:eastAsia="宋体" w:cs="宋体"/>
                <w:color w:val="auto"/>
                <w:szCs w:val="21"/>
                <w:highlight w:val="none"/>
              </w:rPr>
            </w:pPr>
          </w:p>
        </w:tc>
        <w:tc>
          <w:tcPr>
            <w:tcW w:w="2070" w:type="dxa"/>
            <w:vAlign w:val="center"/>
          </w:tcPr>
          <w:p>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部      门</w:t>
            </w:r>
          </w:p>
        </w:tc>
        <w:tc>
          <w:tcPr>
            <w:tcW w:w="2070" w:type="dxa"/>
            <w:tcBorders>
              <w:right w:val="single" w:color="auto" w:sz="12" w:space="0"/>
            </w:tcBorders>
            <w:vAlign w:val="center"/>
          </w:tcPr>
          <w:p>
            <w:pPr>
              <w:ind w:firstLine="610"/>
              <w:jc w:val="right"/>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50" w:type="dxa"/>
            <w:tcBorders>
              <w:left w:val="single" w:color="auto" w:sz="12" w:space="0"/>
            </w:tcBorders>
            <w:vAlign w:val="center"/>
          </w:tcPr>
          <w:p>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职       务</w:t>
            </w:r>
          </w:p>
        </w:tc>
        <w:tc>
          <w:tcPr>
            <w:tcW w:w="2070" w:type="dxa"/>
            <w:vAlign w:val="center"/>
          </w:tcPr>
          <w:p>
            <w:pPr>
              <w:ind w:firstLine="610"/>
              <w:jc w:val="right"/>
              <w:rPr>
                <w:rFonts w:hint="eastAsia" w:ascii="宋体" w:hAnsi="宋体" w:eastAsia="宋体" w:cs="宋体"/>
                <w:color w:val="auto"/>
                <w:szCs w:val="21"/>
                <w:highlight w:val="none"/>
              </w:rPr>
            </w:pPr>
          </w:p>
        </w:tc>
        <w:tc>
          <w:tcPr>
            <w:tcW w:w="2070" w:type="dxa"/>
            <w:vAlign w:val="center"/>
          </w:tcPr>
          <w:p>
            <w:pPr>
              <w:ind w:firstLine="210" w:firstLineChars="10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 系 电话</w:t>
            </w:r>
          </w:p>
        </w:tc>
        <w:tc>
          <w:tcPr>
            <w:tcW w:w="2070" w:type="dxa"/>
            <w:tcBorders>
              <w:right w:val="single" w:color="auto" w:sz="12" w:space="0"/>
            </w:tcBorders>
            <w:vAlign w:val="center"/>
          </w:tcPr>
          <w:p>
            <w:pPr>
              <w:ind w:firstLine="610"/>
              <w:jc w:val="right"/>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8" w:hRule="atLeast"/>
        </w:trPr>
        <w:tc>
          <w:tcPr>
            <w:tcW w:w="8460" w:type="dxa"/>
            <w:gridSpan w:val="4"/>
            <w:tcBorders>
              <w:left w:val="single" w:color="auto" w:sz="12" w:space="0"/>
              <w:bottom w:val="single" w:color="auto" w:sz="12" w:space="0"/>
              <w:right w:val="single" w:color="auto" w:sz="12" w:space="0"/>
            </w:tcBorders>
            <w:vAlign w:val="center"/>
          </w:tcPr>
          <w:p>
            <w:pPr>
              <w:spacing w:line="360" w:lineRule="auto"/>
              <w:ind w:firstLine="61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身份证复印件粘贴处</w:t>
            </w:r>
          </w:p>
          <w:p>
            <w:pPr>
              <w:spacing w:line="360" w:lineRule="auto"/>
              <w:ind w:firstLine="610"/>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（身份证需双面复印）</w:t>
            </w:r>
          </w:p>
        </w:tc>
      </w:tr>
    </w:tbl>
    <w:p>
      <w:pPr>
        <w:spacing w:line="360" w:lineRule="auto"/>
        <w:rPr>
          <w:rFonts w:hint="eastAsia" w:ascii="宋体" w:hAnsi="宋体" w:eastAsia="宋体" w:cs="宋体"/>
          <w:color w:val="auto"/>
          <w:szCs w:val="21"/>
          <w:highlight w:val="none"/>
        </w:rPr>
      </w:pPr>
    </w:p>
    <w:p>
      <w:pPr>
        <w:spacing w:line="360" w:lineRule="auto"/>
        <w:ind w:firstLine="420" w:firstLineChars="200"/>
        <w:jc w:val="center"/>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lang w:val="en-US" w:eastAsia="zh-CN"/>
        </w:rPr>
        <w:t xml:space="preserve">                                                  </w:t>
      </w:r>
      <w:r>
        <w:rPr>
          <w:rFonts w:hint="eastAsia" w:ascii="宋体" w:hAnsi="宋体" w:eastAsia="宋体" w:cs="宋体"/>
          <w:snapToGrid w:val="0"/>
          <w:color w:val="auto"/>
          <w:kern w:val="0"/>
          <w:szCs w:val="21"/>
          <w:highlight w:val="none"/>
          <w:lang w:eastAsia="zh-CN"/>
        </w:rPr>
        <w:t>投标供应商</w:t>
      </w:r>
      <w:r>
        <w:rPr>
          <w:rFonts w:hint="eastAsia" w:ascii="宋体" w:hAnsi="宋体" w:eastAsia="宋体" w:cs="宋体"/>
          <w:snapToGrid w:val="0"/>
          <w:color w:val="auto"/>
          <w:kern w:val="0"/>
          <w:szCs w:val="21"/>
          <w:highlight w:val="none"/>
        </w:rPr>
        <w:t>（公章）：</w:t>
      </w:r>
    </w:p>
    <w:p>
      <w:pPr>
        <w:spacing w:line="360" w:lineRule="auto"/>
        <w:ind w:firstLine="420" w:firstLineChars="200"/>
        <w:jc w:val="right"/>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法定代表人（签字或盖章）：</w:t>
      </w:r>
    </w:p>
    <w:p>
      <w:pPr>
        <w:spacing w:line="360" w:lineRule="auto"/>
        <w:ind w:firstLine="420" w:firstLineChars="200"/>
        <w:jc w:val="center"/>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lang w:val="en-US" w:eastAsia="zh-CN"/>
        </w:rPr>
        <w:t xml:space="preserve">                                     </w:t>
      </w:r>
      <w:r>
        <w:rPr>
          <w:rFonts w:hint="eastAsia" w:ascii="宋体" w:hAnsi="宋体" w:eastAsia="宋体" w:cs="宋体"/>
          <w:snapToGrid w:val="0"/>
          <w:color w:val="auto"/>
          <w:kern w:val="0"/>
          <w:szCs w:val="21"/>
          <w:highlight w:val="none"/>
        </w:rPr>
        <w:t>日</w:t>
      </w:r>
      <w:r>
        <w:rPr>
          <w:rFonts w:hint="eastAsia" w:ascii="宋体" w:hAnsi="宋体" w:eastAsia="宋体" w:cs="宋体"/>
          <w:snapToGrid w:val="0"/>
          <w:color w:val="auto"/>
          <w:kern w:val="0"/>
          <w:szCs w:val="21"/>
          <w:highlight w:val="none"/>
          <w:lang w:val="en-US" w:eastAsia="zh-CN"/>
        </w:rPr>
        <w:t xml:space="preserve"> </w:t>
      </w:r>
      <w:r>
        <w:rPr>
          <w:rFonts w:hint="eastAsia" w:ascii="宋体" w:hAnsi="宋体" w:eastAsia="宋体" w:cs="宋体"/>
          <w:snapToGrid w:val="0"/>
          <w:color w:val="auto"/>
          <w:kern w:val="0"/>
          <w:szCs w:val="21"/>
          <w:highlight w:val="none"/>
        </w:rPr>
        <w:t>期：</w:t>
      </w:r>
    </w:p>
    <w:p>
      <w:pPr>
        <w:spacing w:line="400" w:lineRule="exact"/>
        <w:jc w:val="center"/>
        <w:outlineLvl w:val="1"/>
        <w:rPr>
          <w:rFonts w:hint="eastAsia" w:ascii="宋体" w:hAnsi="宋体" w:eastAsia="宋体" w:cs="宋体"/>
          <w:color w:val="auto"/>
          <w:sz w:val="24"/>
          <w:szCs w:val="24"/>
          <w:highlight w:val="none"/>
        </w:rPr>
      </w:pPr>
      <w:bookmarkStart w:id="297" w:name="_Toc186617637"/>
      <w:bookmarkStart w:id="298" w:name="_Toc191204214"/>
      <w:r>
        <w:rPr>
          <w:rFonts w:hint="eastAsia" w:ascii="宋体" w:hAnsi="宋体" w:eastAsia="宋体" w:cs="宋体"/>
          <w:color w:val="auto"/>
          <w:kern w:val="0"/>
          <w:szCs w:val="21"/>
          <w:highlight w:val="none"/>
        </w:rPr>
        <w:br w:type="page"/>
      </w:r>
      <w:bookmarkStart w:id="299" w:name="_Toc388974304"/>
      <w:bookmarkStart w:id="300" w:name="_Toc11706"/>
      <w:bookmarkStart w:id="301" w:name="_Toc4643"/>
      <w:bookmarkStart w:id="302" w:name="_Toc27718"/>
      <w:bookmarkStart w:id="303" w:name="_Toc22558"/>
      <w:bookmarkStart w:id="304" w:name="_Toc412788168"/>
      <w:r>
        <w:rPr>
          <w:rFonts w:hint="eastAsia" w:ascii="宋体" w:hAnsi="宋体" w:eastAsia="宋体" w:cs="宋体"/>
          <w:b/>
          <w:bCs/>
          <w:color w:val="auto"/>
          <w:kern w:val="2"/>
          <w:sz w:val="24"/>
          <w:szCs w:val="24"/>
          <w:highlight w:val="none"/>
          <w:lang w:val="en-US" w:eastAsia="zh-CN" w:bidi="ar-SA"/>
        </w:rPr>
        <w:t xml:space="preserve">附件3-1  </w:t>
      </w:r>
      <w:bookmarkEnd w:id="299"/>
      <w:r>
        <w:rPr>
          <w:rFonts w:hint="eastAsia" w:ascii="宋体" w:hAnsi="宋体" w:eastAsia="宋体" w:cs="宋体"/>
          <w:b/>
          <w:bCs/>
          <w:color w:val="auto"/>
          <w:kern w:val="2"/>
          <w:sz w:val="24"/>
          <w:szCs w:val="24"/>
          <w:highlight w:val="none"/>
          <w:lang w:val="en-US" w:eastAsia="zh-CN" w:bidi="ar-SA"/>
        </w:rPr>
        <w:t>开标一览表</w:t>
      </w:r>
      <w:bookmarkEnd w:id="300"/>
      <w:bookmarkEnd w:id="301"/>
      <w:bookmarkEnd w:id="302"/>
      <w:bookmarkEnd w:id="303"/>
      <w:bookmarkEnd w:id="304"/>
    </w:p>
    <w:p>
      <w:pPr>
        <w:pStyle w:val="7"/>
        <w:spacing w:line="400" w:lineRule="exact"/>
        <w:ind w:firstLine="0"/>
        <w:rPr>
          <w:rFonts w:hint="eastAsia" w:ascii="宋体" w:hAnsi="宋体" w:eastAsia="宋体" w:cs="宋体"/>
          <w:color w:val="auto"/>
          <w:highlight w:val="none"/>
        </w:rPr>
      </w:pPr>
    </w:p>
    <w:p>
      <w:pPr>
        <w:pStyle w:val="7"/>
        <w:spacing w:line="400" w:lineRule="exact"/>
        <w:ind w:firstLine="0"/>
        <w:rPr>
          <w:rFonts w:hint="eastAsia" w:ascii="宋体" w:hAnsi="宋体" w:eastAsia="宋体" w:cs="宋体"/>
          <w:color w:val="auto"/>
          <w:highlight w:val="none"/>
        </w:rPr>
      </w:pPr>
      <w:r>
        <w:rPr>
          <w:rFonts w:hint="eastAsia" w:ascii="宋体" w:hAnsi="宋体" w:eastAsia="宋体" w:cs="宋体"/>
          <w:color w:val="auto"/>
          <w:sz w:val="22"/>
          <w:szCs w:val="18"/>
          <w:highlight w:val="none"/>
        </w:rPr>
        <w:t>项目</w:t>
      </w:r>
      <w:r>
        <w:rPr>
          <w:rFonts w:hint="eastAsia" w:ascii="宋体" w:hAnsi="宋体" w:eastAsia="宋体" w:cs="宋体"/>
          <w:color w:val="auto"/>
          <w:sz w:val="22"/>
          <w:szCs w:val="18"/>
          <w:highlight w:val="none"/>
          <w:lang w:eastAsia="zh-CN"/>
        </w:rPr>
        <w:t>编号</w:t>
      </w:r>
      <w:r>
        <w:rPr>
          <w:rFonts w:hint="eastAsia" w:ascii="宋体" w:hAnsi="宋体" w:eastAsia="宋体" w:cs="宋体"/>
          <w:color w:val="auto"/>
          <w:sz w:val="22"/>
          <w:szCs w:val="18"/>
          <w:highlight w:val="none"/>
        </w:rPr>
        <w:t>：</w:t>
      </w:r>
      <w:r>
        <w:rPr>
          <w:rFonts w:hint="eastAsia" w:ascii="宋体" w:hAnsi="宋体" w:cs="宋体"/>
          <w:color w:val="auto"/>
          <w:sz w:val="22"/>
          <w:szCs w:val="18"/>
          <w:highlight w:val="none"/>
          <w:lang w:val="en-US" w:eastAsia="zh-CN"/>
        </w:rPr>
        <w:t>WGSS-GYNY-Z-2025018</w:t>
      </w:r>
      <w:r>
        <w:rPr>
          <w:rFonts w:hint="eastAsia" w:ascii="宋体" w:hAnsi="宋体" w:eastAsia="宋体" w:cs="宋体"/>
          <w:color w:val="auto"/>
          <w:sz w:val="22"/>
          <w:szCs w:val="18"/>
          <w:highlight w:val="none"/>
        </w:rPr>
        <w:t xml:space="preserve">                           </w:t>
      </w:r>
      <w:r>
        <w:rPr>
          <w:rFonts w:hint="eastAsia" w:ascii="宋体" w:hAnsi="宋体" w:eastAsia="宋体" w:cs="宋体"/>
          <w:color w:val="auto"/>
          <w:sz w:val="22"/>
          <w:szCs w:val="18"/>
          <w:highlight w:val="none"/>
          <w:lang w:val="en-US" w:eastAsia="zh-CN"/>
        </w:rPr>
        <w:t xml:space="preserve">    </w:t>
      </w:r>
      <w:r>
        <w:rPr>
          <w:rFonts w:hint="eastAsia" w:ascii="宋体" w:hAnsi="宋体" w:eastAsia="宋体" w:cs="宋体"/>
          <w:color w:val="auto"/>
          <w:sz w:val="22"/>
          <w:szCs w:val="18"/>
          <w:highlight w:val="none"/>
        </w:rPr>
        <w:t xml:space="preserve"> （价格单位：人民币元）</w:t>
      </w:r>
    </w:p>
    <w:tbl>
      <w:tblPr>
        <w:tblStyle w:val="49"/>
        <w:tblW w:w="91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795"/>
        <w:gridCol w:w="2803"/>
        <w:gridCol w:w="2284"/>
        <w:gridCol w:w="12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795"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项目名称</w:t>
            </w:r>
          </w:p>
        </w:tc>
        <w:tc>
          <w:tcPr>
            <w:tcW w:w="280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投标总价</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（人民币元）</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合同履约期限</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质保期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2795"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lang w:eastAsia="zh-CN"/>
              </w:rPr>
            </w:pPr>
            <w:r>
              <w:rPr>
                <w:rFonts w:hint="eastAsia" w:ascii="宋体" w:hAnsi="宋体" w:cs="宋体"/>
                <w:color w:val="auto"/>
                <w:highlight w:val="none"/>
                <w:lang w:eastAsia="zh-CN"/>
              </w:rPr>
              <w:t>瓯窑产业化项目研发生产提效设备-陶艺工作室仪器设备</w:t>
            </w:r>
          </w:p>
        </w:tc>
        <w:tc>
          <w:tcPr>
            <w:tcW w:w="280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小写：</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大写：</w:t>
            </w:r>
          </w:p>
        </w:tc>
        <w:tc>
          <w:tcPr>
            <w:tcW w:w="2284" w:type="dxa"/>
            <w:vAlign w:val="top"/>
          </w:tcPr>
          <w:p>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rFonts w:hint="eastAsia" w:ascii="宋体" w:hAnsi="宋体" w:eastAsia="宋体" w:cs="宋体"/>
                <w:color w:val="auto"/>
                <w:szCs w:val="21"/>
                <w:highlight w:val="none"/>
                <w:lang w:eastAsia="zh-CN"/>
              </w:rPr>
            </w:pPr>
            <w:r>
              <w:rPr>
                <w:rFonts w:hint="eastAsia" w:ascii="宋体" w:hAnsi="宋体" w:eastAsia="宋体" w:cs="宋体"/>
                <w:color w:val="auto"/>
                <w:sz w:val="21"/>
                <w:szCs w:val="21"/>
                <w:highlight w:val="none"/>
                <w:lang w:eastAsia="zh-CN"/>
              </w:rPr>
              <w:t>合同签订后</w:t>
            </w:r>
            <w:r>
              <w:rPr>
                <w:rFonts w:hint="eastAsia" w:ascii="宋体" w:hAnsi="宋体" w:eastAsia="宋体" w:cs="宋体"/>
                <w:color w:val="auto"/>
                <w:sz w:val="21"/>
                <w:szCs w:val="21"/>
                <w:highlight w:val="none"/>
                <w:u w:val="single"/>
                <w:lang w:eastAsia="zh-CN"/>
              </w:rPr>
              <w:t xml:space="preserve"> </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u w:val="single"/>
                <w:lang w:eastAsia="zh-CN"/>
              </w:rPr>
              <w:t xml:space="preserve">  </w:t>
            </w:r>
            <w:r>
              <w:rPr>
                <w:rFonts w:hint="eastAsia" w:ascii="宋体" w:hAnsi="宋体" w:eastAsia="宋体" w:cs="宋体"/>
                <w:color w:val="auto"/>
                <w:sz w:val="21"/>
                <w:szCs w:val="21"/>
                <w:highlight w:val="none"/>
                <w:lang w:eastAsia="zh-CN"/>
              </w:rPr>
              <w:t>日历天内完成交货及安装，交付采购人使用并验收合格</w:t>
            </w:r>
            <w:r>
              <w:rPr>
                <w:rFonts w:hint="eastAsia" w:ascii="宋体" w:hAnsi="宋体" w:eastAsia="宋体" w:cs="宋体"/>
                <w:color w:val="auto"/>
                <w:szCs w:val="21"/>
                <w:highlight w:val="none"/>
                <w:lang w:eastAsia="zh-CN"/>
              </w:rPr>
              <w:t>。</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p>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宋体" w:hAnsi="宋体" w:eastAsia="宋体" w:cs="宋体"/>
                <w:color w:val="auto"/>
                <w:highlight w:val="none"/>
              </w:rPr>
            </w:pPr>
          </w:p>
        </w:tc>
      </w:tr>
    </w:tbl>
    <w:p>
      <w:pPr>
        <w:pStyle w:val="26"/>
        <w:keepNext w:val="0"/>
        <w:keepLines w:val="0"/>
        <w:pageBreakBefore w:val="0"/>
        <w:widowControl w:val="0"/>
        <w:kinsoku/>
        <w:wordWrap/>
        <w:overflowPunct/>
        <w:topLinePunct w:val="0"/>
        <w:autoSpaceDE/>
        <w:autoSpaceDN/>
        <w:bidi w:val="0"/>
        <w:adjustRightInd/>
        <w:snapToGrid/>
        <w:spacing w:line="400" w:lineRule="exact"/>
        <w:ind w:firstLine="210" w:firstLineChars="1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注：1、本项目报价为“交钥匙”价。项目实施过程中所需的墙面开孔及封堵（如有）、胶带、设备的吊装、搬运、机械、设备检测、试运行、场地清理及垃圾清运费、采购人既有设施设备成品保护费、包装及运输、采购、施工、保管、安装或集成、调试、培训、咨询、服务、检测、安保、劳务、材料、差旅交通、就餐住宿、管理、利润、规费、税金、保险、相关协调费、专利技术、知识产权、售后服务费及其他实物和技术工作收费等所有为完成本项目所发生的全部相关费用均包含在所报价格中。</w:t>
      </w:r>
    </w:p>
    <w:p>
      <w:pPr>
        <w:pStyle w:val="26"/>
        <w:keepNext w:val="0"/>
        <w:keepLines w:val="0"/>
        <w:pageBreakBefore w:val="0"/>
        <w:widowControl w:val="0"/>
        <w:kinsoku/>
        <w:wordWrap/>
        <w:overflowPunct/>
        <w:topLinePunct w:val="0"/>
        <w:autoSpaceDE/>
        <w:autoSpaceDN/>
        <w:bidi w:val="0"/>
        <w:adjustRightInd/>
        <w:snapToGrid/>
        <w:spacing w:line="400" w:lineRule="exact"/>
        <w:ind w:firstLine="630" w:firstLineChars="3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2、该表中投标总价应与附件</w:t>
      </w:r>
      <w:r>
        <w:rPr>
          <w:rFonts w:hint="eastAsia" w:ascii="宋体" w:hAnsi="宋体" w:eastAsia="宋体" w:cs="宋体"/>
          <w:color w:val="auto"/>
          <w:highlight w:val="none"/>
          <w:lang w:val="en-US" w:eastAsia="zh-CN"/>
        </w:rPr>
        <w:t xml:space="preserve">3-2 </w:t>
      </w:r>
      <w:r>
        <w:rPr>
          <w:rFonts w:hint="eastAsia" w:ascii="宋体" w:hAnsi="宋体" w:eastAsia="宋体" w:cs="宋体"/>
          <w:color w:val="auto"/>
          <w:highlight w:val="none"/>
          <w:lang w:eastAsia="zh-CN"/>
        </w:rPr>
        <w:t>报价明细表</w:t>
      </w:r>
      <w:r>
        <w:rPr>
          <w:rFonts w:hint="eastAsia" w:ascii="宋体" w:hAnsi="宋体" w:eastAsia="宋体" w:cs="宋体"/>
          <w:color w:val="auto"/>
          <w:highlight w:val="none"/>
        </w:rPr>
        <w:t>表中合计总价相一致。</w:t>
      </w:r>
    </w:p>
    <w:p>
      <w:pPr>
        <w:pStyle w:val="26"/>
        <w:keepNext w:val="0"/>
        <w:keepLines w:val="0"/>
        <w:pageBreakBefore w:val="0"/>
        <w:widowControl w:val="0"/>
        <w:kinsoku/>
        <w:wordWrap/>
        <w:overflowPunct/>
        <w:topLinePunct w:val="0"/>
        <w:autoSpaceDE/>
        <w:autoSpaceDN/>
        <w:bidi w:val="0"/>
        <w:adjustRightInd/>
        <w:snapToGrid/>
        <w:spacing w:line="400" w:lineRule="exact"/>
        <w:ind w:firstLine="630" w:firstLineChars="300"/>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▲不提供此表的投标文件将被视为未实质性响应招标文件。</w:t>
      </w:r>
    </w:p>
    <w:p>
      <w:pPr>
        <w:spacing w:line="360" w:lineRule="auto"/>
        <w:rPr>
          <w:rFonts w:hint="eastAsia" w:ascii="宋体" w:hAnsi="宋体" w:eastAsia="宋体" w:cs="宋体"/>
          <w:color w:val="auto"/>
          <w:highlight w:val="none"/>
        </w:rPr>
      </w:pPr>
    </w:p>
    <w:p>
      <w:pPr>
        <w:rPr>
          <w:rFonts w:hint="eastAsia" w:ascii="宋体" w:hAnsi="宋体" w:eastAsia="宋体" w:cs="宋体"/>
          <w:color w:val="auto"/>
          <w:highlight w:val="none"/>
        </w:rPr>
      </w:pP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投标供应商（公章）：</w:t>
      </w: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pPr>
        <w:spacing w:line="400" w:lineRule="exact"/>
        <w:rPr>
          <w:rFonts w:hint="eastAsia" w:ascii="宋体" w:hAnsi="宋体" w:eastAsia="宋体" w:cs="宋体"/>
          <w:color w:val="auto"/>
          <w:kern w:val="0"/>
          <w:szCs w:val="21"/>
          <w:highlight w:val="none"/>
        </w:rPr>
      </w:pPr>
    </w:p>
    <w:p>
      <w:pPr>
        <w:pStyle w:val="3"/>
        <w:pageBreakBefore/>
        <w:spacing w:line="240" w:lineRule="auto"/>
        <w:jc w:val="center"/>
        <w:rPr>
          <w:rFonts w:hint="eastAsia" w:ascii="宋体" w:hAnsi="宋体" w:eastAsia="宋体" w:cs="宋体"/>
          <w:color w:val="auto"/>
          <w:highlight w:val="none"/>
        </w:rPr>
      </w:pPr>
      <w:bookmarkStart w:id="305" w:name="_Toc3934"/>
      <w:bookmarkStart w:id="306" w:name="_Toc4467"/>
      <w:bookmarkStart w:id="307" w:name="_Toc560"/>
      <w:bookmarkStart w:id="308" w:name="_Toc144974860"/>
      <w:bookmarkStart w:id="309" w:name="_Toc152042580"/>
      <w:bookmarkStart w:id="310" w:name="_Toc388974302"/>
      <w:bookmarkStart w:id="311" w:name="_Toc244593278"/>
      <w:bookmarkStart w:id="312" w:name="_Toc246470296"/>
      <w:bookmarkStart w:id="313" w:name="_Toc152045791"/>
      <w:bookmarkStart w:id="314" w:name="_Toc412788171"/>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3-2</w:t>
      </w:r>
      <w:r>
        <w:rPr>
          <w:rFonts w:hint="eastAsia" w:ascii="宋体" w:hAnsi="宋体" w:eastAsia="宋体" w:cs="宋体"/>
          <w:color w:val="auto"/>
          <w:sz w:val="24"/>
          <w:szCs w:val="24"/>
          <w:highlight w:val="none"/>
        </w:rPr>
        <w:t xml:space="preserve">  </w:t>
      </w:r>
      <w:bookmarkEnd w:id="305"/>
      <w:r>
        <w:rPr>
          <w:rFonts w:hint="eastAsia" w:ascii="宋体" w:hAnsi="宋体" w:eastAsia="宋体" w:cs="宋体"/>
          <w:color w:val="auto"/>
          <w:highlight w:val="none"/>
          <w:lang w:eastAsia="zh-CN"/>
        </w:rPr>
        <w:t>报价</w:t>
      </w:r>
      <w:r>
        <w:rPr>
          <w:rFonts w:hint="eastAsia" w:ascii="宋体" w:hAnsi="宋体" w:eastAsia="宋体" w:cs="宋体"/>
          <w:color w:val="auto"/>
          <w:highlight w:val="none"/>
          <w:lang w:val="en-US" w:eastAsia="zh-CN"/>
        </w:rPr>
        <w:t>明细</w:t>
      </w:r>
      <w:r>
        <w:rPr>
          <w:rFonts w:hint="eastAsia" w:ascii="宋体" w:hAnsi="宋体" w:eastAsia="宋体" w:cs="宋体"/>
          <w:color w:val="auto"/>
          <w:highlight w:val="none"/>
        </w:rPr>
        <w:t>表</w:t>
      </w:r>
      <w:bookmarkEnd w:id="306"/>
      <w:bookmarkEnd w:id="307"/>
    </w:p>
    <w:p>
      <w:pPr>
        <w:spacing w:line="360" w:lineRule="exact"/>
        <w:rPr>
          <w:rFonts w:hint="eastAsia" w:ascii="宋体" w:hAnsi="宋体" w:eastAsia="宋体" w:cs="宋体"/>
          <w:color w:val="auto"/>
          <w:highlight w:val="none"/>
        </w:rPr>
      </w:pPr>
      <w:bookmarkStart w:id="315" w:name="_Toc9200"/>
      <w:bookmarkStart w:id="316" w:name="_Toc6812"/>
      <w:bookmarkStart w:id="317" w:name="_Toc11254"/>
      <w:r>
        <w:rPr>
          <w:rFonts w:hint="eastAsia" w:ascii="宋体" w:hAnsi="宋体" w:eastAsia="宋体" w:cs="宋体"/>
          <w:color w:val="auto"/>
          <w:highlight w:val="none"/>
        </w:rPr>
        <w:t xml:space="preserve">项目名称：                     </w:t>
      </w:r>
      <w:r>
        <w:rPr>
          <w:rFonts w:hint="eastAsia" w:ascii="宋体" w:hAnsi="宋体" w:eastAsia="宋体" w:cs="宋体"/>
          <w:color w:val="auto"/>
          <w:highlight w:val="none"/>
          <w:lang w:eastAsia="zh-CN"/>
        </w:rPr>
        <w:t>项目编号：</w:t>
      </w:r>
      <w:r>
        <w:rPr>
          <w:rFonts w:hint="eastAsia" w:ascii="宋体" w:hAnsi="宋体" w:cs="宋体"/>
          <w:color w:val="auto"/>
          <w:highlight w:val="none"/>
          <w:lang w:val="en-US" w:eastAsia="zh-CN"/>
        </w:rPr>
        <w:t>WGSS-GYNY-Z-2025018</w:t>
      </w:r>
      <w:r>
        <w:rPr>
          <w:rFonts w:hint="eastAsia" w:ascii="宋体" w:hAnsi="宋体" w:eastAsia="宋体" w:cs="宋体"/>
          <w:color w:val="auto"/>
          <w:highlight w:val="none"/>
        </w:rPr>
        <w:t xml:space="preserve">               （价格单位：人民币元）</w:t>
      </w: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9"/>
        <w:gridCol w:w="2169"/>
        <w:gridCol w:w="1500"/>
        <w:gridCol w:w="887"/>
        <w:gridCol w:w="1041"/>
        <w:gridCol w:w="1074"/>
        <w:gridCol w:w="1129"/>
        <w:gridCol w:w="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dxa"/>
            <w:tcBorders>
              <w:top w:val="single" w:color="auto" w:sz="12" w:space="0"/>
              <w:left w:val="single" w:color="auto" w:sz="12" w:space="0"/>
              <w:bottom w:val="single" w:color="auto" w:sz="4" w:space="0"/>
              <w:right w:val="single" w:color="auto" w:sz="4" w:space="0"/>
            </w:tcBorders>
            <w:noWrap w:val="0"/>
            <w:vAlign w:val="center"/>
          </w:tcPr>
          <w:p>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w:t>
            </w:r>
          </w:p>
        </w:tc>
        <w:tc>
          <w:tcPr>
            <w:tcW w:w="2169" w:type="dxa"/>
            <w:tcBorders>
              <w:top w:val="single" w:color="auto" w:sz="12"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货物名称</w:t>
            </w:r>
          </w:p>
        </w:tc>
        <w:tc>
          <w:tcPr>
            <w:tcW w:w="1500" w:type="dxa"/>
            <w:tcBorders>
              <w:top w:val="single" w:color="auto" w:sz="12"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规格型号</w:t>
            </w:r>
          </w:p>
        </w:tc>
        <w:tc>
          <w:tcPr>
            <w:tcW w:w="887" w:type="dxa"/>
            <w:tcBorders>
              <w:top w:val="single" w:color="auto" w:sz="12"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品牌/产地</w:t>
            </w:r>
          </w:p>
        </w:tc>
        <w:tc>
          <w:tcPr>
            <w:tcW w:w="1041" w:type="dxa"/>
            <w:tcBorders>
              <w:top w:val="single" w:color="auto" w:sz="12"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tc>
        <w:tc>
          <w:tcPr>
            <w:tcW w:w="1074" w:type="dxa"/>
            <w:tcBorders>
              <w:top w:val="single" w:color="auto" w:sz="12"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综合单价</w:t>
            </w:r>
          </w:p>
          <w:p>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（含税）</w:t>
            </w:r>
          </w:p>
        </w:tc>
        <w:tc>
          <w:tcPr>
            <w:tcW w:w="1129" w:type="dxa"/>
            <w:tcBorders>
              <w:top w:val="single" w:color="auto" w:sz="12"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总价</w:t>
            </w:r>
          </w:p>
          <w:p>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（含税）</w:t>
            </w:r>
          </w:p>
        </w:tc>
        <w:tc>
          <w:tcPr>
            <w:tcW w:w="847" w:type="dxa"/>
            <w:tcBorders>
              <w:top w:val="single" w:color="auto" w:sz="12" w:space="0"/>
              <w:left w:val="single" w:color="auto" w:sz="4" w:space="0"/>
              <w:bottom w:val="single" w:color="auto" w:sz="4" w:space="0"/>
              <w:right w:val="single" w:color="auto" w:sz="12" w:space="0"/>
            </w:tcBorders>
            <w:noWrap w:val="0"/>
            <w:vAlign w:val="center"/>
          </w:tcPr>
          <w:p>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免费</w:t>
            </w:r>
          </w:p>
          <w:p>
            <w:pPr>
              <w:ind w:right="-11"/>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保修期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pPr>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pPr>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pPr>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pPr>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pPr>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39" w:type="dxa"/>
            <w:tcBorders>
              <w:top w:val="single" w:color="auto" w:sz="4" w:space="0"/>
              <w:left w:val="single" w:color="auto" w:sz="12"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216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eastAsia="宋体" w:cs="宋体"/>
                <w:color w:val="auto"/>
                <w:highlight w:val="none"/>
              </w:rPr>
            </w:pPr>
          </w:p>
        </w:tc>
        <w:tc>
          <w:tcPr>
            <w:tcW w:w="1500"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041"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074"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1129" w:type="dxa"/>
            <w:tcBorders>
              <w:top w:val="single" w:color="auto" w:sz="4" w:space="0"/>
              <w:left w:val="single" w:color="auto" w:sz="4" w:space="0"/>
              <w:bottom w:val="single" w:color="auto" w:sz="4" w:space="0"/>
              <w:right w:val="single" w:color="auto" w:sz="4" w:space="0"/>
            </w:tcBorders>
            <w:noWrap w:val="0"/>
            <w:vAlign w:val="center"/>
          </w:tcPr>
          <w:p>
            <w:pPr>
              <w:ind w:right="-11"/>
              <w:jc w:val="center"/>
              <w:rPr>
                <w:rFonts w:hint="eastAsia" w:ascii="宋体" w:hAnsi="宋体" w:eastAsia="宋体" w:cs="宋体"/>
                <w:color w:val="auto"/>
                <w:highlight w:val="none"/>
              </w:rPr>
            </w:pPr>
          </w:p>
        </w:tc>
        <w:tc>
          <w:tcPr>
            <w:tcW w:w="847" w:type="dxa"/>
            <w:tcBorders>
              <w:top w:val="single" w:color="auto" w:sz="4" w:space="0"/>
              <w:left w:val="single" w:color="auto" w:sz="4" w:space="0"/>
              <w:bottom w:val="single" w:color="auto" w:sz="4" w:space="0"/>
              <w:right w:val="single" w:color="auto" w:sz="12" w:space="0"/>
            </w:tcBorders>
            <w:noWrap w:val="0"/>
            <w:vAlign w:val="center"/>
          </w:tcPr>
          <w:p>
            <w:pPr>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308" w:type="dxa"/>
            <w:gridSpan w:val="3"/>
            <w:tcBorders>
              <w:top w:val="single" w:color="auto" w:sz="4" w:space="0"/>
              <w:left w:val="single" w:color="auto" w:sz="12" w:space="0"/>
              <w:bottom w:val="single" w:color="auto" w:sz="12" w:space="0"/>
              <w:right w:val="single" w:color="auto" w:sz="4" w:space="0"/>
            </w:tcBorders>
            <w:noWrap w:val="0"/>
            <w:vAlign w:val="center"/>
          </w:tcPr>
          <w:p>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合计总价</w:t>
            </w:r>
          </w:p>
          <w:p>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（应与开标一览表中投标总价相一致）</w:t>
            </w:r>
          </w:p>
        </w:tc>
        <w:tc>
          <w:tcPr>
            <w:tcW w:w="4978" w:type="dxa"/>
            <w:gridSpan w:val="5"/>
            <w:tcBorders>
              <w:top w:val="single" w:color="auto" w:sz="4" w:space="0"/>
              <w:left w:val="single" w:color="auto" w:sz="4" w:space="0"/>
              <w:bottom w:val="single" w:color="auto" w:sz="12" w:space="0"/>
              <w:right w:val="single" w:color="auto" w:sz="12" w:space="0"/>
            </w:tcBorders>
            <w:noWrap w:val="0"/>
            <w:vAlign w:val="center"/>
          </w:tcPr>
          <w:p>
            <w:pPr>
              <w:ind w:right="-10"/>
              <w:jc w:val="center"/>
              <w:rPr>
                <w:rFonts w:hint="eastAsia" w:ascii="宋体" w:hAnsi="宋体" w:eastAsia="宋体" w:cs="宋体"/>
                <w:color w:val="auto"/>
                <w:highlight w:val="none"/>
              </w:rPr>
            </w:pPr>
          </w:p>
        </w:tc>
      </w:tr>
    </w:tbl>
    <w:p>
      <w:pPr>
        <w:keepNext w:val="0"/>
        <w:keepLines w:val="0"/>
        <w:pageBreakBefore w:val="0"/>
        <w:widowControl w:val="0"/>
        <w:kinsoku/>
        <w:wordWrap/>
        <w:overflowPunct/>
        <w:topLinePunct w:val="0"/>
        <w:autoSpaceDE/>
        <w:autoSpaceDN/>
        <w:bidi w:val="0"/>
        <w:adjustRightInd/>
        <w:snapToGrid w:val="0"/>
        <w:spacing w:before="120" w:beforeLines="50" w:line="400" w:lineRule="exact"/>
        <w:ind w:left="898" w:hanging="898" w:hangingChars="426"/>
        <w:textAlignment w:val="auto"/>
        <w:rPr>
          <w:rFonts w:hint="eastAsia" w:ascii="宋体" w:hAnsi="宋体" w:eastAsia="宋体" w:cs="宋体"/>
          <w:color w:val="auto"/>
          <w:szCs w:val="21"/>
          <w:highlight w:val="none"/>
        </w:rPr>
      </w:pPr>
      <w:r>
        <w:rPr>
          <w:rFonts w:hint="eastAsia" w:ascii="宋体" w:hAnsi="宋体" w:eastAsia="宋体" w:cs="宋体"/>
          <w:b/>
          <w:bCs/>
          <w:color w:val="auto"/>
          <w:szCs w:val="21"/>
          <w:highlight w:val="none"/>
        </w:rPr>
        <w:t>说明:：</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u w:val="wave"/>
        </w:rPr>
        <w:t>此表的合计总价应与附件</w:t>
      </w:r>
      <w:r>
        <w:rPr>
          <w:rFonts w:hint="eastAsia" w:ascii="宋体" w:hAnsi="宋体" w:eastAsia="宋体" w:cs="宋体"/>
          <w:color w:val="auto"/>
          <w:szCs w:val="21"/>
          <w:highlight w:val="none"/>
          <w:u w:val="wave"/>
          <w:lang w:val="en-US" w:eastAsia="zh-CN"/>
        </w:rPr>
        <w:t xml:space="preserve">3-1  </w:t>
      </w:r>
      <w:r>
        <w:rPr>
          <w:rFonts w:hint="eastAsia" w:ascii="宋体" w:hAnsi="宋体" w:eastAsia="宋体" w:cs="宋体"/>
          <w:color w:val="auto"/>
          <w:szCs w:val="21"/>
          <w:highlight w:val="none"/>
          <w:u w:val="wave"/>
        </w:rPr>
        <w:t>《开标一览表》的投标总价相一致</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snapToGrid w:val="0"/>
        <w:spacing w:line="400" w:lineRule="exact"/>
        <w:ind w:left="1079" w:leftChars="343" w:hanging="359" w:hangingChars="171"/>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kern w:val="0"/>
          <w:szCs w:val="21"/>
          <w:highlight w:val="none"/>
        </w:rPr>
        <w:t>表中的货物名称按招标文件第三部分中“主要设备及内容清单”分项填写</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spacing w:after="120" w:afterLines="50" w:line="400" w:lineRule="exact"/>
        <w:ind w:right="-21" w:rightChars="-10" w:firstLine="663" w:firstLineChars="300"/>
        <w:textAlignment w:val="auto"/>
        <w:rPr>
          <w:rFonts w:hint="eastAsia" w:ascii="宋体" w:hAnsi="宋体" w:eastAsia="宋体" w:cs="宋体"/>
          <w:color w:val="auto"/>
          <w:szCs w:val="21"/>
          <w:highlight w:val="none"/>
        </w:rPr>
      </w:pPr>
      <w:r>
        <w:rPr>
          <w:rFonts w:hint="eastAsia" w:ascii="宋体" w:hAnsi="宋体" w:eastAsia="宋体" w:cs="宋体"/>
          <w:b/>
          <w:color w:val="auto"/>
          <w:sz w:val="22"/>
          <w:szCs w:val="22"/>
          <w:highlight w:val="none"/>
          <w:u w:val="single"/>
        </w:rPr>
        <w:t>▲</w:t>
      </w:r>
      <w:r>
        <w:rPr>
          <w:rFonts w:hint="eastAsia" w:ascii="宋体" w:hAnsi="宋体" w:eastAsia="宋体" w:cs="宋体"/>
          <w:b/>
          <w:color w:val="auto"/>
          <w:sz w:val="22"/>
          <w:szCs w:val="22"/>
          <w:highlight w:val="none"/>
          <w:u w:val="single"/>
          <w:lang w:val="en-US" w:eastAsia="zh-CN"/>
        </w:rPr>
        <w:t>3、</w:t>
      </w:r>
      <w:r>
        <w:rPr>
          <w:rFonts w:hint="eastAsia" w:ascii="宋体" w:hAnsi="宋体" w:eastAsia="宋体" w:cs="宋体"/>
          <w:b/>
          <w:color w:val="auto"/>
          <w:sz w:val="22"/>
          <w:szCs w:val="22"/>
          <w:highlight w:val="none"/>
          <w:u w:val="single"/>
        </w:rPr>
        <w:t>不提供此表的投标文件将被视为未实质性响应招标文件。</w:t>
      </w:r>
    </w:p>
    <w:p>
      <w:pPr>
        <w:spacing w:after="120" w:afterLines="50"/>
        <w:ind w:right="-21" w:rightChars="-10" w:firstLine="5145" w:firstLineChars="2450"/>
        <w:jc w:val="left"/>
        <w:rPr>
          <w:rFonts w:hint="eastAsia" w:ascii="宋体" w:hAnsi="宋体" w:eastAsia="宋体" w:cs="宋体"/>
          <w:color w:val="auto"/>
          <w:szCs w:val="21"/>
          <w:highlight w:val="none"/>
        </w:rPr>
      </w:pPr>
    </w:p>
    <w:p>
      <w:pPr>
        <w:spacing w:after="120" w:afterLines="50"/>
        <w:ind w:right="-21" w:rightChars="-10" w:firstLine="5145" w:firstLineChars="2450"/>
        <w:jc w:val="left"/>
        <w:rPr>
          <w:rFonts w:hint="eastAsia" w:ascii="宋体" w:hAnsi="宋体" w:eastAsia="宋体" w:cs="宋体"/>
          <w:color w:val="auto"/>
          <w:szCs w:val="21"/>
          <w:highlight w:val="none"/>
        </w:rPr>
      </w:pPr>
    </w:p>
    <w:p>
      <w:pPr>
        <w:spacing w:after="120" w:afterLines="50"/>
        <w:ind w:right="-21" w:rightChars="-10" w:firstLine="5145" w:firstLineChars="24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投标供应商（公章）：</w:t>
      </w:r>
    </w:p>
    <w:p>
      <w:pPr>
        <w:spacing w:after="120" w:afterLines="50"/>
        <w:ind w:right="-10" w:firstLine="5145" w:firstLineChars="24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法定代表人或授权代表人（签字或盖章）：</w:t>
      </w:r>
    </w:p>
    <w:p>
      <w:pPr>
        <w:spacing w:after="120" w:afterLines="50"/>
        <w:ind w:right="-10" w:firstLine="5145" w:firstLineChars="2450"/>
        <w:jc w:val="left"/>
        <w:rPr>
          <w:rFonts w:hint="eastAsia" w:ascii="宋体" w:hAnsi="宋体" w:eastAsia="宋体" w:cs="宋体"/>
          <w:color w:val="auto"/>
          <w:kern w:val="0"/>
          <w:highlight w:val="none"/>
        </w:rPr>
      </w:pPr>
      <w:r>
        <w:rPr>
          <w:rFonts w:hint="eastAsia" w:ascii="宋体" w:hAnsi="宋体" w:eastAsia="宋体" w:cs="宋体"/>
          <w:color w:val="auto"/>
          <w:highlight w:val="none"/>
        </w:rPr>
        <w:t>日期：</w:t>
      </w:r>
    </w:p>
    <w:bookmarkEnd w:id="315"/>
    <w:bookmarkEnd w:id="316"/>
    <w:bookmarkEnd w:id="317"/>
    <w:p>
      <w:pPr>
        <w:keepNext w:val="0"/>
        <w:keepLines w:val="0"/>
        <w:pageBreakBefore w:val="0"/>
        <w:widowControl w:val="0"/>
        <w:kinsoku/>
        <w:wordWrap/>
        <w:overflowPunct/>
        <w:topLinePunct w:val="0"/>
        <w:autoSpaceDE/>
        <w:autoSpaceDN/>
        <w:bidi w:val="0"/>
        <w:adjustRightInd/>
        <w:snapToGrid/>
        <w:spacing w:line="440" w:lineRule="exact"/>
        <w:ind w:firstLine="5527" w:firstLineChars="2632"/>
        <w:textAlignment w:val="auto"/>
        <w:rPr>
          <w:rFonts w:hint="eastAsia" w:ascii="宋体" w:hAnsi="宋体" w:eastAsia="宋体" w:cs="宋体"/>
          <w:color w:val="auto"/>
          <w:kern w:val="0"/>
          <w:sz w:val="21"/>
          <w:szCs w:val="21"/>
          <w:highlight w:val="none"/>
        </w:rPr>
      </w:pPr>
    </w:p>
    <w:p>
      <w:pPr>
        <w:spacing w:before="101" w:line="227" w:lineRule="auto"/>
        <w:ind w:left="87"/>
        <w:rPr>
          <w:rFonts w:hint="eastAsia" w:ascii="宋体" w:hAnsi="宋体" w:eastAsia="宋体" w:cs="宋体"/>
          <w:color w:val="auto"/>
          <w:spacing w:val="2"/>
          <w:sz w:val="20"/>
          <w:szCs w:val="20"/>
          <w:highlight w:val="none"/>
        </w:rPr>
      </w:pPr>
      <w:r>
        <w:rPr>
          <w:rFonts w:hint="eastAsia" w:ascii="宋体" w:hAnsi="宋体" w:eastAsia="宋体" w:cs="宋体"/>
          <w:color w:val="auto"/>
          <w:spacing w:val="2"/>
          <w:sz w:val="20"/>
          <w:szCs w:val="20"/>
          <w:highlight w:val="none"/>
        </w:rPr>
        <w:t xml:space="preserve">  </w:t>
      </w:r>
    </w:p>
    <w:p>
      <w:pPr>
        <w:spacing w:before="101" w:line="227" w:lineRule="auto"/>
        <w:rPr>
          <w:rFonts w:hint="eastAsia" w:ascii="宋体" w:hAnsi="宋体" w:eastAsia="宋体" w:cs="宋体"/>
          <w:color w:val="auto"/>
          <w:spacing w:val="2"/>
          <w:sz w:val="20"/>
          <w:szCs w:val="20"/>
          <w:highlight w:val="none"/>
        </w:rPr>
      </w:pPr>
    </w:p>
    <w:p>
      <w:pPr>
        <w:rPr>
          <w:rFonts w:hint="eastAsia" w:ascii="宋体" w:hAnsi="宋体" w:eastAsia="宋体" w:cs="宋体"/>
          <w:color w:val="auto"/>
          <w:highlight w:val="none"/>
        </w:rPr>
      </w:pPr>
    </w:p>
    <w:bookmarkEnd w:id="308"/>
    <w:bookmarkEnd w:id="309"/>
    <w:bookmarkEnd w:id="310"/>
    <w:bookmarkEnd w:id="311"/>
    <w:bookmarkEnd w:id="312"/>
    <w:bookmarkEnd w:id="313"/>
    <w:bookmarkEnd w:id="314"/>
    <w:p>
      <w:pPr>
        <w:spacing w:line="440" w:lineRule="exact"/>
        <w:rPr>
          <w:rFonts w:hint="eastAsia" w:ascii="宋体" w:hAnsi="宋体" w:eastAsia="宋体" w:cs="宋体"/>
          <w:b/>
          <w:color w:val="auto"/>
          <w:sz w:val="28"/>
          <w:highlight w:val="none"/>
        </w:rPr>
      </w:pPr>
      <w:bookmarkStart w:id="318" w:name="_Toc412788172"/>
      <w:bookmarkStart w:id="319" w:name="_Toc388974303"/>
    </w:p>
    <w:bookmarkEnd w:id="318"/>
    <w:bookmarkEnd w:id="319"/>
    <w:p>
      <w:pPr>
        <w:rPr>
          <w:rFonts w:hint="eastAsia" w:ascii="宋体" w:hAnsi="宋体" w:eastAsia="宋体" w:cs="宋体"/>
          <w:color w:val="auto"/>
          <w:highlight w:val="none"/>
        </w:rPr>
      </w:pPr>
      <w:bookmarkStart w:id="320" w:name="_Toc388459811"/>
      <w:bookmarkStart w:id="321" w:name="_Toc388974305"/>
      <w:bookmarkStart w:id="322" w:name="_Toc388974307"/>
    </w:p>
    <w:bookmarkEnd w:id="320"/>
    <w:p>
      <w:pPr>
        <w:spacing w:before="156" w:beforeLines="50" w:after="156" w:afterLines="50" w:line="320" w:lineRule="exact"/>
        <w:jc w:val="center"/>
        <w:outlineLvl w:val="1"/>
        <w:rPr>
          <w:rFonts w:hint="eastAsia" w:ascii="宋体" w:hAnsi="宋体" w:eastAsia="宋体" w:cs="宋体"/>
          <w:b/>
          <w:bCs/>
          <w:color w:val="auto"/>
          <w:kern w:val="0"/>
          <w:sz w:val="28"/>
          <w:highlight w:val="none"/>
        </w:rPr>
      </w:pPr>
      <w:bookmarkStart w:id="323" w:name="_Toc412788174"/>
      <w:r>
        <w:rPr>
          <w:rFonts w:hint="eastAsia" w:ascii="宋体" w:hAnsi="宋体" w:eastAsia="宋体" w:cs="宋体"/>
          <w:color w:val="auto"/>
          <w:sz w:val="24"/>
          <w:szCs w:val="24"/>
          <w:highlight w:val="none"/>
        </w:rPr>
        <w:br w:type="page"/>
      </w:r>
      <w:bookmarkStart w:id="324" w:name="_Toc3613"/>
      <w:bookmarkStart w:id="325" w:name="_Toc14630"/>
      <w:bookmarkStart w:id="326" w:name="_Toc21275"/>
      <w:bookmarkStart w:id="327" w:name="_Toc12213"/>
      <w:bookmarkStart w:id="328" w:name="_Toc3811"/>
      <w:r>
        <w:rPr>
          <w:rFonts w:hint="eastAsia" w:ascii="宋体" w:hAnsi="宋体" w:eastAsia="宋体" w:cs="宋体"/>
          <w:b/>
          <w:bCs/>
          <w:color w:val="auto"/>
          <w:kern w:val="2"/>
          <w:sz w:val="24"/>
          <w:szCs w:val="24"/>
          <w:highlight w:val="none"/>
          <w:lang w:val="en-US" w:eastAsia="zh-CN" w:bidi="ar-SA"/>
        </w:rPr>
        <w:t>附件4   投标函</w:t>
      </w:r>
      <w:bookmarkEnd w:id="324"/>
      <w:bookmarkEnd w:id="325"/>
      <w:bookmarkEnd w:id="326"/>
    </w:p>
    <w:p>
      <w:pPr>
        <w:spacing w:after="156" w:afterLines="50" w:line="320" w:lineRule="exact"/>
        <w:rPr>
          <w:rFonts w:hint="eastAsia" w:ascii="宋体" w:hAnsi="宋体" w:eastAsia="宋体" w:cs="宋体"/>
          <w:color w:val="auto"/>
          <w:kern w:val="0"/>
          <w:highlight w:val="none"/>
        </w:rPr>
      </w:pPr>
      <w:r>
        <w:rPr>
          <w:rFonts w:hint="eastAsia" w:ascii="宋体" w:hAnsi="宋体" w:eastAsia="宋体" w:cs="宋体"/>
          <w:color w:val="auto"/>
          <w:kern w:val="0"/>
          <w:highlight w:val="none"/>
          <w:u w:val="single"/>
        </w:rPr>
        <w:t>温州瓯瓷产业发展有限公司</w:t>
      </w:r>
      <w:r>
        <w:rPr>
          <w:rFonts w:hint="eastAsia" w:ascii="宋体" w:hAnsi="宋体" w:eastAsia="宋体" w:cs="宋体"/>
          <w:color w:val="auto"/>
          <w:kern w:val="0"/>
          <w:highlight w:val="none"/>
        </w:rPr>
        <w:t>：</w:t>
      </w:r>
    </w:p>
    <w:p>
      <w:pPr>
        <w:spacing w:line="400" w:lineRule="exact"/>
        <w:ind w:firstLine="420" w:firstLineChars="200"/>
        <w:rPr>
          <w:rFonts w:hint="eastAsia" w:ascii="宋体" w:hAnsi="宋体" w:eastAsia="宋体" w:cs="宋体"/>
          <w:color w:val="auto"/>
          <w:kern w:val="0"/>
          <w:highlight w:val="none"/>
        </w:rPr>
      </w:pPr>
      <w:r>
        <w:rPr>
          <w:rFonts w:hint="eastAsia" w:ascii="宋体" w:hAnsi="宋体" w:eastAsia="宋体" w:cs="宋体"/>
          <w:color w:val="auto"/>
          <w:kern w:val="0"/>
          <w:highlight w:val="none"/>
        </w:rPr>
        <w:t>根据贵方招标文件的要求，正式授权下述签字人</w:t>
      </w:r>
      <w:r>
        <w:rPr>
          <w:rFonts w:hint="eastAsia" w:ascii="宋体" w:hAnsi="宋体" w:eastAsia="宋体" w:cs="宋体"/>
          <w:color w:val="auto"/>
          <w:kern w:val="0"/>
          <w:highlight w:val="none"/>
          <w:u w:val="single"/>
        </w:rPr>
        <w:t xml:space="preserve">    （姓名，单位，职务）</w:t>
      </w:r>
      <w:r>
        <w:rPr>
          <w:rFonts w:hint="eastAsia" w:ascii="宋体" w:hAnsi="宋体" w:eastAsia="宋体" w:cs="宋体"/>
          <w:color w:val="auto"/>
          <w:kern w:val="0"/>
          <w:highlight w:val="none"/>
          <w:u w:val="single"/>
          <w:lang w:val="en-US" w:eastAsia="zh-CN"/>
        </w:rPr>
        <w:t xml:space="preserve">  </w:t>
      </w:r>
      <w:r>
        <w:rPr>
          <w:rFonts w:hint="eastAsia" w:ascii="宋体" w:hAnsi="宋体" w:eastAsia="宋体" w:cs="宋体"/>
          <w:color w:val="auto"/>
          <w:kern w:val="0"/>
          <w:highlight w:val="none"/>
        </w:rPr>
        <w:t>代表投标人</w:t>
      </w:r>
      <w:r>
        <w:rPr>
          <w:rFonts w:hint="eastAsia" w:ascii="宋体" w:hAnsi="宋体" w:eastAsia="宋体" w:cs="宋体"/>
          <w:color w:val="auto"/>
          <w:kern w:val="0"/>
          <w:highlight w:val="none"/>
          <w:u w:val="single"/>
        </w:rPr>
        <w:t xml:space="preserve"> </w:t>
      </w:r>
      <w:r>
        <w:rPr>
          <w:rFonts w:hint="eastAsia" w:ascii="宋体" w:hAnsi="宋体" w:eastAsia="宋体" w:cs="宋体"/>
          <w:color w:val="auto"/>
          <w:kern w:val="0"/>
          <w:highlight w:val="none"/>
          <w:u w:val="single"/>
          <w:lang w:val="en-US" w:eastAsia="zh-CN"/>
        </w:rPr>
        <w:t xml:space="preserve">  </w:t>
      </w:r>
      <w:r>
        <w:rPr>
          <w:rFonts w:hint="eastAsia" w:ascii="宋体" w:hAnsi="宋体" w:eastAsia="宋体" w:cs="宋体"/>
          <w:color w:val="auto"/>
          <w:kern w:val="0"/>
          <w:highlight w:val="none"/>
          <w:u w:val="single"/>
        </w:rPr>
        <w:t>(单位，地址)</w:t>
      </w:r>
      <w:r>
        <w:rPr>
          <w:rFonts w:hint="eastAsia" w:ascii="宋体" w:hAnsi="宋体" w:eastAsia="宋体" w:cs="宋体"/>
          <w:color w:val="auto"/>
          <w:kern w:val="0"/>
          <w:highlight w:val="none"/>
          <w:u w:val="single"/>
          <w:lang w:val="en-US" w:eastAsia="zh-CN"/>
        </w:rPr>
        <w:t xml:space="preserve">   </w:t>
      </w:r>
      <w:r>
        <w:rPr>
          <w:rFonts w:hint="eastAsia" w:ascii="宋体" w:hAnsi="宋体" w:eastAsia="宋体" w:cs="宋体"/>
          <w:color w:val="auto"/>
          <w:kern w:val="0"/>
          <w:highlight w:val="none"/>
        </w:rPr>
        <w:t>提交下述文件。</w:t>
      </w:r>
    </w:p>
    <w:p>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投标书</w:t>
      </w:r>
    </w:p>
    <w:p>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highlight w:val="none"/>
        </w:rPr>
        <w:t>由投标人出具的金额为_______元的投标保证金</w:t>
      </w:r>
    </w:p>
    <w:p>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spacing w:val="0"/>
          <w:kern w:val="0"/>
          <w:sz w:val="21"/>
          <w:szCs w:val="21"/>
          <w:highlight w:val="none"/>
        </w:rPr>
        <w:t>开标一览表</w:t>
      </w:r>
    </w:p>
    <w:p>
      <w:pPr>
        <w:numPr>
          <w:ilvl w:val="0"/>
          <w:numId w:val="18"/>
        </w:numPr>
        <w:spacing w:line="400" w:lineRule="exact"/>
        <w:ind w:left="844" w:leftChars="0" w:firstLineChars="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招标文件要求投标人提交的其它文件及资料</w:t>
      </w:r>
    </w:p>
    <w:p>
      <w:pPr>
        <w:spacing w:line="400" w:lineRule="exact"/>
        <w:ind w:firstLine="420" w:firstLineChars="20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据此函，签字人兹宣布同意如下：</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lang w:val="en-US"/>
        </w:rPr>
      </w:pPr>
      <w:r>
        <w:rPr>
          <w:rFonts w:hint="eastAsia" w:ascii="宋体" w:hAnsi="宋体" w:eastAsia="宋体" w:cs="宋体"/>
          <w:color w:val="auto"/>
          <w:kern w:val="0"/>
          <w:highlight w:val="none"/>
        </w:rPr>
        <w:t xml:space="preserve">①  </w:t>
      </w:r>
      <w:r>
        <w:rPr>
          <w:rFonts w:hint="eastAsia" w:ascii="宋体" w:hAnsi="宋体" w:eastAsia="宋体" w:cs="宋体"/>
          <w:bCs/>
          <w:color w:val="auto"/>
          <w:highlight w:val="none"/>
          <w:lang w:val="en-US" w:eastAsia="zh-CN"/>
        </w:rPr>
        <w:t>承包服务期</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sz w:val="21"/>
          <w:szCs w:val="21"/>
          <w:highlight w:val="none"/>
          <w:u w:val="single"/>
          <w:lang w:eastAsia="zh-CN"/>
        </w:rPr>
        <w:t xml:space="preserve">合同签订后 </w:t>
      </w:r>
      <w:r>
        <w:rPr>
          <w:rFonts w:hint="eastAsia" w:ascii="宋体" w:hAnsi="宋体" w:eastAsia="宋体" w:cs="宋体"/>
          <w:color w:val="auto"/>
          <w:sz w:val="21"/>
          <w:szCs w:val="21"/>
          <w:highlight w:val="none"/>
          <w:u w:val="single"/>
          <w:lang w:val="en-US" w:eastAsia="zh-CN"/>
        </w:rPr>
        <w:t>30</w:t>
      </w:r>
      <w:r>
        <w:rPr>
          <w:rFonts w:hint="eastAsia" w:ascii="宋体" w:hAnsi="宋体" w:eastAsia="宋体" w:cs="宋体"/>
          <w:color w:val="auto"/>
          <w:sz w:val="21"/>
          <w:szCs w:val="21"/>
          <w:highlight w:val="none"/>
          <w:u w:val="single"/>
          <w:lang w:eastAsia="zh-CN"/>
        </w:rPr>
        <w:t xml:space="preserve"> 日历天内完成交货及安装，交付采购人使用并验收合格</w:t>
      </w:r>
      <w:r>
        <w:rPr>
          <w:rFonts w:hint="eastAsia" w:ascii="宋体" w:hAnsi="宋体" w:eastAsia="宋体" w:cs="宋体"/>
          <w:color w:val="auto"/>
          <w:kern w:val="0"/>
          <w:szCs w:val="21"/>
          <w:highlight w:val="none"/>
          <w:u w:val="single"/>
        </w:rPr>
        <w:t>。</w:t>
      </w:r>
      <w:r>
        <w:rPr>
          <w:rFonts w:hint="eastAsia" w:ascii="宋体" w:hAnsi="宋体" w:eastAsia="宋体" w:cs="宋体"/>
          <w:color w:val="auto"/>
          <w:kern w:val="0"/>
          <w:szCs w:val="21"/>
          <w:highlight w:val="none"/>
        </w:rPr>
        <w:t>质量要求：</w:t>
      </w:r>
      <w:r>
        <w:rPr>
          <w:rFonts w:hint="eastAsia" w:ascii="宋体" w:hAnsi="宋体" w:eastAsia="宋体" w:cs="宋体"/>
          <w:color w:val="auto"/>
          <w:kern w:val="0"/>
          <w:szCs w:val="21"/>
          <w:highlight w:val="none"/>
          <w:u w:val="single"/>
          <w:lang w:eastAsia="zh-CN"/>
        </w:rPr>
        <w:t>合格</w:t>
      </w:r>
      <w:r>
        <w:rPr>
          <w:rFonts w:hint="eastAsia" w:ascii="宋体" w:hAnsi="宋体" w:eastAsia="宋体" w:cs="宋体"/>
          <w:color w:val="auto"/>
          <w:kern w:val="0"/>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②  根据招标文件的规定，投标人承诺标书规定的责任和义务。</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③  投标人已详细审核全部招标文件，包括修改文件、参考资料及有关附件，放弃提出含糊不清或误解的权利。</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④  本投标自投标截止之日起</w:t>
      </w:r>
      <w:r>
        <w:rPr>
          <w:rFonts w:hint="eastAsia" w:ascii="宋体" w:hAnsi="宋体" w:eastAsia="宋体" w:cs="宋体"/>
          <w:color w:val="auto"/>
          <w:kern w:val="0"/>
          <w:highlight w:val="none"/>
          <w:u w:val="single"/>
        </w:rPr>
        <w:t xml:space="preserve"> 90 </w:t>
      </w:r>
      <w:r>
        <w:rPr>
          <w:rFonts w:hint="eastAsia" w:ascii="宋体" w:hAnsi="宋体" w:eastAsia="宋体" w:cs="宋体"/>
          <w:color w:val="auto"/>
          <w:kern w:val="0"/>
          <w:highlight w:val="none"/>
        </w:rPr>
        <w:t>天内有效。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⑤  如果在投标有效期内撤回投标、修改或拒绝接受已经确认的条款，同意</w:t>
      </w:r>
      <w:r>
        <w:rPr>
          <w:rFonts w:hint="eastAsia" w:ascii="宋体" w:hAnsi="宋体" w:eastAsia="宋体" w:cs="宋体"/>
          <w:color w:val="auto"/>
          <w:kern w:val="0"/>
          <w:highlight w:val="none"/>
          <w:lang w:eastAsia="zh-CN"/>
        </w:rPr>
        <w:t>采购人</w:t>
      </w:r>
      <w:r>
        <w:rPr>
          <w:rFonts w:hint="eastAsia" w:ascii="宋体" w:hAnsi="宋体" w:eastAsia="宋体" w:cs="宋体"/>
          <w:color w:val="auto"/>
          <w:highlight w:val="none"/>
        </w:rPr>
        <w:t>不予退还投标保证金</w:t>
      </w:r>
      <w:r>
        <w:rPr>
          <w:rFonts w:hint="eastAsia" w:ascii="宋体" w:hAnsi="宋体" w:eastAsia="宋体" w:cs="宋体"/>
          <w:color w:val="auto"/>
          <w:kern w:val="0"/>
          <w:highlight w:val="none"/>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⑥  同意提供按照</w:t>
      </w:r>
      <w:r>
        <w:rPr>
          <w:rFonts w:hint="eastAsia" w:ascii="宋体" w:hAnsi="宋体" w:eastAsia="宋体" w:cs="宋体"/>
          <w:color w:val="auto"/>
          <w:kern w:val="0"/>
          <w:highlight w:val="none"/>
          <w:lang w:eastAsia="zh-CN"/>
        </w:rPr>
        <w:t>采购人</w:t>
      </w:r>
      <w:r>
        <w:rPr>
          <w:rFonts w:hint="eastAsia" w:ascii="宋体" w:hAnsi="宋体" w:eastAsia="宋体" w:cs="宋体"/>
          <w:color w:val="auto"/>
          <w:kern w:val="0"/>
          <w:highlight w:val="none"/>
        </w:rPr>
        <w:t>可能要求的与其投标有关的任何数据或资料。完全理解</w:t>
      </w:r>
      <w:r>
        <w:rPr>
          <w:rFonts w:hint="eastAsia" w:ascii="宋体" w:hAnsi="宋体" w:eastAsia="宋体" w:cs="宋体"/>
          <w:color w:val="auto"/>
          <w:kern w:val="0"/>
          <w:highlight w:val="none"/>
          <w:lang w:eastAsia="zh-CN"/>
        </w:rPr>
        <w:t>采购人</w:t>
      </w:r>
      <w:r>
        <w:rPr>
          <w:rFonts w:hint="eastAsia" w:ascii="宋体" w:hAnsi="宋体" w:eastAsia="宋体" w:cs="宋体"/>
          <w:color w:val="auto"/>
          <w:kern w:val="0"/>
          <w:highlight w:val="none"/>
        </w:rPr>
        <w:t>不一定授标给最低报价的投标人以及接受或拒绝某一投标。</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⑦  与投标有关的正式通讯地址为：</w:t>
      </w:r>
      <w:r>
        <w:rPr>
          <w:rFonts w:hint="eastAsia" w:ascii="宋体" w:hAnsi="宋体" w:eastAsia="宋体" w:cs="宋体"/>
          <w:color w:val="auto"/>
          <w:kern w:val="0"/>
          <w:highlight w:val="none"/>
          <w:u w:val="single"/>
        </w:rPr>
        <w:t xml:space="preserve">                                </w:t>
      </w:r>
    </w:p>
    <w:p>
      <w:pPr>
        <w:spacing w:line="400" w:lineRule="exact"/>
        <w:ind w:firstLine="840" w:firstLineChars="400"/>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地址：</w:t>
      </w:r>
      <w:r>
        <w:rPr>
          <w:rFonts w:hint="eastAsia" w:ascii="宋体" w:hAnsi="宋体" w:eastAsia="宋体" w:cs="宋体"/>
          <w:color w:val="auto"/>
          <w:kern w:val="0"/>
          <w:highlight w:val="none"/>
          <w:u w:val="single"/>
        </w:rPr>
        <w:t xml:space="preserve">                               </w:t>
      </w:r>
    </w:p>
    <w:p>
      <w:pPr>
        <w:spacing w:line="400" w:lineRule="exact"/>
        <w:ind w:firstLine="840" w:firstLineChars="400"/>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邮编：</w:t>
      </w:r>
      <w:r>
        <w:rPr>
          <w:rFonts w:hint="eastAsia" w:ascii="宋体" w:hAnsi="宋体" w:eastAsia="宋体" w:cs="宋体"/>
          <w:color w:val="auto"/>
          <w:kern w:val="0"/>
          <w:highlight w:val="none"/>
          <w:u w:val="single"/>
        </w:rPr>
        <w:t xml:space="preserve">              </w:t>
      </w:r>
      <w:r>
        <w:rPr>
          <w:rFonts w:hint="eastAsia" w:ascii="宋体" w:hAnsi="宋体" w:eastAsia="宋体" w:cs="宋体"/>
          <w:color w:val="auto"/>
          <w:kern w:val="0"/>
          <w:highlight w:val="none"/>
        </w:rPr>
        <w:t>电话：</w:t>
      </w:r>
      <w:r>
        <w:rPr>
          <w:rFonts w:hint="eastAsia" w:ascii="宋体" w:hAnsi="宋体" w:eastAsia="宋体" w:cs="宋体"/>
          <w:color w:val="auto"/>
          <w:kern w:val="0"/>
          <w:highlight w:val="none"/>
          <w:u w:val="single"/>
        </w:rPr>
        <w:t xml:space="preserve">              </w:t>
      </w:r>
      <w:r>
        <w:rPr>
          <w:rFonts w:hint="eastAsia" w:ascii="宋体" w:hAnsi="宋体" w:eastAsia="宋体" w:cs="宋体"/>
          <w:color w:val="auto"/>
          <w:kern w:val="0"/>
          <w:highlight w:val="none"/>
        </w:rPr>
        <w:t>传真：</w:t>
      </w:r>
      <w:r>
        <w:rPr>
          <w:rFonts w:hint="eastAsia" w:ascii="宋体" w:hAnsi="宋体" w:eastAsia="宋体" w:cs="宋体"/>
          <w:color w:val="auto"/>
          <w:kern w:val="0"/>
          <w:highlight w:val="none"/>
          <w:u w:val="single"/>
        </w:rPr>
        <w:t xml:space="preserve">              </w:t>
      </w:r>
    </w:p>
    <w:p>
      <w:pPr>
        <w:spacing w:line="400" w:lineRule="exact"/>
        <w:ind w:firstLine="840" w:firstLineChars="400"/>
        <w:rPr>
          <w:rFonts w:hint="eastAsia" w:ascii="宋体" w:hAnsi="宋体" w:eastAsia="宋体" w:cs="宋体"/>
          <w:color w:val="auto"/>
          <w:kern w:val="0"/>
          <w:highlight w:val="none"/>
          <w:u w:val="single"/>
        </w:rPr>
      </w:pPr>
      <w:r>
        <w:rPr>
          <w:rFonts w:hint="eastAsia" w:ascii="宋体" w:hAnsi="宋体" w:eastAsia="宋体" w:cs="宋体"/>
          <w:color w:val="auto"/>
          <w:kern w:val="0"/>
          <w:highlight w:val="none"/>
        </w:rPr>
        <w:t>开户银行：</w:t>
      </w:r>
      <w:r>
        <w:rPr>
          <w:rFonts w:hint="eastAsia" w:ascii="宋体" w:hAnsi="宋体" w:eastAsia="宋体" w:cs="宋体"/>
          <w:color w:val="auto"/>
          <w:kern w:val="0"/>
          <w:highlight w:val="none"/>
          <w:u w:val="single"/>
        </w:rPr>
        <w:t xml:space="preserve">                               </w:t>
      </w:r>
    </w:p>
    <w:p>
      <w:pPr>
        <w:spacing w:line="320" w:lineRule="exact"/>
        <w:ind w:firstLine="840" w:firstLineChars="400"/>
        <w:rPr>
          <w:rFonts w:hint="eastAsia" w:ascii="宋体" w:hAnsi="宋体" w:eastAsia="宋体" w:cs="宋体"/>
          <w:color w:val="auto"/>
          <w:kern w:val="0"/>
          <w:highlight w:val="none"/>
        </w:rPr>
      </w:pPr>
      <w:r>
        <w:rPr>
          <w:rFonts w:hint="eastAsia" w:ascii="宋体" w:hAnsi="宋体" w:eastAsia="宋体" w:cs="宋体"/>
          <w:color w:val="auto"/>
          <w:kern w:val="0"/>
          <w:highlight w:val="none"/>
        </w:rPr>
        <w:t>帐    号：</w:t>
      </w:r>
      <w:r>
        <w:rPr>
          <w:rFonts w:hint="eastAsia" w:ascii="宋体" w:hAnsi="宋体" w:eastAsia="宋体" w:cs="宋体"/>
          <w:color w:val="auto"/>
          <w:kern w:val="0"/>
          <w:highlight w:val="none"/>
          <w:u w:val="single"/>
        </w:rPr>
        <w:t xml:space="preserve">                               </w:t>
      </w:r>
    </w:p>
    <w:p>
      <w:pPr>
        <w:spacing w:before="312" w:beforeLines="100"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w:t>
      </w:r>
      <w:r>
        <w:rPr>
          <w:rFonts w:hint="eastAsia" w:ascii="宋体" w:hAnsi="宋体" w:eastAsia="宋体" w:cs="宋体"/>
          <w:color w:val="auto"/>
          <w:kern w:val="0"/>
          <w:highlight w:val="none"/>
          <w:lang w:val="en-US" w:eastAsia="zh-CN"/>
        </w:rPr>
        <w:t>供应商</w:t>
      </w:r>
      <w:r>
        <w:rPr>
          <w:rFonts w:hint="eastAsia" w:ascii="宋体" w:hAnsi="宋体" w:eastAsia="宋体" w:cs="宋体"/>
          <w:color w:val="auto"/>
          <w:kern w:val="0"/>
          <w:highlight w:val="none"/>
        </w:rPr>
        <w:t>（盖章）：</w:t>
      </w:r>
    </w:p>
    <w:p>
      <w:pPr>
        <w:spacing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法定代表人或授权代表（签字或盖章）：</w:t>
      </w:r>
    </w:p>
    <w:p>
      <w:pPr>
        <w:spacing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日期：</w:t>
      </w:r>
    </w:p>
    <w:p>
      <w:pPr>
        <w:pStyle w:val="3"/>
        <w:jc w:val="center"/>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bookmarkStart w:id="329" w:name="_Toc24860"/>
      <w:bookmarkStart w:id="330" w:name="_Toc14282"/>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  </w:t>
      </w:r>
      <w:bookmarkEnd w:id="323"/>
      <w:r>
        <w:rPr>
          <w:rFonts w:hint="eastAsia" w:ascii="宋体" w:hAnsi="宋体" w:eastAsia="宋体" w:cs="宋体"/>
          <w:color w:val="auto"/>
          <w:sz w:val="24"/>
          <w:szCs w:val="24"/>
          <w:highlight w:val="none"/>
          <w:lang w:eastAsia="zh-CN"/>
        </w:rPr>
        <w:t>投标供应商</w:t>
      </w:r>
      <w:r>
        <w:rPr>
          <w:rFonts w:hint="eastAsia" w:ascii="宋体" w:hAnsi="宋体" w:eastAsia="宋体" w:cs="宋体"/>
          <w:color w:val="auto"/>
          <w:sz w:val="24"/>
          <w:szCs w:val="24"/>
          <w:highlight w:val="none"/>
        </w:rPr>
        <w:t>情况说明</w:t>
      </w:r>
      <w:bookmarkEnd w:id="327"/>
      <w:bookmarkEnd w:id="328"/>
      <w:bookmarkEnd w:id="329"/>
      <w:bookmarkEnd w:id="330"/>
    </w:p>
    <w:p>
      <w:pPr>
        <w:spacing w:line="380" w:lineRule="exact"/>
        <w:ind w:left="418" w:leftChars="199"/>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1、名称及概况：</w:t>
      </w:r>
    </w:p>
    <w:p>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（1）</w:t>
      </w:r>
      <w:r>
        <w:rPr>
          <w:rFonts w:hint="eastAsia" w:ascii="宋体" w:hAnsi="宋体" w:eastAsia="宋体" w:cs="宋体"/>
          <w:b/>
          <w:color w:val="auto"/>
          <w:sz w:val="22"/>
          <w:szCs w:val="22"/>
          <w:highlight w:val="none"/>
          <w:lang w:eastAsia="zh-CN"/>
        </w:rPr>
        <w:t>投标供应商</w:t>
      </w:r>
      <w:r>
        <w:rPr>
          <w:rFonts w:hint="eastAsia" w:ascii="宋体" w:hAnsi="宋体" w:eastAsia="宋体" w:cs="宋体"/>
          <w:b/>
          <w:color w:val="auto"/>
          <w:sz w:val="22"/>
          <w:szCs w:val="22"/>
          <w:highlight w:val="none"/>
        </w:rPr>
        <w:t>名称：</w:t>
      </w:r>
      <w:r>
        <w:rPr>
          <w:rFonts w:hint="eastAsia" w:ascii="宋体" w:hAnsi="宋体" w:eastAsia="宋体" w:cs="宋体"/>
          <w:b/>
          <w:color w:val="auto"/>
          <w:sz w:val="22"/>
          <w:szCs w:val="22"/>
          <w:highlight w:val="none"/>
          <w:u w:val="single"/>
        </w:rPr>
        <w:t xml:space="preserve">                             </w:t>
      </w:r>
    </w:p>
    <w:p>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（2）总部地址：</w:t>
      </w:r>
      <w:r>
        <w:rPr>
          <w:rFonts w:hint="eastAsia" w:ascii="宋体" w:hAnsi="宋体" w:eastAsia="宋体" w:cs="宋体"/>
          <w:b/>
          <w:color w:val="auto"/>
          <w:sz w:val="22"/>
          <w:szCs w:val="22"/>
          <w:highlight w:val="none"/>
          <w:u w:val="single"/>
        </w:rPr>
        <w:t xml:space="preserve">                               </w:t>
      </w:r>
    </w:p>
    <w:p>
      <w:pPr>
        <w:spacing w:line="380" w:lineRule="exact"/>
        <w:ind w:firstLine="989" w:firstLineChars="448"/>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传真/电话号码：</w:t>
      </w:r>
      <w:r>
        <w:rPr>
          <w:rFonts w:hint="eastAsia" w:ascii="宋体" w:hAnsi="宋体" w:eastAsia="宋体" w:cs="宋体"/>
          <w:b/>
          <w:color w:val="auto"/>
          <w:sz w:val="22"/>
          <w:szCs w:val="22"/>
          <w:highlight w:val="none"/>
          <w:u w:val="single"/>
        </w:rPr>
        <w:t xml:space="preserve">                          </w:t>
      </w:r>
    </w:p>
    <w:p>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（3）成立或注册日期：</w:t>
      </w:r>
      <w:r>
        <w:rPr>
          <w:rFonts w:hint="eastAsia" w:ascii="宋体" w:hAnsi="宋体" w:eastAsia="宋体" w:cs="宋体"/>
          <w:b/>
          <w:color w:val="auto"/>
          <w:sz w:val="22"/>
          <w:szCs w:val="22"/>
          <w:highlight w:val="none"/>
          <w:u w:val="single"/>
        </w:rPr>
        <w:t xml:space="preserve">                         </w:t>
      </w:r>
    </w:p>
    <w:p>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（4）实收资本：</w:t>
      </w:r>
      <w:r>
        <w:rPr>
          <w:rFonts w:hint="eastAsia" w:ascii="宋体" w:hAnsi="宋体" w:eastAsia="宋体" w:cs="宋体"/>
          <w:b/>
          <w:color w:val="auto"/>
          <w:sz w:val="22"/>
          <w:szCs w:val="22"/>
          <w:highlight w:val="none"/>
          <w:u w:val="single"/>
        </w:rPr>
        <w:t xml:space="preserve">                               </w:t>
      </w:r>
    </w:p>
    <w:p>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（5）近期资产负债表（到</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年</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月</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日止）</w:t>
      </w:r>
    </w:p>
    <w:p>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1）固定资产：</w:t>
      </w:r>
      <w:r>
        <w:rPr>
          <w:rFonts w:hint="eastAsia" w:ascii="宋体" w:hAnsi="宋体" w:eastAsia="宋体" w:cs="宋体"/>
          <w:b/>
          <w:color w:val="auto"/>
          <w:sz w:val="22"/>
          <w:szCs w:val="22"/>
          <w:highlight w:val="none"/>
          <w:u w:val="single"/>
        </w:rPr>
        <w:t xml:space="preserve">                               </w:t>
      </w:r>
    </w:p>
    <w:p>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2）流动资产：</w:t>
      </w:r>
      <w:r>
        <w:rPr>
          <w:rFonts w:hint="eastAsia" w:ascii="宋体" w:hAnsi="宋体" w:eastAsia="宋体" w:cs="宋体"/>
          <w:b/>
          <w:color w:val="auto"/>
          <w:sz w:val="22"/>
          <w:szCs w:val="22"/>
          <w:highlight w:val="none"/>
          <w:u w:val="single"/>
        </w:rPr>
        <w:t xml:space="preserve">                               </w:t>
      </w:r>
    </w:p>
    <w:p>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3）长期负债：</w:t>
      </w:r>
      <w:r>
        <w:rPr>
          <w:rFonts w:hint="eastAsia" w:ascii="宋体" w:hAnsi="宋体" w:eastAsia="宋体" w:cs="宋体"/>
          <w:b/>
          <w:color w:val="auto"/>
          <w:sz w:val="22"/>
          <w:szCs w:val="22"/>
          <w:highlight w:val="none"/>
          <w:u w:val="single"/>
        </w:rPr>
        <w:t xml:space="preserve">                               </w:t>
      </w:r>
    </w:p>
    <w:p>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4）流动负债：</w:t>
      </w:r>
      <w:r>
        <w:rPr>
          <w:rFonts w:hint="eastAsia" w:ascii="宋体" w:hAnsi="宋体" w:eastAsia="宋体" w:cs="宋体"/>
          <w:b/>
          <w:color w:val="auto"/>
          <w:sz w:val="22"/>
          <w:szCs w:val="22"/>
          <w:highlight w:val="none"/>
          <w:u w:val="single"/>
        </w:rPr>
        <w:t xml:space="preserve">                               </w:t>
      </w:r>
    </w:p>
    <w:p>
      <w:pPr>
        <w:spacing w:line="380" w:lineRule="exact"/>
        <w:ind w:firstLine="422" w:firstLineChars="191"/>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 xml:space="preserve">  5）净值：</w:t>
      </w:r>
      <w:r>
        <w:rPr>
          <w:rFonts w:hint="eastAsia" w:ascii="宋体" w:hAnsi="宋体" w:eastAsia="宋体" w:cs="宋体"/>
          <w:b/>
          <w:color w:val="auto"/>
          <w:sz w:val="22"/>
          <w:szCs w:val="22"/>
          <w:highlight w:val="none"/>
          <w:u w:val="single"/>
        </w:rPr>
        <w:t xml:space="preserve">                                   </w:t>
      </w:r>
    </w:p>
    <w:p>
      <w:pPr>
        <w:tabs>
          <w:tab w:val="left" w:pos="5486"/>
        </w:tabs>
        <w:spacing w:line="380" w:lineRule="exact"/>
        <w:ind w:firstLine="422" w:firstLineChars="191"/>
        <w:rPr>
          <w:rFonts w:hint="eastAsia" w:ascii="宋体" w:hAnsi="宋体" w:eastAsia="宋体" w:cs="宋体"/>
          <w:b/>
          <w:color w:val="auto"/>
          <w:sz w:val="22"/>
          <w:szCs w:val="22"/>
          <w:highlight w:val="none"/>
          <w:u w:val="single"/>
        </w:rPr>
      </w:pPr>
      <w:r>
        <w:rPr>
          <w:rFonts w:hint="eastAsia" w:ascii="宋体" w:hAnsi="宋体" w:eastAsia="宋体" w:cs="宋体"/>
          <w:b/>
          <w:color w:val="auto"/>
          <w:sz w:val="22"/>
          <w:szCs w:val="22"/>
          <w:highlight w:val="none"/>
        </w:rPr>
        <w:t>（6）主要负责人姓名：</w:t>
      </w:r>
      <w:r>
        <w:rPr>
          <w:rFonts w:hint="eastAsia" w:ascii="宋体" w:hAnsi="宋体" w:eastAsia="宋体" w:cs="宋体"/>
          <w:b/>
          <w:color w:val="auto"/>
          <w:sz w:val="22"/>
          <w:szCs w:val="22"/>
          <w:highlight w:val="none"/>
          <w:u w:val="single"/>
        </w:rPr>
        <w:t xml:space="preserve">                         </w:t>
      </w:r>
    </w:p>
    <w:p>
      <w:pPr>
        <w:spacing w:line="380" w:lineRule="exact"/>
        <w:rPr>
          <w:rFonts w:hint="eastAsia" w:ascii="宋体" w:hAnsi="宋体" w:eastAsia="宋体" w:cs="宋体"/>
          <w:b/>
          <w:color w:val="auto"/>
          <w:sz w:val="22"/>
          <w:szCs w:val="22"/>
          <w:highlight w:val="none"/>
        </w:rPr>
      </w:pPr>
    </w:p>
    <w:p>
      <w:pPr>
        <w:spacing w:line="380" w:lineRule="exact"/>
        <w:ind w:left="418" w:leftChars="199"/>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2、企业生产设备及规模简介：</w:t>
      </w:r>
    </w:p>
    <w:p>
      <w:pPr>
        <w:spacing w:line="380" w:lineRule="exact"/>
        <w:ind w:left="663" w:hanging="663" w:hangingChars="300"/>
        <w:rPr>
          <w:rFonts w:hint="eastAsia" w:ascii="宋体" w:hAnsi="宋体" w:eastAsia="宋体" w:cs="宋体"/>
          <w:b/>
          <w:color w:val="auto"/>
          <w:sz w:val="22"/>
          <w:szCs w:val="22"/>
          <w:highlight w:val="none"/>
        </w:rPr>
      </w:pPr>
    </w:p>
    <w:p>
      <w:pPr>
        <w:spacing w:line="380" w:lineRule="exact"/>
        <w:ind w:left="658" w:leftChars="201" w:hanging="236" w:hangingChars="107"/>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3、企业人员情况：</w:t>
      </w:r>
    </w:p>
    <w:p>
      <w:pPr>
        <w:spacing w:line="380" w:lineRule="exact"/>
        <w:ind w:left="655" w:leftChars="312"/>
        <w:rPr>
          <w:rFonts w:hint="eastAsia" w:ascii="宋体" w:hAnsi="宋体" w:eastAsia="宋体" w:cs="宋体"/>
          <w:b/>
          <w:color w:val="auto"/>
          <w:sz w:val="22"/>
          <w:szCs w:val="22"/>
          <w:highlight w:val="none"/>
          <w:u w:val="single"/>
        </w:rPr>
      </w:pPr>
      <w:r>
        <w:rPr>
          <w:rFonts w:hint="eastAsia" w:ascii="宋体" w:hAnsi="宋体" w:eastAsia="宋体" w:cs="宋体"/>
          <w:b/>
          <w:color w:val="auto"/>
          <w:sz w:val="22"/>
          <w:szCs w:val="22"/>
          <w:highlight w:val="none"/>
        </w:rPr>
        <w:t>职工（在职）人数</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人，其中技术人员</w:t>
      </w:r>
      <w:r>
        <w:rPr>
          <w:rFonts w:hint="eastAsia" w:ascii="宋体" w:hAnsi="宋体" w:eastAsia="宋体" w:cs="宋体"/>
          <w:b/>
          <w:color w:val="auto"/>
          <w:sz w:val="22"/>
          <w:szCs w:val="22"/>
          <w:highlight w:val="none"/>
          <w:u w:val="single"/>
        </w:rPr>
        <w:t xml:space="preserve">       </w:t>
      </w:r>
      <w:r>
        <w:rPr>
          <w:rFonts w:hint="eastAsia" w:ascii="宋体" w:hAnsi="宋体" w:eastAsia="宋体" w:cs="宋体"/>
          <w:b/>
          <w:color w:val="auto"/>
          <w:sz w:val="22"/>
          <w:szCs w:val="22"/>
          <w:highlight w:val="none"/>
        </w:rPr>
        <w:t>人</w:t>
      </w:r>
    </w:p>
    <w:p>
      <w:pPr>
        <w:spacing w:line="380" w:lineRule="exact"/>
        <w:ind w:left="658" w:leftChars="201" w:hanging="236" w:hangingChars="107"/>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4、近三年的年营业总额</w:t>
      </w:r>
      <w:r>
        <w:rPr>
          <w:rFonts w:hint="eastAsia" w:ascii="宋体" w:hAnsi="宋体" w:eastAsia="宋体" w:cs="宋体"/>
          <w:b/>
          <w:color w:val="auto"/>
          <w:sz w:val="22"/>
          <w:szCs w:val="22"/>
          <w:highlight w:val="none"/>
          <w:u w:val="single"/>
        </w:rPr>
        <w:t xml:space="preserve">                             </w:t>
      </w:r>
    </w:p>
    <w:p>
      <w:pPr>
        <w:spacing w:line="380" w:lineRule="exact"/>
        <w:rPr>
          <w:rFonts w:hint="eastAsia" w:ascii="宋体" w:hAnsi="宋体" w:eastAsia="宋体" w:cs="宋体"/>
          <w:color w:val="auto"/>
          <w:sz w:val="22"/>
          <w:szCs w:val="22"/>
          <w:highlight w:val="none"/>
        </w:rPr>
      </w:pPr>
    </w:p>
    <w:p>
      <w:pPr>
        <w:spacing w:line="380" w:lineRule="exact"/>
        <w:ind w:firstLine="418" w:firstLineChars="19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兹证明上述声明是真实、正确的、并提供了全部能提供的资料和数据，我们同意遵照</w:t>
      </w: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要求出示有关证明文件。</w:t>
      </w:r>
    </w:p>
    <w:p>
      <w:pPr>
        <w:spacing w:after="120" w:afterLines="50" w:line="400" w:lineRule="exact"/>
        <w:ind w:firstLine="4412" w:firstLineChars="2101"/>
        <w:rPr>
          <w:rFonts w:hint="eastAsia" w:ascii="宋体" w:hAnsi="宋体" w:eastAsia="宋体" w:cs="宋体"/>
          <w:color w:val="auto"/>
          <w:szCs w:val="21"/>
          <w:highlight w:val="none"/>
          <w:lang w:eastAsia="zh-CN"/>
        </w:rPr>
      </w:pPr>
    </w:p>
    <w:p>
      <w:pPr>
        <w:spacing w:after="120" w:afterLines="50" w:line="400" w:lineRule="exact"/>
        <w:ind w:firstLine="4412" w:firstLineChars="2101"/>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投标供应商</w:t>
      </w:r>
      <w:r>
        <w:rPr>
          <w:rFonts w:hint="eastAsia" w:ascii="宋体" w:hAnsi="宋体" w:eastAsia="宋体" w:cs="宋体"/>
          <w:color w:val="auto"/>
          <w:szCs w:val="21"/>
          <w:highlight w:val="none"/>
        </w:rPr>
        <w:t>（盖章）：</w:t>
      </w:r>
    </w:p>
    <w:p>
      <w:pPr>
        <w:spacing w:after="120" w:afterLines="50" w:line="400" w:lineRule="exact"/>
        <w:ind w:firstLine="3889" w:firstLineChars="1852"/>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法定代表人或授权代表（签字或盖章）：</w:t>
      </w:r>
    </w:p>
    <w:p>
      <w:pPr>
        <w:spacing w:after="120" w:afterLines="50" w:line="400" w:lineRule="exact"/>
        <w:ind w:firstLine="3992" w:firstLineChars="1901"/>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color w:val="auto"/>
          <w:szCs w:val="21"/>
          <w:highlight w:val="none"/>
        </w:rPr>
        <w:t xml:space="preserve">    日期：</w:t>
      </w:r>
      <w:bookmarkStart w:id="331" w:name="_Toc10406"/>
      <w:bookmarkStart w:id="332" w:name="_Toc420077690"/>
      <w:bookmarkStart w:id="333" w:name="_Toc17268"/>
    </w:p>
    <w:p>
      <w:pPr>
        <w:jc w:val="center"/>
        <w:outlineLvl w:val="1"/>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br w:type="page"/>
      </w:r>
      <w:bookmarkEnd w:id="331"/>
      <w:bookmarkEnd w:id="332"/>
      <w:bookmarkEnd w:id="333"/>
      <w:bookmarkStart w:id="334" w:name="_Toc1087"/>
      <w:r>
        <w:rPr>
          <w:rFonts w:hint="eastAsia" w:ascii="宋体" w:hAnsi="宋体" w:eastAsia="宋体" w:cs="宋体"/>
          <w:b/>
          <w:bCs/>
          <w:color w:val="auto"/>
          <w:kern w:val="2"/>
          <w:sz w:val="24"/>
          <w:szCs w:val="24"/>
          <w:highlight w:val="none"/>
          <w:lang w:val="en-US" w:eastAsia="zh-CN" w:bidi="ar-SA"/>
        </w:rPr>
        <w:t>附件6  投标供应商202</w:t>
      </w:r>
      <w:r>
        <w:rPr>
          <w:rFonts w:hint="eastAsia" w:ascii="宋体" w:hAnsi="宋体" w:cs="宋体"/>
          <w:b/>
          <w:bCs/>
          <w:color w:val="auto"/>
          <w:kern w:val="2"/>
          <w:sz w:val="24"/>
          <w:szCs w:val="24"/>
          <w:highlight w:val="none"/>
          <w:lang w:val="en-US" w:eastAsia="zh-CN" w:bidi="ar-SA"/>
        </w:rPr>
        <w:t>2</w:t>
      </w:r>
      <w:r>
        <w:rPr>
          <w:rFonts w:hint="eastAsia" w:ascii="宋体" w:hAnsi="宋体" w:eastAsia="宋体" w:cs="宋体"/>
          <w:b/>
          <w:bCs/>
          <w:color w:val="auto"/>
          <w:kern w:val="2"/>
          <w:sz w:val="24"/>
          <w:szCs w:val="24"/>
          <w:highlight w:val="none"/>
          <w:lang w:val="en-US" w:eastAsia="zh-CN" w:bidi="ar-SA"/>
        </w:rPr>
        <w:t>年1月1日以来同类项目供货业绩一览表</w:t>
      </w:r>
      <w:bookmarkEnd w:id="334"/>
    </w:p>
    <w:tbl>
      <w:tblPr>
        <w:tblStyle w:val="49"/>
        <w:tblpPr w:leftFromText="180" w:rightFromText="180" w:vertAnchor="text" w:horzAnchor="page" w:tblpX="1459" w:tblpY="94"/>
        <w:tblOverlap w:val="never"/>
        <w:tblW w:w="93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1706"/>
        <w:gridCol w:w="2434"/>
        <w:gridCol w:w="1800"/>
        <w:gridCol w:w="12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2088"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项目名称</w:t>
            </w:r>
          </w:p>
        </w:tc>
        <w:tc>
          <w:tcPr>
            <w:tcW w:w="1706"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简要描述</w:t>
            </w:r>
          </w:p>
        </w:tc>
        <w:tc>
          <w:tcPr>
            <w:tcW w:w="2434"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地址、联系电话</w:t>
            </w:r>
          </w:p>
        </w:tc>
        <w:tc>
          <w:tcPr>
            <w:tcW w:w="1800"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合同金额</w:t>
            </w:r>
          </w:p>
        </w:tc>
        <w:tc>
          <w:tcPr>
            <w:tcW w:w="1294"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合同时间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2088" w:type="dxa"/>
            <w:vAlign w:val="top"/>
          </w:tcPr>
          <w:p>
            <w:pPr>
              <w:jc w:val="left"/>
              <w:rPr>
                <w:rFonts w:hint="eastAsia" w:ascii="宋体" w:hAnsi="宋体" w:eastAsia="宋体" w:cs="宋体"/>
                <w:color w:val="auto"/>
                <w:highlight w:val="none"/>
              </w:rPr>
            </w:pPr>
          </w:p>
        </w:tc>
        <w:tc>
          <w:tcPr>
            <w:tcW w:w="1706" w:type="dxa"/>
            <w:vAlign w:val="top"/>
          </w:tcPr>
          <w:p>
            <w:pPr>
              <w:jc w:val="left"/>
              <w:rPr>
                <w:rFonts w:hint="eastAsia" w:ascii="宋体" w:hAnsi="宋体" w:eastAsia="宋体" w:cs="宋体"/>
                <w:color w:val="auto"/>
                <w:highlight w:val="none"/>
              </w:rPr>
            </w:pPr>
          </w:p>
        </w:tc>
        <w:tc>
          <w:tcPr>
            <w:tcW w:w="2434" w:type="dxa"/>
            <w:vAlign w:val="top"/>
          </w:tcPr>
          <w:p>
            <w:pPr>
              <w:jc w:val="left"/>
              <w:rPr>
                <w:rFonts w:hint="eastAsia" w:ascii="宋体" w:hAnsi="宋体" w:eastAsia="宋体" w:cs="宋体"/>
                <w:color w:val="auto"/>
                <w:highlight w:val="none"/>
              </w:rPr>
            </w:pPr>
          </w:p>
        </w:tc>
        <w:tc>
          <w:tcPr>
            <w:tcW w:w="1800" w:type="dxa"/>
            <w:vAlign w:val="top"/>
          </w:tcPr>
          <w:p>
            <w:pPr>
              <w:jc w:val="left"/>
              <w:rPr>
                <w:rFonts w:hint="eastAsia" w:ascii="宋体" w:hAnsi="宋体" w:eastAsia="宋体" w:cs="宋体"/>
                <w:color w:val="auto"/>
                <w:highlight w:val="none"/>
              </w:rPr>
            </w:pPr>
          </w:p>
        </w:tc>
        <w:tc>
          <w:tcPr>
            <w:tcW w:w="1294" w:type="dxa"/>
            <w:vAlign w:val="top"/>
          </w:tcPr>
          <w:p>
            <w:pPr>
              <w:jc w:val="left"/>
              <w:rPr>
                <w:rFonts w:hint="eastAsia" w:ascii="宋体" w:hAnsi="宋体" w:eastAsia="宋体" w:cs="宋体"/>
                <w:color w:val="auto"/>
                <w:highlight w:val="none"/>
              </w:rPr>
            </w:pPr>
          </w:p>
        </w:tc>
      </w:tr>
    </w:tbl>
    <w:p>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注:</w:t>
      </w:r>
    </w:p>
    <w:p>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1.此表仅提供了表格形式，投标供应商应根据需要准备足够数里的表格来填写。</w:t>
      </w:r>
    </w:p>
    <w:p>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2.每项业绩须根据商务技术文件评分细则的要求提供证明材料;</w:t>
      </w:r>
    </w:p>
    <w:p>
      <w:pPr>
        <w:tabs>
          <w:tab w:val="left" w:pos="7380"/>
        </w:tabs>
        <w:spacing w:line="320" w:lineRule="exact"/>
        <w:rPr>
          <w:rFonts w:hint="eastAsia" w:ascii="宋体" w:hAnsi="宋体" w:eastAsia="宋体" w:cs="宋体"/>
          <w:color w:val="auto"/>
          <w:highlight w:val="none"/>
        </w:rPr>
      </w:pPr>
      <w:r>
        <w:rPr>
          <w:rFonts w:hint="eastAsia" w:ascii="宋体" w:hAnsi="宋体" w:eastAsia="宋体" w:cs="宋体"/>
          <w:color w:val="auto"/>
          <w:highlight w:val="none"/>
        </w:rPr>
        <w:t>3.投标供应商未提供本表或未按要求提供业绩证明材料将视为无业绩，不纳入评分范围。</w:t>
      </w:r>
    </w:p>
    <w:p>
      <w:pPr>
        <w:tabs>
          <w:tab w:val="left" w:pos="7380"/>
        </w:tabs>
        <w:spacing w:line="320" w:lineRule="exact"/>
        <w:rPr>
          <w:rFonts w:hint="eastAsia" w:ascii="宋体" w:hAnsi="宋体" w:eastAsia="宋体" w:cs="宋体"/>
          <w:color w:val="auto"/>
          <w:highlight w:val="none"/>
        </w:rPr>
      </w:pPr>
    </w:p>
    <w:p>
      <w:pPr>
        <w:spacing w:before="312" w:beforeLines="100"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w:t>
      </w:r>
      <w:r>
        <w:rPr>
          <w:rFonts w:hint="eastAsia" w:ascii="宋体" w:hAnsi="宋体" w:eastAsia="宋体" w:cs="宋体"/>
          <w:color w:val="auto"/>
          <w:kern w:val="0"/>
          <w:highlight w:val="none"/>
          <w:lang w:val="en-US" w:eastAsia="zh-CN"/>
        </w:rPr>
        <w:t>供应商</w:t>
      </w:r>
      <w:r>
        <w:rPr>
          <w:rFonts w:hint="eastAsia" w:ascii="宋体" w:hAnsi="宋体" w:eastAsia="宋体" w:cs="宋体"/>
          <w:color w:val="auto"/>
          <w:kern w:val="0"/>
          <w:highlight w:val="none"/>
        </w:rPr>
        <w:t>（盖章）：</w:t>
      </w:r>
    </w:p>
    <w:p>
      <w:pPr>
        <w:spacing w:after="50" w:line="360" w:lineRule="auto"/>
        <w:ind w:firstLine="4059" w:firstLineChars="1933"/>
        <w:rPr>
          <w:rFonts w:hint="eastAsia" w:ascii="宋体" w:hAnsi="宋体" w:eastAsia="宋体" w:cs="宋体"/>
          <w:color w:val="auto"/>
          <w:kern w:val="0"/>
          <w:highlight w:val="none"/>
        </w:rPr>
      </w:pPr>
      <w:r>
        <w:rPr>
          <w:rFonts w:hint="eastAsia" w:ascii="宋体" w:hAnsi="宋体" w:eastAsia="宋体" w:cs="宋体"/>
          <w:color w:val="auto"/>
          <w:kern w:val="0"/>
          <w:highlight w:val="none"/>
        </w:rPr>
        <w:t>法定代表人或授权代表（签字或盖章）：</w:t>
      </w:r>
    </w:p>
    <w:p>
      <w:pPr>
        <w:spacing w:line="400" w:lineRule="exact"/>
        <w:ind w:firstLine="3990" w:firstLineChars="1900"/>
        <w:rPr>
          <w:rFonts w:hint="eastAsia" w:ascii="宋体" w:hAnsi="宋体" w:eastAsia="宋体" w:cs="宋体"/>
          <w:color w:val="auto"/>
          <w:kern w:val="0"/>
          <w:szCs w:val="21"/>
          <w:highlight w:val="none"/>
        </w:rPr>
      </w:pPr>
      <w:r>
        <w:rPr>
          <w:rFonts w:hint="eastAsia" w:ascii="宋体" w:hAnsi="宋体" w:eastAsia="宋体" w:cs="宋体"/>
          <w:color w:val="auto"/>
          <w:kern w:val="0"/>
          <w:highlight w:val="none"/>
        </w:rPr>
        <w:t>日期：</w:t>
      </w:r>
    </w:p>
    <w:p>
      <w:pPr>
        <w:spacing w:line="240" w:lineRule="auto"/>
        <w:jc w:val="center"/>
        <w:outlineLvl w:val="1"/>
        <w:rPr>
          <w:rFonts w:hint="eastAsia" w:ascii="宋体" w:hAnsi="宋体" w:eastAsia="宋体" w:cs="宋体"/>
          <w:b/>
          <w:bCs/>
          <w:color w:val="auto"/>
          <w:sz w:val="24"/>
          <w:szCs w:val="24"/>
          <w:highlight w:val="none"/>
        </w:rPr>
      </w:pPr>
      <w:bookmarkStart w:id="335" w:name="_Toc420077691"/>
      <w:r>
        <w:rPr>
          <w:rFonts w:hint="eastAsia" w:ascii="宋体" w:hAnsi="宋体" w:eastAsia="宋体" w:cs="宋体"/>
          <w:color w:val="auto"/>
          <w:sz w:val="24"/>
          <w:szCs w:val="24"/>
          <w:highlight w:val="none"/>
        </w:rPr>
        <w:br w:type="page"/>
      </w:r>
      <w:bookmarkStart w:id="336" w:name="_Toc24247"/>
      <w:bookmarkStart w:id="337" w:name="_Toc8277"/>
      <w:bookmarkStart w:id="338" w:name="_Toc1317"/>
      <w:r>
        <w:rPr>
          <w:rFonts w:hint="eastAsia" w:ascii="宋体" w:hAnsi="宋体" w:eastAsia="宋体" w:cs="宋体"/>
          <w:b/>
          <w:bCs/>
          <w:color w:val="auto"/>
          <w:sz w:val="24"/>
          <w:szCs w:val="24"/>
          <w:highlight w:val="none"/>
        </w:rPr>
        <w:t>附件</w:t>
      </w:r>
      <w:bookmarkEnd w:id="335"/>
      <w:bookmarkEnd w:id="336"/>
      <w:bookmarkEnd w:id="337"/>
      <w:r>
        <w:rPr>
          <w:rFonts w:hint="eastAsia" w:ascii="宋体" w:hAnsi="宋体" w:eastAsia="宋体" w:cs="宋体"/>
          <w:b/>
          <w:bCs/>
          <w:color w:val="auto"/>
          <w:sz w:val="24"/>
          <w:szCs w:val="24"/>
          <w:highlight w:val="none"/>
          <w:lang w:val="en-US" w:eastAsia="zh-CN"/>
        </w:rPr>
        <w:t xml:space="preserve">7  </w:t>
      </w:r>
      <w:r>
        <w:rPr>
          <w:rFonts w:hint="eastAsia" w:ascii="宋体" w:hAnsi="宋体" w:eastAsia="宋体" w:cs="宋体"/>
          <w:b/>
          <w:bCs/>
          <w:color w:val="auto"/>
          <w:sz w:val="24"/>
          <w:szCs w:val="24"/>
          <w:highlight w:val="none"/>
        </w:rPr>
        <w:t>供货详细清单</w:t>
      </w:r>
      <w:bookmarkEnd w:id="338"/>
    </w:p>
    <w:p>
      <w:pPr>
        <w:spacing w:before="156" w:beforeLines="50" w:line="400" w:lineRule="exact"/>
        <w:rPr>
          <w:rFonts w:hint="eastAsia" w:ascii="宋体" w:hAnsi="宋体" w:eastAsia="宋体" w:cs="宋体"/>
          <w:b/>
          <w:bCs/>
          <w:color w:val="auto"/>
          <w:sz w:val="30"/>
          <w:highlight w:val="none"/>
          <w:lang w:val="en-US" w:eastAsia="zh-CN"/>
        </w:rPr>
      </w:pPr>
      <w:r>
        <w:rPr>
          <w:rFonts w:hint="eastAsia" w:ascii="宋体" w:hAnsi="宋体" w:eastAsia="宋体" w:cs="宋体"/>
          <w:color w:val="auto"/>
          <w:highlight w:val="none"/>
        </w:rPr>
        <w:t>项目名称：</w:t>
      </w:r>
      <w:r>
        <w:rPr>
          <w:rFonts w:hint="eastAsia" w:ascii="宋体" w:hAnsi="宋体" w:eastAsia="宋体" w:cs="宋体"/>
          <w:color w:val="auto"/>
          <w:highlight w:val="none"/>
          <w:lang w:val="en-US" w:eastAsia="zh-CN"/>
        </w:rPr>
        <w:t xml:space="preserve">                         项目编号：</w:t>
      </w:r>
    </w:p>
    <w:tbl>
      <w:tblPr>
        <w:tblStyle w:val="49"/>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161"/>
        <w:gridCol w:w="2468"/>
        <w:gridCol w:w="1105"/>
        <w:gridCol w:w="944"/>
        <w:gridCol w:w="1126"/>
        <w:gridCol w:w="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center"/>
          </w:tcPr>
          <w:p>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2161" w:type="dxa"/>
            <w:tcBorders>
              <w:top w:val="single" w:color="auto" w:sz="4" w:space="0"/>
              <w:left w:val="single" w:color="auto" w:sz="4" w:space="0"/>
              <w:bottom w:val="single" w:color="auto" w:sz="4" w:space="0"/>
              <w:right w:val="single" w:color="auto" w:sz="4" w:space="0"/>
            </w:tcBorders>
            <w:vAlign w:val="center"/>
          </w:tcPr>
          <w:p>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货物名称</w:t>
            </w:r>
          </w:p>
        </w:tc>
        <w:tc>
          <w:tcPr>
            <w:tcW w:w="2468" w:type="dxa"/>
            <w:tcBorders>
              <w:top w:val="single" w:color="auto" w:sz="4" w:space="0"/>
              <w:left w:val="single" w:color="auto" w:sz="4" w:space="0"/>
              <w:bottom w:val="single" w:color="auto" w:sz="4" w:space="0"/>
              <w:right w:val="single" w:color="auto" w:sz="4" w:space="0"/>
            </w:tcBorders>
            <w:vAlign w:val="center"/>
          </w:tcPr>
          <w:p>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详细配置说明</w:t>
            </w:r>
          </w:p>
        </w:tc>
        <w:tc>
          <w:tcPr>
            <w:tcW w:w="1105" w:type="dxa"/>
            <w:tcBorders>
              <w:top w:val="single" w:color="auto" w:sz="4" w:space="0"/>
              <w:left w:val="single" w:color="auto" w:sz="4" w:space="0"/>
              <w:bottom w:val="single" w:color="auto" w:sz="4" w:space="0"/>
              <w:right w:val="single" w:color="auto" w:sz="4" w:space="0"/>
            </w:tcBorders>
            <w:vAlign w:val="center"/>
          </w:tcPr>
          <w:p>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单位</w:t>
            </w:r>
          </w:p>
        </w:tc>
        <w:tc>
          <w:tcPr>
            <w:tcW w:w="944" w:type="dxa"/>
            <w:tcBorders>
              <w:top w:val="single" w:color="auto" w:sz="4" w:space="0"/>
              <w:left w:val="single" w:color="auto" w:sz="4" w:space="0"/>
              <w:bottom w:val="single" w:color="auto" w:sz="4" w:space="0"/>
              <w:right w:val="single" w:color="auto" w:sz="4" w:space="0"/>
            </w:tcBorders>
            <w:vAlign w:val="center"/>
          </w:tcPr>
          <w:p>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数量</w:t>
            </w:r>
          </w:p>
        </w:tc>
        <w:tc>
          <w:tcPr>
            <w:tcW w:w="1126" w:type="dxa"/>
            <w:tcBorders>
              <w:top w:val="single" w:color="auto" w:sz="4" w:space="0"/>
              <w:left w:val="single" w:color="auto" w:sz="4" w:space="0"/>
              <w:bottom w:val="single" w:color="auto" w:sz="4" w:space="0"/>
              <w:right w:val="single" w:color="auto" w:sz="4" w:space="0"/>
            </w:tcBorders>
            <w:vAlign w:val="center"/>
          </w:tcPr>
          <w:p>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免费</w:t>
            </w:r>
          </w:p>
          <w:p>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保修期</w:t>
            </w:r>
          </w:p>
        </w:tc>
        <w:tc>
          <w:tcPr>
            <w:tcW w:w="702" w:type="dxa"/>
            <w:tcBorders>
              <w:top w:val="single" w:color="auto" w:sz="4" w:space="0"/>
              <w:left w:val="single" w:color="auto" w:sz="4" w:space="0"/>
              <w:bottom w:val="single" w:color="auto" w:sz="4" w:space="0"/>
              <w:right w:val="single" w:color="auto" w:sz="4" w:space="0"/>
            </w:tcBorders>
            <w:vAlign w:val="center"/>
          </w:tcPr>
          <w:p>
            <w:pPr>
              <w:ind w:right="-11"/>
              <w:jc w:val="center"/>
              <w:rPr>
                <w:rFonts w:hint="eastAsia" w:ascii="宋体" w:hAnsi="宋体" w:eastAsia="宋体" w:cs="宋体"/>
                <w:color w:val="auto"/>
                <w:highlight w:val="none"/>
              </w:rPr>
            </w:pPr>
            <w:r>
              <w:rPr>
                <w:rFonts w:hint="eastAsia" w:ascii="宋体" w:hAnsi="宋体" w:eastAsia="宋体" w:cs="宋体"/>
                <w:color w:val="auto"/>
                <w:highlight w:val="none"/>
              </w:rPr>
              <w:t>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161"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2468"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05"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944"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1126"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c>
          <w:tcPr>
            <w:tcW w:w="702" w:type="dxa"/>
            <w:tcBorders>
              <w:top w:val="single" w:color="auto" w:sz="4" w:space="0"/>
              <w:left w:val="single" w:color="auto" w:sz="4" w:space="0"/>
              <w:bottom w:val="single" w:color="auto" w:sz="4" w:space="0"/>
              <w:right w:val="single" w:color="auto" w:sz="4" w:space="0"/>
            </w:tcBorders>
            <w:vAlign w:val="top"/>
          </w:tcPr>
          <w:p>
            <w:pPr>
              <w:spacing w:before="156" w:beforeLines="50"/>
              <w:ind w:right="-11"/>
              <w:jc w:val="center"/>
              <w:rPr>
                <w:rFonts w:hint="eastAsia" w:ascii="宋体" w:hAnsi="宋体" w:eastAsia="宋体" w:cs="宋体"/>
                <w:color w:val="auto"/>
                <w:highlight w:val="none"/>
              </w:rPr>
            </w:pP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textAlignment w:val="auto"/>
        <w:rPr>
          <w:rFonts w:hint="eastAsia" w:ascii="宋体" w:hAnsi="宋体" w:eastAsia="宋体" w:cs="宋体"/>
          <w:color w:val="auto"/>
          <w:highlight w:val="none"/>
        </w:rPr>
      </w:pPr>
      <w:r>
        <w:rPr>
          <w:rFonts w:hint="eastAsia" w:ascii="宋体" w:hAnsi="宋体" w:eastAsia="宋体" w:cs="宋体"/>
          <w:color w:val="auto"/>
          <w:highlight w:val="none"/>
        </w:rPr>
        <w:t>注：1、表中的材料名称按招标文件第三部分中“主要设备及内容清单”分项填写。</w:t>
      </w:r>
    </w:p>
    <w:p>
      <w:pPr>
        <w:pStyle w:val="7"/>
        <w:keepNext w:val="0"/>
        <w:keepLines w:val="0"/>
        <w:pageBreakBefore w:val="0"/>
        <w:widowControl w:val="0"/>
        <w:kinsoku/>
        <w:wordWrap/>
        <w:overflowPunct/>
        <w:topLinePunct w:val="0"/>
        <w:autoSpaceDE/>
        <w:autoSpaceDN/>
        <w:bidi w:val="0"/>
        <w:adjustRightInd/>
        <w:snapToGrid/>
        <w:spacing w:line="400" w:lineRule="exact"/>
        <w:ind w:left="0" w:leftChars="0"/>
        <w:jc w:val="left"/>
        <w:textAlignment w:val="auto"/>
        <w:rPr>
          <w:rFonts w:hint="eastAsia" w:ascii="宋体" w:hAnsi="宋体" w:eastAsia="宋体" w:cs="宋体"/>
          <w:color w:val="auto"/>
          <w:spacing w:val="0"/>
          <w:sz w:val="21"/>
          <w:szCs w:val="21"/>
          <w:highlight w:val="none"/>
          <w:u w:val="single"/>
        </w:rPr>
      </w:pPr>
      <w:r>
        <w:rPr>
          <w:rFonts w:hint="eastAsia" w:ascii="宋体" w:hAnsi="宋体" w:eastAsia="宋体" w:cs="宋体"/>
          <w:color w:val="auto"/>
          <w:spacing w:val="0"/>
          <w:sz w:val="21"/>
          <w:szCs w:val="21"/>
          <w:highlight w:val="none"/>
          <w:u w:val="single"/>
        </w:rPr>
        <w:t>2、▲未提供本表视为未实质性响应招标文件，作无效标处理。</w:t>
      </w:r>
    </w:p>
    <w:p>
      <w:pPr>
        <w:pStyle w:val="7"/>
        <w:keepNext w:val="0"/>
        <w:keepLines w:val="0"/>
        <w:pageBreakBefore w:val="0"/>
        <w:widowControl w:val="0"/>
        <w:kinsoku/>
        <w:wordWrap/>
        <w:overflowPunct/>
        <w:topLinePunct w:val="0"/>
        <w:autoSpaceDE/>
        <w:autoSpaceDN/>
        <w:bidi w:val="0"/>
        <w:adjustRightInd/>
        <w:snapToGrid/>
        <w:spacing w:line="400" w:lineRule="exact"/>
        <w:ind w:left="0" w:leftChars="0" w:firstLine="420" w:firstLineChars="200"/>
        <w:jc w:val="left"/>
        <w:textAlignment w:val="auto"/>
        <w:rPr>
          <w:rFonts w:hint="eastAsia" w:ascii="宋体" w:hAnsi="宋体" w:eastAsia="宋体" w:cs="宋体"/>
          <w:color w:val="auto"/>
          <w:spacing w:val="0"/>
          <w:sz w:val="21"/>
          <w:szCs w:val="21"/>
          <w:highlight w:val="none"/>
          <w:u w:val="single"/>
          <w:lang w:val="en-US" w:eastAsia="zh-CN"/>
        </w:rPr>
      </w:pPr>
      <w:r>
        <w:rPr>
          <w:rFonts w:hint="eastAsia" w:ascii="宋体" w:hAnsi="宋体" w:eastAsia="宋体" w:cs="宋体"/>
          <w:color w:val="auto"/>
          <w:spacing w:val="0"/>
          <w:sz w:val="21"/>
          <w:szCs w:val="21"/>
          <w:highlight w:val="none"/>
          <w:u w:val="single"/>
          <w:lang w:val="en-US" w:eastAsia="zh-CN"/>
        </w:rPr>
        <w:t>3、</w:t>
      </w:r>
      <w:r>
        <w:rPr>
          <w:rFonts w:hint="eastAsia" w:ascii="宋体" w:hAnsi="宋体" w:eastAsia="宋体" w:cs="宋体"/>
          <w:color w:val="auto"/>
          <w:spacing w:val="0"/>
          <w:sz w:val="21"/>
          <w:szCs w:val="21"/>
          <w:highlight w:val="none"/>
          <w:u w:val="single"/>
        </w:rPr>
        <w:t>▲供货详细清单</w:t>
      </w:r>
      <w:r>
        <w:rPr>
          <w:rFonts w:hint="eastAsia" w:ascii="宋体" w:hAnsi="宋体" w:eastAsia="宋体" w:cs="宋体"/>
          <w:color w:val="auto"/>
          <w:spacing w:val="0"/>
          <w:sz w:val="21"/>
          <w:szCs w:val="21"/>
          <w:highlight w:val="none"/>
          <w:u w:val="single"/>
          <w:lang w:eastAsia="zh-CN"/>
        </w:rPr>
        <w:t>中不得出现报价金额，否则</w:t>
      </w:r>
      <w:r>
        <w:rPr>
          <w:rFonts w:hint="eastAsia" w:ascii="宋体" w:hAnsi="宋体" w:eastAsia="宋体" w:cs="宋体"/>
          <w:color w:val="auto"/>
          <w:spacing w:val="0"/>
          <w:sz w:val="21"/>
          <w:szCs w:val="21"/>
          <w:highlight w:val="none"/>
          <w:u w:val="single"/>
        </w:rPr>
        <w:t>作无效标处理。</w:t>
      </w:r>
    </w:p>
    <w:p>
      <w:pPr>
        <w:spacing w:line="400" w:lineRule="exact"/>
        <w:ind w:firstLine="4353" w:firstLineChars="2073"/>
        <w:rPr>
          <w:rFonts w:hint="eastAsia" w:ascii="宋体" w:hAnsi="宋体" w:eastAsia="宋体" w:cs="宋体"/>
          <w:color w:val="auto"/>
          <w:kern w:val="0"/>
          <w:szCs w:val="21"/>
          <w:highlight w:val="none"/>
        </w:rPr>
      </w:pP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投标供应商（公章）：</w:t>
      </w: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pPr>
        <w:spacing w:line="400" w:lineRule="exact"/>
        <w:ind w:firstLine="4353" w:firstLineChars="2073"/>
        <w:rPr>
          <w:rFonts w:hint="eastAsia" w:ascii="宋体" w:hAnsi="宋体" w:eastAsia="宋体" w:cs="宋体"/>
          <w:color w:val="auto"/>
          <w:sz w:val="21"/>
          <w:szCs w:val="21"/>
          <w:highlight w:val="none"/>
        </w:rPr>
        <w:sectPr>
          <w:headerReference r:id="rId5" w:type="default"/>
          <w:footerReference r:id="rId6" w:type="default"/>
          <w:pgSz w:w="11907" w:h="16834"/>
          <w:pgMar w:top="1134" w:right="1418" w:bottom="1134" w:left="1418" w:header="851" w:footer="680" w:gutter="0"/>
          <w:pgBorders>
            <w:top w:val="none" w:sz="0" w:space="0"/>
            <w:left w:val="none" w:sz="0" w:space="0"/>
            <w:bottom w:val="none" w:sz="0" w:space="0"/>
            <w:right w:val="none" w:sz="0" w:space="0"/>
          </w:pgBorders>
          <w:pgNumType w:fmt="decimal"/>
          <w:cols w:space="720" w:num="1"/>
          <w:docGrid w:linePitch="372" w:charSpace="6554"/>
        </w:sectPr>
      </w:pPr>
      <w:r>
        <w:rPr>
          <w:rFonts w:hint="eastAsia" w:ascii="宋体" w:hAnsi="宋体" w:eastAsia="宋体" w:cs="宋体"/>
          <w:color w:val="auto"/>
          <w:kern w:val="0"/>
          <w:szCs w:val="21"/>
          <w:highlight w:val="none"/>
        </w:rPr>
        <w:t>日期：</w:t>
      </w:r>
    </w:p>
    <w:p>
      <w:pPr>
        <w:spacing w:line="400" w:lineRule="exact"/>
        <w:rPr>
          <w:rFonts w:hint="eastAsia" w:ascii="宋体" w:hAnsi="宋体" w:eastAsia="宋体" w:cs="宋体"/>
          <w:color w:val="auto"/>
          <w:kern w:val="0"/>
          <w:szCs w:val="21"/>
          <w:highlight w:val="none"/>
        </w:rPr>
      </w:pPr>
    </w:p>
    <w:bookmarkEnd w:id="321"/>
    <w:bookmarkEnd w:id="322"/>
    <w:p>
      <w:pPr>
        <w:jc w:val="center"/>
        <w:outlineLvl w:val="1"/>
        <w:rPr>
          <w:rFonts w:hint="eastAsia" w:ascii="宋体" w:hAnsi="宋体" w:eastAsia="宋体" w:cs="宋体"/>
          <w:b/>
          <w:bCs/>
          <w:color w:val="auto"/>
          <w:sz w:val="24"/>
          <w:szCs w:val="24"/>
          <w:highlight w:val="none"/>
        </w:rPr>
      </w:pPr>
      <w:bookmarkStart w:id="339" w:name="_Toc420077692"/>
      <w:bookmarkStart w:id="340" w:name="_Toc30389"/>
      <w:bookmarkStart w:id="341" w:name="_Toc388974311"/>
      <w:bookmarkStart w:id="342" w:name="_Toc4394"/>
      <w:bookmarkStart w:id="343" w:name="_Toc18291"/>
      <w:r>
        <w:rPr>
          <w:rFonts w:hint="eastAsia" w:ascii="宋体" w:hAnsi="宋体" w:eastAsia="宋体" w:cs="宋体"/>
          <w:b/>
          <w:bCs/>
          <w:color w:val="auto"/>
          <w:sz w:val="24"/>
          <w:szCs w:val="24"/>
          <w:highlight w:val="none"/>
        </w:rPr>
        <w:t>附件</w:t>
      </w:r>
      <w:bookmarkEnd w:id="339"/>
      <w:bookmarkEnd w:id="340"/>
      <w:bookmarkEnd w:id="341"/>
      <w:bookmarkEnd w:id="342"/>
      <w:bookmarkStart w:id="344" w:name="_Toc13082"/>
      <w:bookmarkStart w:id="345" w:name="_Toc388974306"/>
      <w:bookmarkStart w:id="346" w:name="_Toc1455"/>
      <w:bookmarkStart w:id="347" w:name="_Toc412788178"/>
      <w:bookmarkStart w:id="348" w:name="_Toc388974312"/>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 xml:space="preserve">  </w:t>
      </w:r>
      <w:bookmarkEnd w:id="344"/>
      <w:bookmarkEnd w:id="345"/>
      <w:bookmarkEnd w:id="346"/>
      <w:bookmarkEnd w:id="347"/>
      <w:r>
        <w:rPr>
          <w:rFonts w:hint="eastAsia" w:ascii="宋体" w:hAnsi="宋体" w:eastAsia="宋体" w:cs="宋体"/>
          <w:b/>
          <w:bCs/>
          <w:color w:val="auto"/>
          <w:sz w:val="24"/>
          <w:szCs w:val="24"/>
          <w:highlight w:val="none"/>
        </w:rPr>
        <w:t>投标产品技术响应表</w:t>
      </w:r>
      <w:bookmarkEnd w:id="343"/>
    </w:p>
    <w:p>
      <w:pPr>
        <w:spacing w:before="156" w:beforeLines="50" w:line="400" w:lineRule="exact"/>
        <w:rPr>
          <w:rFonts w:hint="eastAsia" w:ascii="宋体" w:hAnsi="宋体" w:eastAsia="宋体" w:cs="宋体"/>
          <w:b/>
          <w:bCs/>
          <w:color w:val="auto"/>
          <w:sz w:val="30"/>
          <w:highlight w:val="none"/>
          <w:lang w:val="en-US" w:eastAsia="zh-CN"/>
        </w:rPr>
      </w:pPr>
      <w:r>
        <w:rPr>
          <w:rFonts w:hint="eastAsia" w:ascii="宋体" w:hAnsi="宋体" w:eastAsia="宋体" w:cs="宋体"/>
          <w:color w:val="auto"/>
          <w:highlight w:val="none"/>
        </w:rPr>
        <w:t>项目</w:t>
      </w:r>
      <w:r>
        <w:rPr>
          <w:rFonts w:hint="eastAsia" w:ascii="宋体" w:hAnsi="宋体" w:eastAsia="宋体" w:cs="宋体"/>
          <w:color w:val="auto"/>
          <w:highlight w:val="none"/>
          <w:lang w:eastAsia="zh-CN"/>
        </w:rPr>
        <w:t>名称</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 xml:space="preserve">               </w:t>
      </w:r>
    </w:p>
    <w:tbl>
      <w:tblPr>
        <w:tblStyle w:val="49"/>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
        <w:gridCol w:w="1690"/>
        <w:gridCol w:w="1445"/>
        <w:gridCol w:w="1440"/>
        <w:gridCol w:w="1225"/>
        <w:gridCol w:w="910"/>
        <w:gridCol w:w="1029"/>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center"/>
          </w:tcPr>
          <w:p>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序号</w:t>
            </w:r>
          </w:p>
        </w:tc>
        <w:tc>
          <w:tcPr>
            <w:tcW w:w="1690" w:type="dxa"/>
            <w:vAlign w:val="center"/>
          </w:tcPr>
          <w:p>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设备名称</w:t>
            </w:r>
          </w:p>
        </w:tc>
        <w:tc>
          <w:tcPr>
            <w:tcW w:w="1445" w:type="dxa"/>
            <w:vAlign w:val="center"/>
          </w:tcPr>
          <w:p>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型号规格</w:t>
            </w:r>
          </w:p>
        </w:tc>
        <w:tc>
          <w:tcPr>
            <w:tcW w:w="1440" w:type="dxa"/>
            <w:vAlign w:val="center"/>
          </w:tcPr>
          <w:p>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品牌</w:t>
            </w:r>
          </w:p>
          <w:p>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生产厂商</w:t>
            </w:r>
          </w:p>
        </w:tc>
        <w:tc>
          <w:tcPr>
            <w:tcW w:w="1225" w:type="dxa"/>
            <w:vAlign w:val="center"/>
          </w:tcPr>
          <w:p>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highlight w:val="none"/>
              </w:rPr>
              <w:t>详细配置说明</w:t>
            </w:r>
          </w:p>
        </w:tc>
        <w:tc>
          <w:tcPr>
            <w:tcW w:w="910" w:type="dxa"/>
            <w:vAlign w:val="center"/>
          </w:tcPr>
          <w:p>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单位</w:t>
            </w:r>
          </w:p>
        </w:tc>
        <w:tc>
          <w:tcPr>
            <w:tcW w:w="1029" w:type="dxa"/>
            <w:vAlign w:val="center"/>
          </w:tcPr>
          <w:p>
            <w:pPr>
              <w:ind w:left="105" w:leftChars="50"/>
              <w:jc w:val="center"/>
              <w:rPr>
                <w:rFonts w:hint="eastAsia" w:ascii="宋体" w:hAnsi="宋体" w:eastAsia="宋体" w:cs="宋体"/>
                <w:b/>
                <w:color w:val="auto"/>
                <w:szCs w:val="21"/>
                <w:highlight w:val="none"/>
              </w:rPr>
            </w:pPr>
            <w:r>
              <w:rPr>
                <w:rFonts w:hint="eastAsia" w:ascii="宋体" w:hAnsi="宋体" w:eastAsia="宋体" w:cs="宋体"/>
                <w:b/>
                <w:bCs/>
                <w:color w:val="auto"/>
                <w:sz w:val="22"/>
                <w:szCs w:val="22"/>
                <w:highlight w:val="none"/>
              </w:rPr>
              <w:t>数量</w:t>
            </w:r>
          </w:p>
        </w:tc>
        <w:tc>
          <w:tcPr>
            <w:tcW w:w="1091" w:type="dxa"/>
            <w:vAlign w:val="center"/>
          </w:tcPr>
          <w:p>
            <w:pPr>
              <w:tabs>
                <w:tab w:val="left" w:pos="6551"/>
              </w:tabs>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rPr>
                <w:rFonts w:hint="eastAsia" w:ascii="宋体" w:hAnsi="宋体" w:eastAsia="宋体" w:cs="宋体"/>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06" w:type="dxa"/>
            <w:vAlign w:val="top"/>
          </w:tcPr>
          <w:p>
            <w:pPr>
              <w:tabs>
                <w:tab w:val="left" w:pos="6551"/>
              </w:tabs>
              <w:rPr>
                <w:rFonts w:hint="eastAsia" w:ascii="宋体" w:hAnsi="宋体" w:eastAsia="宋体" w:cs="宋体"/>
                <w:bCs/>
                <w:color w:val="auto"/>
                <w:sz w:val="22"/>
                <w:szCs w:val="22"/>
                <w:highlight w:val="none"/>
              </w:rPr>
            </w:pPr>
          </w:p>
        </w:tc>
        <w:tc>
          <w:tcPr>
            <w:tcW w:w="1690" w:type="dxa"/>
            <w:vAlign w:val="top"/>
          </w:tcPr>
          <w:p>
            <w:pPr>
              <w:tabs>
                <w:tab w:val="left" w:pos="6551"/>
              </w:tabs>
              <w:rPr>
                <w:rFonts w:hint="eastAsia" w:ascii="宋体" w:hAnsi="宋体" w:eastAsia="宋体" w:cs="宋体"/>
                <w:bCs/>
                <w:color w:val="auto"/>
                <w:sz w:val="22"/>
                <w:szCs w:val="22"/>
                <w:highlight w:val="none"/>
              </w:rPr>
            </w:pPr>
          </w:p>
        </w:tc>
        <w:tc>
          <w:tcPr>
            <w:tcW w:w="1445" w:type="dxa"/>
            <w:vAlign w:val="top"/>
          </w:tcPr>
          <w:p>
            <w:pPr>
              <w:tabs>
                <w:tab w:val="left" w:pos="6551"/>
              </w:tabs>
              <w:rPr>
                <w:rFonts w:hint="eastAsia" w:ascii="宋体" w:hAnsi="宋体" w:eastAsia="宋体" w:cs="宋体"/>
                <w:bCs/>
                <w:color w:val="auto"/>
                <w:sz w:val="22"/>
                <w:szCs w:val="22"/>
                <w:highlight w:val="none"/>
              </w:rPr>
            </w:pPr>
          </w:p>
        </w:tc>
        <w:tc>
          <w:tcPr>
            <w:tcW w:w="1440" w:type="dxa"/>
            <w:vAlign w:val="top"/>
          </w:tcPr>
          <w:p>
            <w:pPr>
              <w:tabs>
                <w:tab w:val="left" w:pos="6551"/>
              </w:tabs>
              <w:rPr>
                <w:rFonts w:hint="eastAsia" w:ascii="宋体" w:hAnsi="宋体" w:eastAsia="宋体" w:cs="宋体"/>
                <w:bCs/>
                <w:color w:val="auto"/>
                <w:sz w:val="22"/>
                <w:szCs w:val="22"/>
                <w:highlight w:val="none"/>
              </w:rPr>
            </w:pPr>
          </w:p>
        </w:tc>
        <w:tc>
          <w:tcPr>
            <w:tcW w:w="1225" w:type="dxa"/>
            <w:vAlign w:val="top"/>
          </w:tcPr>
          <w:p>
            <w:pPr>
              <w:tabs>
                <w:tab w:val="left" w:pos="6551"/>
              </w:tabs>
              <w:rPr>
                <w:rFonts w:hint="eastAsia" w:ascii="宋体" w:hAnsi="宋体" w:eastAsia="宋体" w:cs="宋体"/>
                <w:bCs/>
                <w:color w:val="auto"/>
                <w:sz w:val="22"/>
                <w:szCs w:val="22"/>
                <w:highlight w:val="none"/>
              </w:rPr>
            </w:pPr>
          </w:p>
        </w:tc>
        <w:tc>
          <w:tcPr>
            <w:tcW w:w="910" w:type="dxa"/>
            <w:vAlign w:val="top"/>
          </w:tcPr>
          <w:p>
            <w:pPr>
              <w:tabs>
                <w:tab w:val="left" w:pos="6551"/>
              </w:tabs>
              <w:rPr>
                <w:rFonts w:hint="eastAsia" w:ascii="宋体" w:hAnsi="宋体" w:eastAsia="宋体" w:cs="宋体"/>
                <w:bCs/>
                <w:color w:val="auto"/>
                <w:sz w:val="22"/>
                <w:szCs w:val="22"/>
                <w:highlight w:val="none"/>
              </w:rPr>
            </w:pPr>
          </w:p>
        </w:tc>
        <w:tc>
          <w:tcPr>
            <w:tcW w:w="1029" w:type="dxa"/>
            <w:vAlign w:val="top"/>
          </w:tcPr>
          <w:p>
            <w:pPr>
              <w:tabs>
                <w:tab w:val="left" w:pos="6551"/>
              </w:tabs>
              <w:ind w:firstLine="433" w:firstLineChars="196"/>
              <w:rPr>
                <w:rFonts w:hint="eastAsia" w:ascii="宋体" w:hAnsi="宋体" w:eastAsia="宋体" w:cs="宋体"/>
                <w:b/>
                <w:bCs/>
                <w:color w:val="auto"/>
                <w:sz w:val="22"/>
                <w:szCs w:val="22"/>
                <w:highlight w:val="none"/>
              </w:rPr>
            </w:pPr>
          </w:p>
        </w:tc>
        <w:tc>
          <w:tcPr>
            <w:tcW w:w="1091" w:type="dxa"/>
            <w:vAlign w:val="top"/>
          </w:tcPr>
          <w:p>
            <w:pPr>
              <w:tabs>
                <w:tab w:val="left" w:pos="6551"/>
              </w:tabs>
              <w:rPr>
                <w:rFonts w:hint="eastAsia" w:ascii="宋体" w:hAnsi="宋体" w:eastAsia="宋体" w:cs="宋体"/>
                <w:bCs/>
                <w:color w:val="auto"/>
                <w:sz w:val="22"/>
                <w:szCs w:val="22"/>
                <w:highlight w:val="none"/>
              </w:rPr>
            </w:pPr>
          </w:p>
        </w:tc>
      </w:tr>
    </w:tbl>
    <w:p>
      <w:pPr>
        <w:spacing w:line="400" w:lineRule="exact"/>
        <w:rPr>
          <w:rFonts w:hint="eastAsia" w:ascii="宋体" w:hAnsi="宋体" w:eastAsia="宋体" w:cs="宋体"/>
          <w:b/>
          <w:bCs/>
          <w:color w:val="auto"/>
          <w:szCs w:val="21"/>
          <w:highlight w:val="none"/>
        </w:rPr>
      </w:pPr>
      <w:r>
        <w:rPr>
          <w:rFonts w:hint="eastAsia" w:ascii="宋体" w:hAnsi="宋体" w:eastAsia="宋体" w:cs="宋体"/>
          <w:color w:val="auto"/>
          <w:szCs w:val="21"/>
          <w:highlight w:val="none"/>
        </w:rPr>
        <w:t>注：投标人应根据招标范围内主要材料清单填写，认为需要增加提供的技术参数可在表中相应部位补充</w:t>
      </w:r>
      <w:r>
        <w:rPr>
          <w:rFonts w:hint="eastAsia" w:ascii="宋体" w:hAnsi="宋体" w:eastAsia="宋体" w:cs="宋体"/>
          <w:b/>
          <w:bCs/>
          <w:color w:val="auto"/>
          <w:szCs w:val="21"/>
          <w:highlight w:val="none"/>
        </w:rPr>
        <w:t>。</w:t>
      </w:r>
    </w:p>
    <w:p>
      <w:pPr>
        <w:spacing w:line="400" w:lineRule="exact"/>
        <w:ind w:firstLine="4305" w:firstLineChars="2050"/>
        <w:rPr>
          <w:rFonts w:hint="eastAsia" w:ascii="宋体" w:hAnsi="宋体" w:eastAsia="宋体" w:cs="宋体"/>
          <w:color w:val="auto"/>
          <w:kern w:val="0"/>
          <w:szCs w:val="21"/>
          <w:highlight w:val="none"/>
        </w:rPr>
      </w:pPr>
    </w:p>
    <w:p>
      <w:pPr>
        <w:spacing w:line="400" w:lineRule="exact"/>
        <w:ind w:firstLine="4305" w:firstLineChars="205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投标人（公章）：</w:t>
      </w: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pPr>
        <w:spacing w:line="400" w:lineRule="exact"/>
        <w:rPr>
          <w:rFonts w:hint="eastAsia" w:ascii="宋体" w:hAnsi="宋体" w:eastAsia="宋体" w:cs="宋体"/>
          <w:color w:val="auto"/>
          <w:kern w:val="0"/>
          <w:szCs w:val="21"/>
          <w:highlight w:val="none"/>
          <w:lang w:val="en-US" w:eastAsia="zh-CN"/>
        </w:rPr>
      </w:pPr>
    </w:p>
    <w:p>
      <w:pPr>
        <w:spacing w:line="400" w:lineRule="exact"/>
        <w:rPr>
          <w:rFonts w:hint="eastAsia" w:ascii="宋体" w:hAnsi="宋体" w:eastAsia="宋体" w:cs="宋体"/>
          <w:color w:val="auto"/>
          <w:kern w:val="0"/>
          <w:szCs w:val="21"/>
          <w:highlight w:val="none"/>
        </w:rPr>
      </w:pPr>
    </w:p>
    <w:p>
      <w:pPr>
        <w:spacing w:line="380" w:lineRule="exact"/>
        <w:ind w:firstLine="475" w:firstLineChars="198"/>
        <w:jc w:val="center"/>
        <w:outlineLvl w:val="1"/>
        <w:rPr>
          <w:rFonts w:hint="eastAsia" w:ascii="宋体" w:hAnsi="宋体" w:eastAsia="宋体" w:cs="宋体"/>
          <w:b/>
          <w:bCs/>
          <w:color w:val="auto"/>
          <w:szCs w:val="21"/>
          <w:highlight w:val="none"/>
        </w:rPr>
      </w:pPr>
      <w:bookmarkStart w:id="349" w:name="_Toc6141"/>
      <w:bookmarkStart w:id="350" w:name="_Toc31423"/>
      <w:bookmarkStart w:id="351" w:name="_Toc420077694"/>
      <w:r>
        <w:rPr>
          <w:rFonts w:hint="eastAsia" w:ascii="宋体" w:hAnsi="宋体" w:eastAsia="宋体" w:cs="宋体"/>
          <w:color w:val="auto"/>
          <w:sz w:val="24"/>
          <w:szCs w:val="24"/>
          <w:highlight w:val="none"/>
        </w:rPr>
        <w:br w:type="page"/>
      </w:r>
      <w:bookmarkStart w:id="352" w:name="_Toc28104122"/>
      <w:bookmarkStart w:id="353" w:name="_Toc312"/>
      <w:bookmarkStart w:id="354" w:name="_Toc11737"/>
      <w:bookmarkStart w:id="355" w:name="_Toc106"/>
      <w:bookmarkStart w:id="356" w:name="_Toc26043"/>
      <w:r>
        <w:rPr>
          <w:rFonts w:hint="eastAsia" w:ascii="宋体" w:hAnsi="宋体" w:eastAsia="宋体" w:cs="宋体"/>
          <w:b/>
          <w:bCs/>
          <w:color w:val="auto"/>
          <w:sz w:val="24"/>
          <w:szCs w:val="24"/>
          <w:highlight w:val="none"/>
        </w:rPr>
        <w:t>附件</w:t>
      </w:r>
      <w:bookmarkStart w:id="357" w:name="_Toc26433"/>
      <w:bookmarkStart w:id="358" w:name="_Toc398560347"/>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 xml:space="preserve">  </w:t>
      </w:r>
      <w:bookmarkEnd w:id="352"/>
      <w:bookmarkEnd w:id="353"/>
      <w:bookmarkEnd w:id="354"/>
      <w:bookmarkEnd w:id="355"/>
      <w:bookmarkEnd w:id="357"/>
      <w:bookmarkEnd w:id="358"/>
      <w:r>
        <w:rPr>
          <w:rFonts w:hint="eastAsia" w:ascii="宋体" w:hAnsi="宋体" w:eastAsia="宋体" w:cs="宋体"/>
          <w:b/>
          <w:bCs/>
          <w:color w:val="auto"/>
          <w:sz w:val="24"/>
          <w:szCs w:val="24"/>
          <w:highlight w:val="none"/>
        </w:rPr>
        <w:t>随机备品、备件和专用工具清单</w:t>
      </w:r>
      <w:bookmarkEnd w:id="356"/>
    </w:p>
    <w:p>
      <w:pPr>
        <w:spacing w:line="380" w:lineRule="exact"/>
        <w:ind w:firstLine="415" w:firstLineChars="198"/>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项目名称：                           </w:t>
      </w:r>
      <w:r>
        <w:rPr>
          <w:rFonts w:hint="eastAsia" w:ascii="宋体" w:hAnsi="宋体" w:eastAsia="宋体" w:cs="宋体"/>
          <w:color w:val="auto"/>
          <w:szCs w:val="21"/>
          <w:highlight w:val="none"/>
          <w:lang w:eastAsia="zh-CN"/>
        </w:rPr>
        <w:t>项目编号：</w:t>
      </w:r>
      <w:r>
        <w:rPr>
          <w:rFonts w:hint="eastAsia" w:ascii="宋体" w:hAnsi="宋体" w:eastAsia="宋体" w:cs="宋体"/>
          <w:color w:val="auto"/>
          <w:szCs w:val="21"/>
          <w:highlight w:val="none"/>
        </w:rPr>
        <w:t xml:space="preserve">                        </w:t>
      </w:r>
    </w:p>
    <w:tbl>
      <w:tblPr>
        <w:tblStyle w:val="49"/>
        <w:tblW w:w="9445"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1746"/>
        <w:gridCol w:w="2342"/>
        <w:gridCol w:w="1081"/>
        <w:gridCol w:w="2342"/>
        <w:gridCol w:w="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957" w:type="dxa"/>
            <w:shd w:val="clear" w:color="auto" w:fill="FFFFFF"/>
            <w:vAlign w:val="center"/>
          </w:tcPr>
          <w:p>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序号</w:t>
            </w:r>
          </w:p>
        </w:tc>
        <w:tc>
          <w:tcPr>
            <w:tcW w:w="1746" w:type="dxa"/>
            <w:shd w:val="clear" w:color="auto" w:fill="FFFFFF"/>
            <w:vAlign w:val="center"/>
          </w:tcPr>
          <w:p>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名  称</w:t>
            </w:r>
          </w:p>
        </w:tc>
        <w:tc>
          <w:tcPr>
            <w:tcW w:w="2342" w:type="dxa"/>
            <w:shd w:val="clear" w:color="auto" w:fill="FFFFFF"/>
            <w:vAlign w:val="center"/>
          </w:tcPr>
          <w:p>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规格型号</w:t>
            </w:r>
          </w:p>
        </w:tc>
        <w:tc>
          <w:tcPr>
            <w:tcW w:w="1081" w:type="dxa"/>
            <w:shd w:val="clear" w:color="auto" w:fill="FFFFFF"/>
            <w:vAlign w:val="center"/>
          </w:tcPr>
          <w:p>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数量</w:t>
            </w:r>
          </w:p>
        </w:tc>
        <w:tc>
          <w:tcPr>
            <w:tcW w:w="2342" w:type="dxa"/>
            <w:shd w:val="clear" w:color="auto" w:fill="FFFFFF"/>
            <w:vAlign w:val="center"/>
          </w:tcPr>
          <w:p>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原产地/制造商</w:t>
            </w:r>
          </w:p>
        </w:tc>
        <w:tc>
          <w:tcPr>
            <w:tcW w:w="977" w:type="dxa"/>
            <w:shd w:val="clear" w:color="auto" w:fill="FFFFFF"/>
            <w:vAlign w:val="top"/>
          </w:tcPr>
          <w:p>
            <w:pPr>
              <w:spacing w:line="400" w:lineRule="exact"/>
              <w:jc w:val="center"/>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center"/>
          </w:tcPr>
          <w:p>
            <w:pPr>
              <w:widowControl/>
              <w:jc w:val="center"/>
              <w:textAlignment w:val="center"/>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center"/>
          </w:tcPr>
          <w:p>
            <w:pPr>
              <w:widowControl/>
              <w:jc w:val="center"/>
              <w:textAlignment w:val="center"/>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center"/>
          </w:tcPr>
          <w:p>
            <w:pPr>
              <w:widowControl/>
              <w:jc w:val="center"/>
              <w:textAlignment w:val="center"/>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center"/>
          </w:tcPr>
          <w:p>
            <w:pPr>
              <w:widowControl/>
              <w:jc w:val="center"/>
              <w:textAlignment w:val="center"/>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center"/>
          </w:tcPr>
          <w:p>
            <w:pPr>
              <w:widowControl/>
              <w:jc w:val="center"/>
              <w:textAlignment w:val="center"/>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center"/>
          </w:tcPr>
          <w:p>
            <w:pPr>
              <w:widowControl/>
              <w:jc w:val="center"/>
              <w:textAlignment w:val="center"/>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center"/>
          </w:tcPr>
          <w:p>
            <w:pPr>
              <w:widowControl/>
              <w:jc w:val="center"/>
              <w:textAlignment w:val="center"/>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top"/>
          </w:tcPr>
          <w:p>
            <w:pPr>
              <w:spacing w:line="400" w:lineRule="exact"/>
              <w:jc w:val="center"/>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top"/>
          </w:tcPr>
          <w:p>
            <w:pPr>
              <w:spacing w:line="400" w:lineRule="exact"/>
              <w:jc w:val="center"/>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957" w:type="dxa"/>
            <w:vAlign w:val="center"/>
          </w:tcPr>
          <w:p>
            <w:pPr>
              <w:spacing w:line="400" w:lineRule="exact"/>
              <w:jc w:val="center"/>
              <w:rPr>
                <w:rFonts w:hint="eastAsia" w:ascii="宋体" w:hAnsi="宋体" w:eastAsia="宋体" w:cs="宋体"/>
                <w:color w:val="auto"/>
                <w:sz w:val="22"/>
                <w:szCs w:val="22"/>
                <w:highlight w:val="none"/>
              </w:rPr>
            </w:pPr>
          </w:p>
        </w:tc>
        <w:tc>
          <w:tcPr>
            <w:tcW w:w="1746"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1081" w:type="dxa"/>
            <w:vAlign w:val="top"/>
          </w:tcPr>
          <w:p>
            <w:pPr>
              <w:spacing w:line="400" w:lineRule="exact"/>
              <w:rPr>
                <w:rFonts w:hint="eastAsia" w:ascii="宋体" w:hAnsi="宋体" w:eastAsia="宋体" w:cs="宋体"/>
                <w:color w:val="auto"/>
                <w:sz w:val="22"/>
                <w:szCs w:val="22"/>
                <w:highlight w:val="none"/>
              </w:rPr>
            </w:pPr>
          </w:p>
        </w:tc>
        <w:tc>
          <w:tcPr>
            <w:tcW w:w="2342" w:type="dxa"/>
            <w:vAlign w:val="top"/>
          </w:tcPr>
          <w:p>
            <w:pPr>
              <w:spacing w:line="400" w:lineRule="exact"/>
              <w:rPr>
                <w:rFonts w:hint="eastAsia" w:ascii="宋体" w:hAnsi="宋体" w:eastAsia="宋体" w:cs="宋体"/>
                <w:color w:val="auto"/>
                <w:sz w:val="22"/>
                <w:szCs w:val="22"/>
                <w:highlight w:val="none"/>
              </w:rPr>
            </w:pPr>
          </w:p>
        </w:tc>
        <w:tc>
          <w:tcPr>
            <w:tcW w:w="977" w:type="dxa"/>
            <w:vAlign w:val="top"/>
          </w:tcPr>
          <w:p>
            <w:pPr>
              <w:spacing w:line="400" w:lineRule="exact"/>
              <w:rPr>
                <w:rFonts w:hint="eastAsia" w:ascii="宋体" w:hAnsi="宋体" w:eastAsia="宋体" w:cs="宋体"/>
                <w:color w:val="auto"/>
                <w:sz w:val="22"/>
                <w:szCs w:val="22"/>
                <w:highlight w:val="none"/>
              </w:rPr>
            </w:pPr>
          </w:p>
        </w:tc>
      </w:tr>
    </w:tbl>
    <w:p>
      <w:pPr>
        <w:spacing w:line="460" w:lineRule="exact"/>
        <w:ind w:left="-2" w:leftChars="-1" w:firstLine="585" w:firstLineChars="244"/>
        <w:rPr>
          <w:rFonts w:hint="eastAsia" w:ascii="宋体" w:hAnsi="宋体" w:eastAsia="宋体" w:cs="宋体"/>
          <w:color w:val="auto"/>
          <w:sz w:val="24"/>
          <w:highlight w:val="none"/>
        </w:rPr>
      </w:pPr>
    </w:p>
    <w:p>
      <w:pPr>
        <w:spacing w:line="400" w:lineRule="exact"/>
        <w:jc w:val="left"/>
        <w:rPr>
          <w:rFonts w:hint="eastAsia" w:ascii="宋体" w:hAnsi="宋体" w:eastAsia="宋体" w:cs="宋体"/>
          <w:color w:val="auto"/>
          <w:sz w:val="24"/>
          <w:highlight w:val="none"/>
        </w:rPr>
      </w:pP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投标人（公章）：</w:t>
      </w: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pPr>
        <w:spacing w:line="400" w:lineRule="exact"/>
        <w:ind w:firstLine="4353" w:firstLineChars="2073"/>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color w:val="auto"/>
          <w:kern w:val="0"/>
          <w:szCs w:val="21"/>
          <w:highlight w:val="none"/>
        </w:rPr>
        <w:t>日期：</w:t>
      </w:r>
      <w:r>
        <w:rPr>
          <w:rFonts w:hint="eastAsia" w:ascii="宋体" w:hAnsi="宋体" w:eastAsia="宋体" w:cs="宋体"/>
          <w:b/>
          <w:bCs/>
          <w:color w:val="auto"/>
          <w:kern w:val="2"/>
          <w:sz w:val="24"/>
          <w:szCs w:val="24"/>
          <w:highlight w:val="none"/>
          <w:lang w:val="en-US" w:eastAsia="zh-CN" w:bidi="ar-SA"/>
        </w:rPr>
        <w:br w:type="page"/>
      </w:r>
    </w:p>
    <w:p>
      <w:pPr>
        <w:pStyle w:val="3"/>
        <w:jc w:val="center"/>
        <w:rPr>
          <w:rFonts w:hint="eastAsia" w:ascii="宋体" w:hAnsi="宋体" w:eastAsia="宋体" w:cs="宋体"/>
          <w:color w:val="auto"/>
          <w:sz w:val="24"/>
          <w:szCs w:val="24"/>
          <w:highlight w:val="none"/>
        </w:rPr>
      </w:pPr>
      <w:bookmarkStart w:id="359" w:name="_Toc5431"/>
      <w:bookmarkStart w:id="360" w:name="_Toc32445"/>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 xml:space="preserve">  </w:t>
      </w:r>
      <w:bookmarkEnd w:id="349"/>
      <w:bookmarkEnd w:id="350"/>
      <w:bookmarkEnd w:id="351"/>
      <w:r>
        <w:rPr>
          <w:rFonts w:hint="eastAsia" w:ascii="宋体" w:hAnsi="宋体" w:eastAsia="宋体" w:cs="宋体"/>
          <w:color w:val="auto"/>
          <w:sz w:val="24"/>
          <w:szCs w:val="24"/>
          <w:highlight w:val="none"/>
        </w:rPr>
        <w:t>技术（或商务）偏离表</w:t>
      </w:r>
      <w:bookmarkEnd w:id="359"/>
      <w:bookmarkEnd w:id="360"/>
    </w:p>
    <w:p>
      <w:pPr>
        <w:jc w:val="center"/>
        <w:rPr>
          <w:rFonts w:hint="eastAsia" w:ascii="宋体" w:hAnsi="宋体" w:eastAsia="宋体" w:cs="宋体"/>
          <w:color w:val="auto"/>
          <w:highlight w:val="none"/>
        </w:rPr>
      </w:pPr>
      <w:r>
        <w:rPr>
          <w:rFonts w:hint="eastAsia" w:ascii="宋体" w:hAnsi="宋体" w:eastAsia="宋体" w:cs="宋体"/>
          <w:color w:val="auto"/>
          <w:highlight w:val="none"/>
        </w:rPr>
        <w:t>（商务和技术须分别填写）</w:t>
      </w:r>
    </w:p>
    <w:tbl>
      <w:tblPr>
        <w:tblStyle w:val="49"/>
        <w:tblW w:w="9356" w:type="dxa"/>
        <w:tblInd w:w="-3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93"/>
        <w:gridCol w:w="4181"/>
        <w:gridCol w:w="41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93"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4181"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招标文件重述</w:t>
            </w:r>
          </w:p>
        </w:tc>
        <w:tc>
          <w:tcPr>
            <w:tcW w:w="4182" w:type="dxa"/>
            <w:vAlign w:val="center"/>
          </w:tcPr>
          <w:p>
            <w:pPr>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投标供应商偏离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55" w:hRule="atLeast"/>
        </w:trPr>
        <w:tc>
          <w:tcPr>
            <w:tcW w:w="993" w:type="dxa"/>
            <w:vAlign w:val="top"/>
          </w:tcPr>
          <w:p>
            <w:pPr>
              <w:ind w:firstLine="592"/>
              <w:jc w:val="left"/>
              <w:rPr>
                <w:rFonts w:hint="eastAsia" w:ascii="宋体" w:hAnsi="宋体" w:eastAsia="宋体" w:cs="宋体"/>
                <w:color w:val="auto"/>
                <w:highlight w:val="none"/>
              </w:rPr>
            </w:pPr>
          </w:p>
        </w:tc>
        <w:tc>
          <w:tcPr>
            <w:tcW w:w="4181" w:type="dxa"/>
            <w:vAlign w:val="top"/>
          </w:tcPr>
          <w:p>
            <w:pPr>
              <w:ind w:firstLine="592"/>
              <w:jc w:val="left"/>
              <w:rPr>
                <w:rFonts w:hint="eastAsia" w:ascii="宋体" w:hAnsi="宋体" w:eastAsia="宋体" w:cs="宋体"/>
                <w:color w:val="auto"/>
                <w:highlight w:val="none"/>
              </w:rPr>
            </w:pPr>
          </w:p>
        </w:tc>
        <w:tc>
          <w:tcPr>
            <w:tcW w:w="4182" w:type="dxa"/>
            <w:vAlign w:val="top"/>
          </w:tcPr>
          <w:p>
            <w:pPr>
              <w:ind w:firstLine="592"/>
              <w:jc w:val="left"/>
              <w:rPr>
                <w:rFonts w:hint="eastAsia" w:ascii="宋体" w:hAnsi="宋体" w:eastAsia="宋体" w:cs="宋体"/>
                <w:color w:val="auto"/>
                <w:highlight w:val="none"/>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rPr>
      </w:pPr>
      <w:r>
        <w:rPr>
          <w:rFonts w:hint="eastAsia" w:ascii="宋体" w:hAnsi="宋体" w:eastAsia="宋体" w:cs="宋体"/>
          <w:snapToGrid w:val="0"/>
          <w:color w:val="auto"/>
          <w:kern w:val="0"/>
          <w:highlight w:val="none"/>
        </w:rPr>
        <w:t>注：此表可扩展使用，如有偏离，必须在偏离表中进行详细对比说明并注明正偏离和负偏离，如不说明偏离情况或未提供此表，均视为完全响应招标文件要求无偏离</w:t>
      </w:r>
      <w:r>
        <w:rPr>
          <w:rFonts w:hint="eastAsia" w:ascii="宋体" w:hAnsi="宋体" w:eastAsia="宋体" w:cs="宋体"/>
          <w:color w:val="auto"/>
          <w:highlight w:val="none"/>
        </w:rPr>
        <w:t>。</w:t>
      </w:r>
    </w:p>
    <w:p>
      <w:pPr>
        <w:spacing w:line="400" w:lineRule="exact"/>
        <w:ind w:firstLine="4353" w:firstLineChars="2073"/>
        <w:rPr>
          <w:rFonts w:hint="eastAsia" w:ascii="宋体" w:hAnsi="宋体" w:eastAsia="宋体" w:cs="宋体"/>
          <w:color w:val="auto"/>
          <w:kern w:val="0"/>
          <w:szCs w:val="21"/>
          <w:highlight w:val="none"/>
        </w:rPr>
      </w:pP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投标供应商（公章）：</w:t>
      </w: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法定代表人或授权代表（签字或盖章）：</w:t>
      </w:r>
    </w:p>
    <w:p>
      <w:pPr>
        <w:spacing w:line="400" w:lineRule="exact"/>
        <w:ind w:firstLine="4353" w:firstLineChars="2073"/>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日期：</w:t>
      </w:r>
    </w:p>
    <w:p>
      <w:pPr>
        <w:spacing w:line="400" w:lineRule="exact"/>
        <w:ind w:firstLine="4353" w:firstLineChars="2073"/>
        <w:rPr>
          <w:rFonts w:hint="eastAsia" w:ascii="宋体" w:hAnsi="宋体" w:eastAsia="宋体" w:cs="宋体"/>
          <w:color w:val="auto"/>
          <w:kern w:val="0"/>
          <w:szCs w:val="21"/>
          <w:highlight w:val="none"/>
        </w:rPr>
      </w:pPr>
    </w:p>
    <w:p>
      <w:pPr>
        <w:spacing w:line="400" w:lineRule="exact"/>
        <w:rPr>
          <w:rFonts w:hint="eastAsia" w:ascii="宋体" w:hAnsi="宋体" w:eastAsia="宋体" w:cs="宋体"/>
          <w:b/>
          <w:bCs/>
          <w:color w:val="auto"/>
          <w:sz w:val="24"/>
          <w:highlight w:val="none"/>
        </w:rPr>
        <w:sectPr>
          <w:headerReference r:id="rId7" w:type="first"/>
          <w:footerReference r:id="rId9" w:type="first"/>
          <w:footerReference r:id="rId8" w:type="default"/>
          <w:pgSz w:w="11906" w:h="16838"/>
          <w:pgMar w:top="1244" w:right="1418" w:bottom="1134" w:left="1418" w:header="680" w:footer="992" w:gutter="0"/>
          <w:pgBorders>
            <w:top w:val="none" w:sz="0" w:space="0"/>
            <w:left w:val="none" w:sz="0" w:space="0"/>
            <w:bottom w:val="none" w:sz="0" w:space="0"/>
            <w:right w:val="none" w:sz="0" w:space="0"/>
          </w:pgBorders>
          <w:pgNumType w:fmt="decimal"/>
          <w:cols w:space="720" w:num="1"/>
          <w:titlePg/>
          <w:docGrid w:type="lines" w:linePitch="312" w:charSpace="0"/>
        </w:sectPr>
      </w:pPr>
    </w:p>
    <w:bookmarkEnd w:id="348"/>
    <w:p>
      <w:pPr>
        <w:pStyle w:val="3"/>
        <w:jc w:val="center"/>
        <w:rPr>
          <w:rFonts w:hint="eastAsia" w:ascii="宋体" w:hAnsi="宋体" w:eastAsia="宋体" w:cs="宋体"/>
          <w:color w:val="auto"/>
          <w:szCs w:val="24"/>
          <w:highlight w:val="none"/>
        </w:rPr>
      </w:pPr>
      <w:bookmarkStart w:id="361" w:name="_Toc13891"/>
      <w:bookmarkStart w:id="362" w:name="_Toc11738"/>
      <w:bookmarkStart w:id="363" w:name="_Toc306"/>
      <w:bookmarkStart w:id="364" w:name="_Toc19733"/>
      <w:bookmarkStart w:id="365" w:name="_Toc28822"/>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rPr>
        <w:t xml:space="preserve">  </w:t>
      </w:r>
      <w:bookmarkStart w:id="366" w:name="OLE_LINK5"/>
      <w:r>
        <w:rPr>
          <w:rFonts w:hint="eastAsia" w:ascii="宋体" w:hAnsi="宋体" w:eastAsia="宋体" w:cs="宋体"/>
          <w:color w:val="auto"/>
          <w:sz w:val="24"/>
          <w:szCs w:val="24"/>
          <w:highlight w:val="none"/>
        </w:rPr>
        <w:t>服务承诺</w:t>
      </w:r>
      <w:bookmarkEnd w:id="361"/>
      <w:bookmarkEnd w:id="362"/>
      <w:bookmarkEnd w:id="363"/>
      <w:bookmarkEnd w:id="366"/>
    </w:p>
    <w:p>
      <w:pPr>
        <w:spacing w:line="400" w:lineRule="exact"/>
        <w:ind w:firstLine="525" w:firstLineChars="250"/>
        <w:rPr>
          <w:rFonts w:hint="eastAsia" w:ascii="宋体" w:hAnsi="宋体" w:eastAsia="宋体" w:cs="宋体"/>
          <w:color w:val="auto"/>
          <w:kern w:val="0"/>
          <w:szCs w:val="21"/>
          <w:highlight w:val="none"/>
        </w:rPr>
      </w:pPr>
      <w:r>
        <w:rPr>
          <w:rFonts w:hint="eastAsia" w:ascii="宋体" w:hAnsi="宋体" w:eastAsia="宋体" w:cs="宋体"/>
          <w:snapToGrid w:val="0"/>
          <w:color w:val="auto"/>
          <w:szCs w:val="21"/>
          <w:highlight w:val="none"/>
        </w:rPr>
        <w:t>包括但不限于：售后服务详细的计划方案说明与承诺、产品的质保期、故障响应修复时间方式及保障措施，距离</w:t>
      </w:r>
      <w:r>
        <w:rPr>
          <w:rFonts w:hint="eastAsia" w:ascii="宋体" w:hAnsi="宋体" w:eastAsia="宋体" w:cs="宋体"/>
          <w:snapToGrid w:val="0"/>
          <w:color w:val="auto"/>
          <w:szCs w:val="21"/>
          <w:highlight w:val="none"/>
          <w:lang w:eastAsia="zh-CN"/>
        </w:rPr>
        <w:t>采购人</w:t>
      </w:r>
      <w:r>
        <w:rPr>
          <w:rFonts w:hint="eastAsia" w:ascii="宋体" w:hAnsi="宋体" w:eastAsia="宋体" w:cs="宋体"/>
          <w:snapToGrid w:val="0"/>
          <w:color w:val="auto"/>
          <w:szCs w:val="21"/>
          <w:highlight w:val="none"/>
        </w:rPr>
        <w:t>最近的办事处、售后服务机构或供货点的详细介绍、服务机构总负责人、电话、地址、人员配置等；质保期外服务收费内容及保证措施。</w:t>
      </w:r>
    </w:p>
    <w:p>
      <w:pPr>
        <w:spacing w:line="400" w:lineRule="exact"/>
        <w:ind w:firstLine="525" w:firstLineChars="250"/>
        <w:rPr>
          <w:rFonts w:hint="eastAsia" w:ascii="宋体" w:hAnsi="宋体" w:eastAsia="宋体" w:cs="宋体"/>
          <w:color w:val="auto"/>
          <w:kern w:val="0"/>
          <w:szCs w:val="21"/>
          <w:highlight w:val="none"/>
        </w:rPr>
      </w:pPr>
    </w:p>
    <w:p>
      <w:pPr>
        <w:spacing w:line="400" w:lineRule="exact"/>
        <w:ind w:firstLine="4353" w:firstLineChars="2073"/>
        <w:rPr>
          <w:rFonts w:hint="eastAsia" w:ascii="宋体" w:hAnsi="宋体" w:eastAsia="宋体" w:cs="宋体"/>
          <w:color w:val="auto"/>
          <w:kern w:val="0"/>
          <w:szCs w:val="21"/>
          <w:highlight w:val="none"/>
        </w:rPr>
      </w:pPr>
    </w:p>
    <w:p>
      <w:pPr>
        <w:spacing w:line="400" w:lineRule="exact"/>
        <w:jc w:val="center"/>
        <w:outlineLvl w:val="0"/>
        <w:rPr>
          <w:rFonts w:hint="eastAsia" w:ascii="宋体" w:hAnsi="宋体" w:eastAsia="宋体" w:cs="宋体"/>
          <w:b/>
          <w:bCs/>
          <w:color w:val="auto"/>
          <w:szCs w:val="28"/>
          <w:highlight w:val="none"/>
        </w:rPr>
      </w:pPr>
      <w:r>
        <w:rPr>
          <w:rFonts w:hint="eastAsia" w:ascii="宋体" w:hAnsi="宋体" w:eastAsia="宋体" w:cs="宋体"/>
          <w:b/>
          <w:color w:val="auto"/>
          <w:kern w:val="0"/>
          <w:sz w:val="24"/>
          <w:szCs w:val="24"/>
          <w:highlight w:val="none"/>
        </w:rPr>
        <w:br w:type="page"/>
      </w:r>
      <w:bookmarkStart w:id="367" w:name="_Toc14616"/>
      <w:r>
        <w:rPr>
          <w:rFonts w:hint="eastAsia" w:ascii="宋体" w:hAnsi="宋体" w:eastAsia="宋体" w:cs="宋体"/>
          <w:b/>
          <w:bCs/>
          <w:color w:val="auto"/>
          <w:sz w:val="28"/>
          <w:szCs w:val="40"/>
          <w:highlight w:val="none"/>
        </w:rPr>
        <w:t>第六部分  评标办法</w:t>
      </w:r>
      <w:bookmarkEnd w:id="364"/>
      <w:bookmarkEnd w:id="365"/>
      <w:bookmarkEnd w:id="367"/>
    </w:p>
    <w:p>
      <w:pPr>
        <w:pStyle w:val="3"/>
        <w:spacing w:before="160" w:after="160" w:line="240" w:lineRule="auto"/>
        <w:jc w:val="center"/>
        <w:rPr>
          <w:rFonts w:hint="eastAsia" w:ascii="宋体" w:hAnsi="宋体" w:eastAsia="宋体" w:cs="宋体"/>
          <w:color w:val="auto"/>
          <w:sz w:val="21"/>
          <w:szCs w:val="21"/>
          <w:highlight w:val="none"/>
        </w:rPr>
      </w:pPr>
      <w:bookmarkStart w:id="368" w:name="_Toc412788181"/>
      <w:bookmarkStart w:id="369" w:name="_Toc29335"/>
      <w:bookmarkStart w:id="370" w:name="_Toc3698"/>
      <w:bookmarkStart w:id="371" w:name="_Toc388974315"/>
      <w:bookmarkStart w:id="372" w:name="_Toc25226"/>
      <w:bookmarkStart w:id="373" w:name="_Toc415077912"/>
      <w:bookmarkStart w:id="374" w:name="_Toc399178346"/>
      <w:r>
        <w:rPr>
          <w:rFonts w:hint="eastAsia" w:ascii="宋体" w:hAnsi="宋体" w:eastAsia="宋体" w:cs="宋体"/>
          <w:color w:val="auto"/>
          <w:sz w:val="21"/>
          <w:szCs w:val="21"/>
          <w:highlight w:val="none"/>
        </w:rPr>
        <w:t>（一）总则</w:t>
      </w:r>
      <w:bookmarkEnd w:id="368"/>
      <w:bookmarkEnd w:id="369"/>
      <w:bookmarkEnd w:id="370"/>
      <w:bookmarkEnd w:id="371"/>
      <w:bookmarkEnd w:id="372"/>
      <w:bookmarkEnd w:id="373"/>
      <w:bookmarkEnd w:id="374"/>
    </w:p>
    <w:p>
      <w:pPr>
        <w:tabs>
          <w:tab w:val="left" w:pos="9180"/>
        </w:tabs>
        <w:spacing w:line="440" w:lineRule="exact"/>
        <w:ind w:firstLine="420" w:firstLineChars="200"/>
        <w:rPr>
          <w:rFonts w:hint="eastAsia" w:ascii="宋体" w:hAnsi="宋体" w:eastAsia="宋体" w:cs="宋体"/>
          <w:snapToGrid w:val="0"/>
          <w:color w:val="auto"/>
          <w:kern w:val="0"/>
          <w:highlight w:val="none"/>
        </w:rPr>
      </w:pPr>
      <w:r>
        <w:rPr>
          <w:rFonts w:hint="eastAsia" w:ascii="宋体" w:hAnsi="宋体" w:eastAsia="宋体" w:cs="宋体"/>
          <w:color w:val="auto"/>
          <w:szCs w:val="21"/>
          <w:highlight w:val="none"/>
        </w:rPr>
        <w:t>根据</w:t>
      </w:r>
      <w:r>
        <w:rPr>
          <w:rFonts w:hint="eastAsia" w:ascii="宋体" w:hAnsi="宋体" w:eastAsia="宋体" w:cs="宋体"/>
          <w:color w:val="auto"/>
          <w:szCs w:val="21"/>
          <w:highlight w:val="none"/>
          <w:lang w:eastAsia="zh-CN"/>
        </w:rPr>
        <w:t>《温州市市属国有企业采购管理办法》</w:t>
      </w:r>
      <w:r>
        <w:rPr>
          <w:rFonts w:hint="eastAsia" w:ascii="宋体" w:hAnsi="宋体" w:eastAsia="宋体" w:cs="宋体"/>
          <w:color w:val="auto"/>
          <w:szCs w:val="21"/>
          <w:highlight w:val="none"/>
        </w:rPr>
        <w:t>、《评标委员会和评标方法暂行规定》和浙江省及项目所在地的有关招投标规定，结合本项目的实际，按照公平、公正、科学、择优的原则选择中标单位，特制定本评标办法</w:t>
      </w:r>
      <w:r>
        <w:rPr>
          <w:rFonts w:hint="eastAsia" w:ascii="宋体" w:hAnsi="宋体" w:eastAsia="宋体" w:cs="宋体"/>
          <w:snapToGrid w:val="0"/>
          <w:color w:val="auto"/>
          <w:kern w:val="0"/>
          <w:szCs w:val="21"/>
          <w:highlight w:val="none"/>
        </w:rPr>
        <w:t>。</w:t>
      </w:r>
    </w:p>
    <w:p>
      <w:pPr>
        <w:pStyle w:val="3"/>
        <w:spacing w:before="160" w:after="160" w:line="240" w:lineRule="auto"/>
        <w:jc w:val="center"/>
        <w:rPr>
          <w:rFonts w:hint="eastAsia" w:ascii="宋体" w:hAnsi="宋体" w:eastAsia="宋体" w:cs="宋体"/>
          <w:color w:val="auto"/>
          <w:sz w:val="21"/>
          <w:szCs w:val="21"/>
          <w:highlight w:val="none"/>
        </w:rPr>
      </w:pPr>
      <w:bookmarkStart w:id="375" w:name="_Toc30937"/>
      <w:bookmarkStart w:id="376" w:name="_Toc5505"/>
      <w:bookmarkStart w:id="377" w:name="_Toc415077913"/>
      <w:bookmarkStart w:id="378" w:name="_Toc388974316"/>
      <w:bookmarkStart w:id="379" w:name="_Toc412788182"/>
      <w:bookmarkStart w:id="380" w:name="_Toc399178347"/>
      <w:bookmarkStart w:id="381" w:name="_Toc32262"/>
      <w:r>
        <w:rPr>
          <w:rFonts w:hint="eastAsia" w:ascii="宋体" w:hAnsi="宋体" w:eastAsia="宋体" w:cs="宋体"/>
          <w:color w:val="auto"/>
          <w:sz w:val="21"/>
          <w:szCs w:val="21"/>
          <w:highlight w:val="none"/>
        </w:rPr>
        <w:t>（二）评标组织</w:t>
      </w:r>
      <w:bookmarkEnd w:id="375"/>
      <w:bookmarkEnd w:id="376"/>
      <w:bookmarkEnd w:id="377"/>
      <w:bookmarkEnd w:id="378"/>
      <w:bookmarkEnd w:id="379"/>
      <w:bookmarkEnd w:id="380"/>
      <w:bookmarkEnd w:id="381"/>
    </w:p>
    <w:p>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评标工作由</w:t>
      </w:r>
      <w:r>
        <w:rPr>
          <w:rFonts w:hint="eastAsia" w:ascii="宋体" w:hAnsi="宋体" w:eastAsia="宋体" w:cs="宋体"/>
          <w:snapToGrid w:val="0"/>
          <w:color w:val="auto"/>
          <w:kern w:val="0"/>
          <w:szCs w:val="21"/>
          <w:highlight w:val="none"/>
          <w:lang w:eastAsia="zh-CN"/>
        </w:rPr>
        <w:t>采购人</w:t>
      </w:r>
      <w:r>
        <w:rPr>
          <w:rFonts w:hint="eastAsia" w:ascii="宋体" w:hAnsi="宋体" w:eastAsia="宋体" w:cs="宋体"/>
          <w:snapToGrid w:val="0"/>
          <w:color w:val="auto"/>
          <w:kern w:val="0"/>
          <w:szCs w:val="21"/>
          <w:highlight w:val="none"/>
        </w:rPr>
        <w:t>依法组建的评标委员会（评标专家组）负责，评标委员会成员为</w:t>
      </w:r>
      <w:r>
        <w:rPr>
          <w:rFonts w:hint="eastAsia" w:ascii="宋体" w:hAnsi="宋体" w:eastAsia="宋体" w:cs="宋体"/>
          <w:snapToGrid w:val="0"/>
          <w:color w:val="auto"/>
          <w:kern w:val="0"/>
          <w:szCs w:val="21"/>
          <w:highlight w:val="none"/>
          <w:lang w:val="en-US" w:eastAsia="zh-CN"/>
        </w:rPr>
        <w:t>5</w:t>
      </w:r>
      <w:r>
        <w:rPr>
          <w:rFonts w:hint="eastAsia" w:ascii="宋体" w:hAnsi="宋体" w:eastAsia="宋体" w:cs="宋体"/>
          <w:snapToGrid w:val="0"/>
          <w:color w:val="auto"/>
          <w:kern w:val="0"/>
          <w:szCs w:val="21"/>
          <w:highlight w:val="none"/>
        </w:rPr>
        <w:t>人及以上单数，其中三分之二以上的成员为技术、经济类专家。评标委员会的决定，应符合有关法律、法规和规章，并按少数服从多数的原则产生。由有关监督部门监督整个开标、评标和决标全过程。</w:t>
      </w:r>
    </w:p>
    <w:p>
      <w:pPr>
        <w:pStyle w:val="3"/>
        <w:spacing w:before="160" w:after="160" w:line="240" w:lineRule="auto"/>
        <w:jc w:val="center"/>
        <w:rPr>
          <w:rFonts w:hint="eastAsia" w:ascii="宋体" w:hAnsi="宋体" w:eastAsia="宋体" w:cs="宋体"/>
          <w:color w:val="auto"/>
          <w:sz w:val="21"/>
          <w:szCs w:val="21"/>
          <w:highlight w:val="none"/>
        </w:rPr>
      </w:pPr>
      <w:bookmarkStart w:id="382" w:name="_Toc412788183"/>
      <w:bookmarkStart w:id="383" w:name="_Toc466"/>
      <w:bookmarkStart w:id="384" w:name="_Toc415077914"/>
      <w:bookmarkStart w:id="385" w:name="_Toc19981"/>
      <w:bookmarkStart w:id="386" w:name="_Toc399178348"/>
      <w:bookmarkStart w:id="387" w:name="_Toc388974317"/>
      <w:bookmarkStart w:id="388" w:name="_Toc16609"/>
      <w:r>
        <w:rPr>
          <w:rFonts w:hint="eastAsia" w:ascii="宋体" w:hAnsi="宋体" w:eastAsia="宋体" w:cs="宋体"/>
          <w:color w:val="auto"/>
          <w:sz w:val="21"/>
          <w:szCs w:val="21"/>
          <w:highlight w:val="none"/>
        </w:rPr>
        <w:t>（三）开、评标程序及办法</w:t>
      </w:r>
      <w:bookmarkEnd w:id="382"/>
      <w:bookmarkEnd w:id="383"/>
      <w:bookmarkEnd w:id="384"/>
      <w:bookmarkEnd w:id="385"/>
      <w:bookmarkEnd w:id="386"/>
      <w:bookmarkEnd w:id="387"/>
      <w:bookmarkEnd w:id="388"/>
    </w:p>
    <w:bookmarkEnd w:id="297"/>
    <w:bookmarkEnd w:id="298"/>
    <w:p>
      <w:pPr>
        <w:pStyle w:val="20"/>
        <w:widowControl/>
        <w:numPr>
          <w:ilvl w:val="0"/>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开标程序：</w:t>
      </w:r>
    </w:p>
    <w:p>
      <w:pPr>
        <w:pStyle w:val="20"/>
        <w:widowControl/>
        <w:numPr>
          <w:ilvl w:val="1"/>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开标后，由</w:t>
      </w:r>
      <w:r>
        <w:rPr>
          <w:rFonts w:hint="eastAsia" w:ascii="宋体" w:hAnsi="宋体" w:eastAsia="宋体" w:cs="宋体"/>
          <w:snapToGrid w:val="0"/>
          <w:color w:val="auto"/>
          <w:kern w:val="0"/>
          <w:sz w:val="21"/>
          <w:szCs w:val="21"/>
          <w:highlight w:val="none"/>
          <w:lang w:eastAsia="zh-CN"/>
        </w:rPr>
        <w:t>资格审查小组</w:t>
      </w:r>
      <w:r>
        <w:rPr>
          <w:rFonts w:hint="eastAsia" w:ascii="宋体" w:hAnsi="宋体" w:eastAsia="宋体" w:cs="宋体"/>
          <w:snapToGrid w:val="0"/>
          <w:color w:val="auto"/>
          <w:kern w:val="0"/>
          <w:sz w:val="21"/>
          <w:szCs w:val="21"/>
          <w:highlight w:val="none"/>
        </w:rPr>
        <w:t>对</w:t>
      </w:r>
      <w:r>
        <w:rPr>
          <w:rFonts w:hint="eastAsia" w:ascii="宋体" w:hAnsi="宋体" w:eastAsia="宋体" w:cs="宋体"/>
          <w:snapToGrid w:val="0"/>
          <w:color w:val="auto"/>
          <w:kern w:val="0"/>
          <w:sz w:val="21"/>
          <w:szCs w:val="21"/>
          <w:highlight w:val="none"/>
          <w:lang w:val="en-US" w:eastAsia="zh-CN"/>
        </w:rPr>
        <w:t>投标</w:t>
      </w:r>
      <w:r>
        <w:rPr>
          <w:rFonts w:hint="eastAsia" w:ascii="宋体" w:hAnsi="宋体" w:eastAsia="宋体" w:cs="宋体"/>
          <w:snapToGrid w:val="0"/>
          <w:color w:val="auto"/>
          <w:kern w:val="0"/>
          <w:sz w:val="21"/>
          <w:szCs w:val="21"/>
          <w:highlight w:val="none"/>
        </w:rPr>
        <w:t>响应文件进行资格性检查，凡</w:t>
      </w:r>
      <w:r>
        <w:rPr>
          <w:rFonts w:hint="eastAsia" w:ascii="宋体" w:hAnsi="宋体" w:eastAsia="宋体" w:cs="宋体"/>
          <w:snapToGrid w:val="0"/>
          <w:color w:val="auto"/>
          <w:kern w:val="0"/>
          <w:sz w:val="21"/>
          <w:szCs w:val="21"/>
          <w:highlight w:val="none"/>
          <w:lang w:val="en-US" w:eastAsia="zh-CN"/>
        </w:rPr>
        <w:t>投标</w:t>
      </w:r>
      <w:r>
        <w:rPr>
          <w:rFonts w:hint="eastAsia" w:ascii="宋体" w:hAnsi="宋体" w:eastAsia="宋体" w:cs="宋体"/>
          <w:snapToGrid w:val="0"/>
          <w:color w:val="auto"/>
          <w:kern w:val="0"/>
          <w:sz w:val="21"/>
          <w:szCs w:val="21"/>
          <w:highlight w:val="none"/>
        </w:rPr>
        <w:t>供应商资格不符合</w:t>
      </w:r>
      <w:r>
        <w:rPr>
          <w:rFonts w:hint="eastAsia" w:ascii="宋体" w:hAnsi="宋体" w:eastAsia="宋体" w:cs="宋体"/>
          <w:snapToGrid w:val="0"/>
          <w:color w:val="auto"/>
          <w:kern w:val="0"/>
          <w:sz w:val="21"/>
          <w:szCs w:val="21"/>
          <w:highlight w:val="none"/>
          <w:lang w:val="en-US" w:eastAsia="zh-CN"/>
        </w:rPr>
        <w:t>招标</w:t>
      </w:r>
      <w:r>
        <w:rPr>
          <w:rFonts w:hint="eastAsia" w:ascii="宋体" w:hAnsi="宋体" w:eastAsia="宋体" w:cs="宋体"/>
          <w:snapToGrid w:val="0"/>
          <w:color w:val="auto"/>
          <w:kern w:val="0"/>
          <w:sz w:val="21"/>
          <w:szCs w:val="21"/>
          <w:highlight w:val="none"/>
        </w:rPr>
        <w:t>文件要求、</w:t>
      </w:r>
      <w:r>
        <w:rPr>
          <w:rFonts w:hint="eastAsia" w:ascii="宋体" w:hAnsi="宋体" w:eastAsia="宋体" w:cs="宋体"/>
          <w:snapToGrid w:val="0"/>
          <w:color w:val="auto"/>
          <w:kern w:val="0"/>
          <w:sz w:val="21"/>
          <w:szCs w:val="21"/>
          <w:highlight w:val="none"/>
          <w:lang w:val="en-US" w:eastAsia="zh-CN"/>
        </w:rPr>
        <w:t>投标</w:t>
      </w:r>
      <w:r>
        <w:rPr>
          <w:rFonts w:hint="eastAsia" w:ascii="宋体" w:hAnsi="宋体" w:eastAsia="宋体" w:cs="宋体"/>
          <w:snapToGrid w:val="0"/>
          <w:color w:val="auto"/>
          <w:kern w:val="0"/>
          <w:sz w:val="21"/>
          <w:szCs w:val="21"/>
          <w:highlight w:val="none"/>
        </w:rPr>
        <w:t>响应文件实质性内容和格式严重不符合有关规定或不响应</w:t>
      </w:r>
      <w:r>
        <w:rPr>
          <w:rFonts w:hint="eastAsia" w:ascii="宋体" w:hAnsi="宋体" w:eastAsia="宋体" w:cs="宋体"/>
          <w:snapToGrid w:val="0"/>
          <w:color w:val="auto"/>
          <w:kern w:val="0"/>
          <w:sz w:val="21"/>
          <w:szCs w:val="21"/>
          <w:highlight w:val="none"/>
          <w:lang w:val="en-US" w:eastAsia="zh-CN"/>
        </w:rPr>
        <w:t>招标</w:t>
      </w:r>
      <w:r>
        <w:rPr>
          <w:rFonts w:hint="eastAsia" w:ascii="宋体" w:hAnsi="宋体" w:eastAsia="宋体" w:cs="宋体"/>
          <w:snapToGrid w:val="0"/>
          <w:color w:val="auto"/>
          <w:kern w:val="0"/>
          <w:sz w:val="21"/>
          <w:szCs w:val="21"/>
          <w:highlight w:val="none"/>
        </w:rPr>
        <w:t>文件要求者，经评标委员会认定作为无效投标，不再进入后续</w:t>
      </w:r>
      <w:r>
        <w:rPr>
          <w:rFonts w:hint="eastAsia" w:ascii="宋体" w:hAnsi="宋体" w:eastAsia="宋体" w:cs="宋体"/>
          <w:snapToGrid w:val="0"/>
          <w:color w:val="auto"/>
          <w:kern w:val="0"/>
          <w:sz w:val="21"/>
          <w:szCs w:val="21"/>
          <w:highlight w:val="none"/>
          <w:lang w:val="en-US" w:eastAsia="zh-CN"/>
        </w:rPr>
        <w:t>评审</w:t>
      </w:r>
      <w:r>
        <w:rPr>
          <w:rFonts w:hint="eastAsia" w:ascii="宋体" w:hAnsi="宋体" w:eastAsia="宋体" w:cs="宋体"/>
          <w:snapToGrid w:val="0"/>
          <w:color w:val="auto"/>
          <w:kern w:val="0"/>
          <w:sz w:val="21"/>
          <w:szCs w:val="21"/>
          <w:highlight w:val="none"/>
        </w:rPr>
        <w:t>。由评标委员会采用综合评分法对供应商的响应文件和报价进行综合评分。</w:t>
      </w:r>
    </w:p>
    <w:p>
      <w:pPr>
        <w:pStyle w:val="20"/>
        <w:widowControl/>
        <w:numPr>
          <w:ilvl w:val="0"/>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本次招标评标采用综合评估法，总分为100分，其中商务技术部分占</w:t>
      </w:r>
      <w:r>
        <w:rPr>
          <w:rFonts w:hint="eastAsia" w:ascii="宋体" w:hAnsi="宋体" w:eastAsia="宋体" w:cs="宋体"/>
          <w:snapToGrid w:val="0"/>
          <w:color w:val="auto"/>
          <w:kern w:val="0"/>
          <w:sz w:val="21"/>
          <w:szCs w:val="21"/>
          <w:highlight w:val="none"/>
          <w:lang w:val="en-US" w:eastAsia="zh-CN"/>
        </w:rPr>
        <w:t>70</w:t>
      </w:r>
      <w:r>
        <w:rPr>
          <w:rFonts w:hint="eastAsia" w:ascii="宋体" w:hAnsi="宋体" w:eastAsia="宋体" w:cs="宋体"/>
          <w:snapToGrid w:val="0"/>
          <w:color w:val="auto"/>
          <w:kern w:val="0"/>
          <w:sz w:val="21"/>
          <w:szCs w:val="21"/>
          <w:highlight w:val="none"/>
        </w:rPr>
        <w:t>分，报价部分占</w:t>
      </w:r>
      <w:r>
        <w:rPr>
          <w:rFonts w:hint="eastAsia" w:ascii="宋体" w:hAnsi="宋体" w:eastAsia="宋体" w:cs="宋体"/>
          <w:snapToGrid w:val="0"/>
          <w:color w:val="auto"/>
          <w:kern w:val="0"/>
          <w:sz w:val="21"/>
          <w:szCs w:val="21"/>
          <w:highlight w:val="none"/>
          <w:lang w:val="en-US" w:eastAsia="zh-CN"/>
        </w:rPr>
        <w:t>30</w:t>
      </w:r>
      <w:r>
        <w:rPr>
          <w:rFonts w:hint="eastAsia" w:ascii="宋体" w:hAnsi="宋体" w:eastAsia="宋体" w:cs="宋体"/>
          <w:snapToGrid w:val="0"/>
          <w:color w:val="auto"/>
          <w:kern w:val="0"/>
          <w:sz w:val="21"/>
          <w:szCs w:val="21"/>
          <w:highlight w:val="none"/>
        </w:rPr>
        <w:t>分。评标结束后，评标委员会将根据投标供应商的合计得分（商务技术部分和报价部分得分相加）由高到低确定一个中标候选人（</w:t>
      </w:r>
      <w:r>
        <w:rPr>
          <w:rFonts w:hint="eastAsia" w:ascii="宋体" w:hAnsi="宋体" w:eastAsia="宋体" w:cs="宋体"/>
          <w:snapToGrid w:val="0"/>
          <w:color w:val="auto"/>
          <w:kern w:val="0"/>
          <w:sz w:val="21"/>
          <w:szCs w:val="21"/>
          <w:highlight w:val="none"/>
          <w:lang w:eastAsia="zh-CN"/>
        </w:rPr>
        <w:t>综合</w:t>
      </w:r>
      <w:r>
        <w:rPr>
          <w:rFonts w:hint="eastAsia" w:ascii="宋体" w:hAnsi="宋体" w:eastAsia="宋体" w:cs="宋体"/>
          <w:snapToGrid w:val="0"/>
          <w:color w:val="auto"/>
          <w:kern w:val="0"/>
          <w:sz w:val="21"/>
          <w:szCs w:val="21"/>
          <w:highlight w:val="none"/>
        </w:rPr>
        <w:t>得分</w:t>
      </w:r>
      <w:r>
        <w:rPr>
          <w:rFonts w:hint="eastAsia" w:ascii="宋体" w:hAnsi="宋体" w:eastAsia="宋体" w:cs="宋体"/>
          <w:snapToGrid w:val="0"/>
          <w:color w:val="auto"/>
          <w:kern w:val="0"/>
          <w:sz w:val="21"/>
          <w:szCs w:val="21"/>
          <w:highlight w:val="none"/>
          <w:lang w:eastAsia="zh-CN"/>
        </w:rPr>
        <w:t>最</w:t>
      </w:r>
      <w:r>
        <w:rPr>
          <w:rFonts w:hint="eastAsia" w:ascii="宋体" w:hAnsi="宋体" w:eastAsia="宋体" w:cs="宋体"/>
          <w:snapToGrid w:val="0"/>
          <w:color w:val="auto"/>
          <w:kern w:val="0"/>
          <w:sz w:val="21"/>
          <w:szCs w:val="21"/>
          <w:highlight w:val="none"/>
        </w:rPr>
        <w:t>高），其余为中标备选供应商；</w:t>
      </w:r>
      <w:r>
        <w:rPr>
          <w:rFonts w:hint="eastAsia" w:ascii="宋体" w:hAnsi="宋体" w:eastAsia="宋体" w:cs="宋体"/>
          <w:snapToGrid w:val="0"/>
          <w:color w:val="auto"/>
          <w:kern w:val="0"/>
          <w:sz w:val="21"/>
          <w:szCs w:val="21"/>
          <w:highlight w:val="none"/>
          <w:lang w:eastAsia="zh-CN"/>
        </w:rPr>
        <w:t>综合</w:t>
      </w:r>
      <w:r>
        <w:rPr>
          <w:rFonts w:hint="eastAsia" w:ascii="宋体" w:hAnsi="宋体" w:eastAsia="宋体" w:cs="宋体"/>
          <w:snapToGrid w:val="0"/>
          <w:color w:val="auto"/>
          <w:kern w:val="0"/>
          <w:sz w:val="21"/>
          <w:szCs w:val="21"/>
          <w:highlight w:val="none"/>
        </w:rPr>
        <w:t>得分相同的，按投标报价由低到高顺序排列；若商务技术部分、报价部分得分和投标报价均相同，则由</w:t>
      </w:r>
      <w:r>
        <w:rPr>
          <w:rFonts w:hint="eastAsia" w:ascii="宋体" w:hAnsi="宋体" w:eastAsia="宋体" w:cs="宋体"/>
          <w:snapToGrid w:val="0"/>
          <w:color w:val="auto"/>
          <w:kern w:val="0"/>
          <w:sz w:val="21"/>
          <w:szCs w:val="21"/>
          <w:highlight w:val="none"/>
          <w:lang w:eastAsia="zh-CN"/>
        </w:rPr>
        <w:t>评标委员会</w:t>
      </w:r>
      <w:r>
        <w:rPr>
          <w:rFonts w:hint="eastAsia" w:ascii="宋体" w:hAnsi="宋体" w:eastAsia="宋体" w:cs="宋体"/>
          <w:snapToGrid w:val="0"/>
          <w:color w:val="auto"/>
          <w:kern w:val="0"/>
          <w:sz w:val="21"/>
          <w:szCs w:val="21"/>
          <w:highlight w:val="none"/>
        </w:rPr>
        <w:t>在所有得分均相同者中随机抽取其中一名为名次优先者。若在开、评标期间出现符合条件的投标人或者对采购文件作出实质响应的投标人（有效投标）不足三家，按《温州市市属国有企业采购管理办法》的通知第三十六条：采购响应（指投标或谈判、报价）截止时间止及评审期间，出现有效供应商不足三家的情形，如采购文件事先已在指定媒体公开征求了供应商意见且无重大异议，或经专家论证且出具了“供应商资格条件和项目技术指标等没有歧视性和倾向性”意见的，同时采购信息已在本办法规定的媒体上公告，采购文件的发售和截止时间符合法定或本办法规定，由实质性响应的供应商认可后，可以按原采购方式继续进行采购活动，但采购项目第一次评审活动除外。</w:t>
      </w:r>
    </w:p>
    <w:p>
      <w:pPr>
        <w:pStyle w:val="20"/>
        <w:widowControl/>
        <w:numPr>
          <w:ilvl w:val="0"/>
          <w:numId w:val="19"/>
        </w:numPr>
        <w:autoSpaceDE w:val="0"/>
        <w:autoSpaceDN w:val="0"/>
        <w:spacing w:line="440" w:lineRule="exact"/>
        <w:textAlignment w:val="bottom"/>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根据评标委员会提出的书面评标报告及推荐的中标候选人依法确定排名第一的中标候选人为中标人。排名第一的中标候选人放弃中标；因不可抗力提出不能履行合同；或者招标文件规定应当提交履约保证金而在规定的期限内未能提交的；或未能在规定时间内与</w:t>
      </w: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签订合同的；或者经质疑，</w:t>
      </w: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审查后，确因排名第一的候选人在本次招标活动中存在违法违规行为或其他原因使质疑成立的，</w:t>
      </w:r>
      <w:r>
        <w:rPr>
          <w:rFonts w:hint="eastAsia" w:ascii="宋体" w:hAnsi="宋体" w:eastAsia="宋体" w:cs="宋体"/>
          <w:snapToGrid w:val="0"/>
          <w:color w:val="auto"/>
          <w:kern w:val="0"/>
          <w:sz w:val="21"/>
          <w:szCs w:val="21"/>
          <w:highlight w:val="none"/>
          <w:lang w:eastAsia="zh-CN"/>
        </w:rPr>
        <w:t>采购人</w:t>
      </w:r>
      <w:r>
        <w:rPr>
          <w:rFonts w:hint="eastAsia" w:ascii="宋体" w:hAnsi="宋体" w:eastAsia="宋体" w:cs="宋体"/>
          <w:snapToGrid w:val="0"/>
          <w:color w:val="auto"/>
          <w:kern w:val="0"/>
          <w:sz w:val="21"/>
          <w:szCs w:val="21"/>
          <w:highlight w:val="none"/>
        </w:rPr>
        <w:t>可视具体情况确定是否由排名第二的中标候选人为中标供应商，以此类推或重新招标。</w:t>
      </w:r>
    </w:p>
    <w:p>
      <w:pPr>
        <w:pStyle w:val="3"/>
        <w:spacing w:before="160" w:after="160" w:line="240" w:lineRule="auto"/>
        <w:jc w:val="center"/>
        <w:rPr>
          <w:rFonts w:hint="eastAsia" w:ascii="宋体" w:hAnsi="宋体" w:eastAsia="宋体" w:cs="宋体"/>
          <w:color w:val="auto"/>
          <w:sz w:val="21"/>
          <w:szCs w:val="21"/>
          <w:highlight w:val="none"/>
        </w:rPr>
      </w:pPr>
      <w:bookmarkStart w:id="389" w:name="_Toc17474"/>
      <w:bookmarkStart w:id="390" w:name="_Toc388974318"/>
      <w:bookmarkStart w:id="391" w:name="_Toc399178349"/>
      <w:bookmarkStart w:id="392" w:name="_Toc420077699"/>
      <w:bookmarkStart w:id="393" w:name="_Toc30903"/>
      <w:bookmarkStart w:id="394" w:name="_Toc6525"/>
      <w:r>
        <w:rPr>
          <w:rFonts w:hint="eastAsia" w:ascii="宋体" w:hAnsi="宋体" w:eastAsia="宋体" w:cs="宋体"/>
          <w:color w:val="auto"/>
          <w:sz w:val="21"/>
          <w:szCs w:val="21"/>
          <w:highlight w:val="none"/>
        </w:rPr>
        <w:t>（四）评标细则</w:t>
      </w:r>
      <w:bookmarkEnd w:id="389"/>
      <w:bookmarkEnd w:id="390"/>
      <w:bookmarkEnd w:id="391"/>
      <w:bookmarkEnd w:id="392"/>
      <w:bookmarkEnd w:id="393"/>
      <w:bookmarkEnd w:id="394"/>
    </w:p>
    <w:p>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评标委员会成员对各投标文件充分审核、评议后，由评标委员会人员按评分细则，进行评判，独立打分。如发现某张评分票的一单项评分超过评分细则规定的分值范围，则该张评分票无效。</w:t>
      </w:r>
      <w:r>
        <w:rPr>
          <w:rFonts w:hint="eastAsia" w:ascii="宋体" w:hAnsi="宋体" w:eastAsia="宋体" w:cs="宋体"/>
          <w:snapToGrid w:val="0"/>
          <w:color w:val="auto"/>
          <w:kern w:val="0"/>
          <w:szCs w:val="21"/>
          <w:highlight w:val="none"/>
          <w:lang w:eastAsia="zh-CN"/>
        </w:rPr>
        <w:t>投标供应商</w:t>
      </w:r>
      <w:r>
        <w:rPr>
          <w:rFonts w:hint="eastAsia" w:ascii="宋体" w:hAnsi="宋体" w:eastAsia="宋体" w:cs="宋体"/>
          <w:snapToGrid w:val="0"/>
          <w:color w:val="auto"/>
          <w:kern w:val="0"/>
          <w:szCs w:val="21"/>
          <w:highlight w:val="none"/>
        </w:rPr>
        <w:t>的综合评分为商务技术评分和报价部分的总和。</w:t>
      </w:r>
    </w:p>
    <w:p>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在评审时，当评标委员会对某些关键性的条文认定存在不同意见时，在评标委员会范围内按少数服从多数的原则认定。</w:t>
      </w:r>
    </w:p>
    <w:p>
      <w:pPr>
        <w:numPr>
          <w:ilvl w:val="0"/>
          <w:numId w:val="20"/>
        </w:numPr>
        <w:tabs>
          <w:tab w:val="left" w:pos="9180"/>
        </w:tabs>
        <w:spacing w:line="440" w:lineRule="exact"/>
        <w:rPr>
          <w:rFonts w:hint="eastAsia" w:ascii="宋体" w:hAnsi="宋体" w:eastAsia="宋体" w:cs="宋体"/>
          <w:snapToGrid w:val="0"/>
          <w:color w:val="auto"/>
          <w:kern w:val="0"/>
          <w:szCs w:val="21"/>
          <w:highlight w:val="none"/>
          <w:lang w:val="en-US" w:eastAsia="zh-CN"/>
        </w:rPr>
      </w:pPr>
      <w:r>
        <w:rPr>
          <w:rFonts w:hint="eastAsia" w:ascii="宋体" w:hAnsi="宋体" w:eastAsia="宋体" w:cs="宋体"/>
          <w:snapToGrid w:val="0"/>
          <w:color w:val="auto"/>
          <w:kern w:val="0"/>
          <w:szCs w:val="21"/>
          <w:highlight w:val="none"/>
          <w:lang w:val="en-US" w:eastAsia="zh-CN"/>
        </w:rPr>
        <w:t>报价部分</w:t>
      </w:r>
    </w:p>
    <w:tbl>
      <w:tblPr>
        <w:tblStyle w:val="49"/>
        <w:tblpPr w:leftFromText="180" w:rightFromText="180" w:vertAnchor="text" w:horzAnchor="page" w:tblpX="1184" w:tblpY="177"/>
        <w:tblOverlap w:val="never"/>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15"/>
        <w:gridCol w:w="999"/>
        <w:gridCol w:w="8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trPr>
        <w:tc>
          <w:tcPr>
            <w:tcW w:w="915" w:type="dxa"/>
            <w:noWrap w:val="0"/>
            <w:vAlign w:val="center"/>
          </w:tcPr>
          <w:p>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b/>
                <w:bCs/>
                <w:color w:val="auto"/>
                <w:sz w:val="8"/>
                <w:szCs w:val="8"/>
                <w:highlight w:val="none"/>
              </w:rPr>
              <w:t xml:space="preserve"> </w:t>
            </w:r>
            <w:r>
              <w:rPr>
                <w:rFonts w:hint="eastAsia" w:ascii="宋体" w:hAnsi="宋体" w:eastAsia="宋体" w:cs="宋体"/>
                <w:color w:val="auto"/>
                <w:szCs w:val="21"/>
                <w:highlight w:val="none"/>
              </w:rPr>
              <w:t>评审因素</w:t>
            </w:r>
          </w:p>
        </w:tc>
        <w:tc>
          <w:tcPr>
            <w:tcW w:w="999" w:type="dxa"/>
            <w:noWrap w:val="0"/>
            <w:vAlign w:val="center"/>
          </w:tcPr>
          <w:p>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分值</w:t>
            </w:r>
          </w:p>
        </w:tc>
        <w:tc>
          <w:tcPr>
            <w:tcW w:w="8054" w:type="dxa"/>
            <w:noWrap w:val="0"/>
            <w:vAlign w:val="center"/>
          </w:tcPr>
          <w:p>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66" w:hRule="atLeast"/>
        </w:trPr>
        <w:tc>
          <w:tcPr>
            <w:tcW w:w="915" w:type="dxa"/>
            <w:noWrap w:val="0"/>
            <w:vAlign w:val="center"/>
          </w:tcPr>
          <w:p>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投标报价</w:t>
            </w:r>
          </w:p>
          <w:p>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0分）</w:t>
            </w:r>
          </w:p>
        </w:tc>
        <w:tc>
          <w:tcPr>
            <w:tcW w:w="999" w:type="dxa"/>
            <w:noWrap w:val="0"/>
            <w:vAlign w:val="center"/>
          </w:tcPr>
          <w:p>
            <w:pPr>
              <w:keepNext w:val="0"/>
              <w:keepLines w:val="0"/>
              <w:pageBreakBefore w:val="0"/>
              <w:kinsoku/>
              <w:overflowPunct/>
              <w:topLinePunct w:val="0"/>
              <w:autoSpaceDE/>
              <w:autoSpaceDN/>
              <w:bidi w:val="0"/>
              <w:adjustRightInd/>
              <w:spacing w:line="400" w:lineRule="exact"/>
              <w:ind w:left="0" w:right="0"/>
              <w:jc w:val="center"/>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0分</w:t>
            </w:r>
          </w:p>
        </w:tc>
        <w:tc>
          <w:tcPr>
            <w:tcW w:w="8054" w:type="dxa"/>
            <w:noWrap w:val="0"/>
            <w:vAlign w:val="top"/>
          </w:tcPr>
          <w:p>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价格分统一采用低价优先法计算，即满足文件要求且投标价格最低的价格为基准价，其价格分为满分。其他供应商的价格分统一按照下列公式计算：报价得分=（基准价/供应商报价）×</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0</w:t>
            </w:r>
          </w:p>
          <w:p>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1.有效供应商是指通过</w:t>
            </w:r>
            <w:r>
              <w:rPr>
                <w:rFonts w:hint="eastAsia" w:ascii="宋体" w:hAnsi="宋体" w:eastAsia="宋体" w:cs="宋体"/>
                <w:color w:val="auto"/>
                <w:szCs w:val="21"/>
                <w:highlight w:val="none"/>
                <w:lang w:eastAsia="zh-CN"/>
              </w:rPr>
              <w:t>资格审查和</w:t>
            </w:r>
            <w:r>
              <w:rPr>
                <w:rFonts w:hint="eastAsia" w:ascii="宋体" w:hAnsi="宋体" w:eastAsia="宋体" w:cs="宋体"/>
                <w:color w:val="auto"/>
                <w:szCs w:val="21"/>
                <w:highlight w:val="none"/>
              </w:rPr>
              <w:t>符合性审查，未被废除投标资格的供应商；</w:t>
            </w:r>
          </w:p>
          <w:p>
            <w:pPr>
              <w:keepNext w:val="0"/>
              <w:keepLines w:val="0"/>
              <w:pageBreakBefore w:val="0"/>
              <w:kinsoku/>
              <w:overflowPunct/>
              <w:topLinePunct w:val="0"/>
              <w:autoSpaceDE/>
              <w:autoSpaceDN/>
              <w:bidi w:val="0"/>
              <w:adjustRightInd/>
              <w:spacing w:line="400" w:lineRule="exact"/>
              <w:ind w:left="0" w:right="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cs="宋体"/>
                <w:color w:val="auto"/>
                <w:szCs w:val="21"/>
                <w:highlight w:val="none"/>
                <w:lang w:val="en-US" w:eastAsia="zh-CN"/>
              </w:rPr>
              <w:t>评标委员会</w:t>
            </w:r>
            <w:r>
              <w:rPr>
                <w:rFonts w:hint="eastAsia" w:ascii="宋体" w:hAnsi="宋体" w:eastAsia="宋体" w:cs="宋体"/>
                <w:color w:val="auto"/>
                <w:szCs w:val="21"/>
                <w:highlight w:val="none"/>
              </w:rPr>
              <w:t>认为供应商的报价明显低于其他通过符合性审查供应商的报价，有可能影响产品质量或者不能诚信履约的，应当要求其在评标现场合理的时间内提供书面说明，必要时提交相关证明材料;供应商不能证明其报价合理性的，</w:t>
            </w:r>
            <w:r>
              <w:rPr>
                <w:rFonts w:hint="eastAsia" w:ascii="宋体" w:hAnsi="宋体" w:cs="宋体"/>
                <w:color w:val="auto"/>
                <w:szCs w:val="21"/>
                <w:highlight w:val="none"/>
                <w:lang w:val="en-US" w:eastAsia="zh-CN"/>
              </w:rPr>
              <w:t>评标委员会</w:t>
            </w:r>
            <w:r>
              <w:rPr>
                <w:rFonts w:hint="eastAsia" w:ascii="宋体" w:hAnsi="宋体" w:eastAsia="宋体" w:cs="宋体"/>
                <w:color w:val="auto"/>
                <w:szCs w:val="21"/>
                <w:highlight w:val="none"/>
              </w:rPr>
              <w:t>应当将其作为无效投标处理。</w:t>
            </w:r>
          </w:p>
        </w:tc>
      </w:tr>
    </w:tbl>
    <w:p>
      <w:pPr>
        <w:numPr>
          <w:ilvl w:val="0"/>
          <w:numId w:val="0"/>
        </w:numPr>
        <w:tabs>
          <w:tab w:val="left" w:pos="9180"/>
        </w:tabs>
        <w:spacing w:line="440" w:lineRule="exact"/>
        <w:rPr>
          <w:rFonts w:hint="eastAsia" w:ascii="宋体" w:hAnsi="宋体" w:eastAsia="宋体" w:cs="宋体"/>
          <w:snapToGrid w:val="0"/>
          <w:color w:val="auto"/>
          <w:kern w:val="0"/>
          <w:szCs w:val="21"/>
          <w:highlight w:val="none"/>
          <w:lang w:val="en-US" w:eastAsia="zh-CN"/>
        </w:rPr>
      </w:pPr>
      <w:r>
        <w:rPr>
          <w:rFonts w:hint="eastAsia" w:ascii="宋体" w:hAnsi="宋体" w:eastAsia="宋体" w:cs="宋体"/>
          <w:snapToGrid w:val="0"/>
          <w:color w:val="auto"/>
          <w:kern w:val="0"/>
          <w:szCs w:val="21"/>
          <w:highlight w:val="none"/>
          <w:lang w:val="en-US" w:eastAsia="zh-CN"/>
        </w:rPr>
        <w:t>2、商务技术部分</w:t>
      </w:r>
    </w:p>
    <w:p>
      <w:pPr>
        <w:tabs>
          <w:tab w:val="left" w:pos="9180"/>
        </w:tabs>
        <w:spacing w:line="440" w:lineRule="exact"/>
        <w:ind w:firstLine="420" w:firstLineChars="200"/>
        <w:rPr>
          <w:rFonts w:hint="eastAsia" w:ascii="宋体" w:hAnsi="宋体" w:eastAsia="宋体" w:cs="宋体"/>
          <w:snapToGrid w:val="0"/>
          <w:color w:val="auto"/>
          <w:kern w:val="0"/>
          <w:szCs w:val="21"/>
          <w:highlight w:val="none"/>
        </w:rPr>
      </w:pPr>
      <w:r>
        <w:rPr>
          <w:rFonts w:hint="eastAsia" w:ascii="宋体" w:hAnsi="宋体" w:eastAsia="宋体" w:cs="宋体"/>
          <w:snapToGrid w:val="0"/>
          <w:color w:val="auto"/>
          <w:kern w:val="0"/>
          <w:szCs w:val="21"/>
          <w:highlight w:val="none"/>
        </w:rPr>
        <w:t>各评委成员按下列评分项目进行评定，每人一张评分计算表，由评标委员会成员各自评定打分并记实名。如任何一张表的一项评分内容分值超过规定的范围，则该张表无效。评标委员会成员对各供应商的各项评分内容评分合计的算术平均值为该供应商商务技术部分的最终得分（四舍五入，保留小数点后保留二位）。</w:t>
      </w:r>
    </w:p>
    <w:tbl>
      <w:tblPr>
        <w:tblStyle w:val="49"/>
        <w:tblpPr w:leftFromText="180" w:rightFromText="180" w:vertAnchor="text" w:horzAnchor="page" w:tblpX="1184" w:tblpY="177"/>
        <w:tblOverlap w:val="never"/>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15"/>
        <w:gridCol w:w="999"/>
        <w:gridCol w:w="8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trPr>
        <w:tc>
          <w:tcPr>
            <w:tcW w:w="915" w:type="dxa"/>
            <w:noWrap w:val="0"/>
            <w:vAlign w:val="center"/>
          </w:tcPr>
          <w:p>
            <w:pPr>
              <w:spacing w:before="10"/>
              <w:rPr>
                <w:rFonts w:hint="eastAsia" w:ascii="宋体" w:hAnsi="宋体" w:eastAsia="宋体" w:cs="宋体"/>
                <w:color w:val="auto"/>
                <w:szCs w:val="21"/>
                <w:highlight w:val="none"/>
              </w:rPr>
            </w:pPr>
            <w:r>
              <w:rPr>
                <w:rFonts w:hint="eastAsia" w:ascii="宋体" w:hAnsi="宋体" w:eastAsia="宋体" w:cs="宋体"/>
                <w:b/>
                <w:bCs/>
                <w:color w:val="auto"/>
                <w:sz w:val="8"/>
                <w:szCs w:val="8"/>
                <w:highlight w:val="none"/>
              </w:rPr>
              <w:t xml:space="preserve"> </w:t>
            </w:r>
            <w:r>
              <w:rPr>
                <w:rFonts w:hint="eastAsia" w:ascii="宋体" w:hAnsi="宋体" w:eastAsia="宋体" w:cs="宋体"/>
                <w:color w:val="auto"/>
                <w:szCs w:val="21"/>
                <w:highlight w:val="none"/>
              </w:rPr>
              <w:t>评审因素</w:t>
            </w:r>
          </w:p>
        </w:tc>
        <w:tc>
          <w:tcPr>
            <w:tcW w:w="999" w:type="dxa"/>
            <w:noWrap w:val="0"/>
            <w:vAlign w:val="center"/>
          </w:tcPr>
          <w:p>
            <w:pPr>
              <w:spacing w:before="3"/>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分值</w:t>
            </w:r>
          </w:p>
        </w:tc>
        <w:tc>
          <w:tcPr>
            <w:tcW w:w="8054" w:type="dxa"/>
            <w:noWrap w:val="0"/>
            <w:vAlign w:val="center"/>
          </w:tcPr>
          <w:p>
            <w:pPr>
              <w:spacing w:before="3"/>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15" w:type="dxa"/>
            <w:vMerge w:val="restart"/>
            <w:noWrap w:val="0"/>
            <w:vAlign w:val="center"/>
          </w:tcPr>
          <w:p>
            <w:pPr>
              <w:spacing w:before="3"/>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技术部分（</w:t>
            </w:r>
            <w:r>
              <w:rPr>
                <w:rFonts w:hint="eastAsia" w:ascii="宋体" w:hAnsi="宋体" w:cs="宋体"/>
                <w:color w:val="auto"/>
                <w:szCs w:val="21"/>
                <w:highlight w:val="none"/>
                <w:lang w:val="en-US" w:eastAsia="zh-CN"/>
              </w:rPr>
              <w:t>50</w:t>
            </w:r>
            <w:r>
              <w:rPr>
                <w:rFonts w:hint="eastAsia" w:ascii="宋体" w:hAnsi="宋体" w:eastAsia="宋体" w:cs="宋体"/>
                <w:color w:val="auto"/>
                <w:szCs w:val="21"/>
                <w:highlight w:val="none"/>
                <w:lang w:val="en-US" w:eastAsia="zh-CN"/>
              </w:rPr>
              <w:t>分）</w:t>
            </w:r>
          </w:p>
        </w:tc>
        <w:tc>
          <w:tcPr>
            <w:tcW w:w="999" w:type="dxa"/>
            <w:noWrap w:val="0"/>
            <w:vAlign w:val="center"/>
          </w:tcPr>
          <w:p>
            <w:pPr>
              <w:pStyle w:val="239"/>
              <w:spacing w:before="35" w:line="248" w:lineRule="auto"/>
              <w:ind w:left="24" w:leftChars="0" w:right="31" w:rightChars="0" w:firstLine="116"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技术参数及响应</w:t>
            </w:r>
          </w:p>
          <w:p>
            <w:pPr>
              <w:pStyle w:val="239"/>
              <w:spacing w:before="35" w:line="248" w:lineRule="auto"/>
              <w:ind w:left="24" w:leftChars="0" w:right="31" w:rightChars="0" w:firstLine="116"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cs="宋体"/>
                <w:color w:val="auto"/>
                <w:kern w:val="2"/>
                <w:sz w:val="21"/>
                <w:szCs w:val="21"/>
                <w:highlight w:val="none"/>
                <w:lang w:val="en-US" w:eastAsia="zh-CN" w:bidi="ar-SA"/>
              </w:rPr>
              <w:t>14</w:t>
            </w:r>
            <w:r>
              <w:rPr>
                <w:rFonts w:hint="eastAsia" w:ascii="宋体" w:hAnsi="宋体" w:eastAsia="宋体" w:cs="宋体"/>
                <w:color w:val="auto"/>
                <w:kern w:val="2"/>
                <w:sz w:val="21"/>
                <w:szCs w:val="21"/>
                <w:highlight w:val="none"/>
                <w:lang w:val="en-US" w:eastAsia="zh-CN" w:bidi="ar-SA"/>
              </w:rPr>
              <w:t>分）</w:t>
            </w:r>
          </w:p>
        </w:tc>
        <w:tc>
          <w:tcPr>
            <w:tcW w:w="8054" w:type="dxa"/>
            <w:noWrap w:val="0"/>
            <w:vAlign w:val="top"/>
          </w:tcPr>
          <w:p>
            <w:pPr>
              <w:widowControl w:val="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根据投标文件对招标文件要求的技术指标响应情况，判断所投货物技术指标是否满足招标文件的要求，全部满足招标文件技术指标的得满分</w:t>
            </w:r>
            <w:r>
              <w:rPr>
                <w:rFonts w:hint="eastAsia" w:ascii="宋体" w:hAnsi="宋体" w:cs="宋体"/>
                <w:color w:val="auto"/>
                <w:kern w:val="2"/>
                <w:sz w:val="21"/>
                <w:szCs w:val="21"/>
                <w:highlight w:val="none"/>
                <w:lang w:val="en-US" w:eastAsia="zh-CN" w:bidi="ar-SA"/>
              </w:rPr>
              <w:t>14</w:t>
            </w:r>
            <w:r>
              <w:rPr>
                <w:rFonts w:hint="eastAsia" w:ascii="宋体" w:hAnsi="宋体" w:eastAsia="宋体" w:cs="宋体"/>
                <w:color w:val="auto"/>
                <w:kern w:val="2"/>
                <w:sz w:val="21"/>
                <w:szCs w:val="21"/>
                <w:highlight w:val="none"/>
                <w:lang w:val="en-US" w:eastAsia="zh-CN" w:bidi="ar-SA"/>
              </w:rPr>
              <w:t>分，每有一条不满足扣0.5分，在</w:t>
            </w:r>
            <w:r>
              <w:rPr>
                <w:rFonts w:hint="eastAsia" w:ascii="宋体" w:hAnsi="宋体" w:cs="宋体"/>
                <w:color w:val="auto"/>
                <w:kern w:val="2"/>
                <w:sz w:val="21"/>
                <w:szCs w:val="21"/>
                <w:highlight w:val="none"/>
                <w:lang w:val="en-US" w:eastAsia="zh-CN" w:bidi="ar-SA"/>
              </w:rPr>
              <w:t>14</w:t>
            </w:r>
            <w:r>
              <w:rPr>
                <w:rFonts w:hint="eastAsia" w:ascii="宋体" w:hAnsi="宋体" w:eastAsia="宋体" w:cs="宋体"/>
                <w:color w:val="auto"/>
                <w:kern w:val="2"/>
                <w:sz w:val="21"/>
                <w:szCs w:val="21"/>
                <w:highlight w:val="none"/>
                <w:lang w:val="en-US" w:eastAsia="zh-CN" w:bidi="ar-SA"/>
              </w:rPr>
              <w:t>分基础上扣完为止。</w:t>
            </w:r>
          </w:p>
          <w:p>
            <w:pPr>
              <w:spacing w:before="3"/>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szCs w:val="21"/>
                <w:highlight w:val="none"/>
                <w:lang w:eastAsia="zh-CN"/>
              </w:rPr>
              <w:t>评分依据：投标人如实填写《技术要求偏离表》</w:t>
            </w:r>
            <w:r>
              <w:rPr>
                <w:rFonts w:hint="eastAsia" w:ascii="宋体" w:hAnsi="宋体" w:eastAsia="宋体" w:cs="宋体"/>
                <w:b/>
                <w:bCs/>
                <w:color w:val="auto"/>
                <w:szCs w:val="21"/>
                <w:highlight w:val="none"/>
                <w:lang w:val="en-US" w:eastAsia="zh-CN"/>
              </w:rPr>
              <w:t>未响应或负偏离</w:t>
            </w:r>
            <w:r>
              <w:rPr>
                <w:rFonts w:hint="eastAsia" w:ascii="宋体" w:hAnsi="宋体" w:eastAsia="宋体" w:cs="宋体"/>
                <w:b/>
                <w:bCs/>
                <w:color w:val="auto"/>
                <w:szCs w:val="21"/>
                <w:highlight w:val="none"/>
                <w:lang w:eastAsia="zh-CN"/>
              </w:rPr>
              <w:t>该项参数扣除相应分值。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15" w:type="dxa"/>
            <w:vMerge w:val="continue"/>
            <w:noWrap w:val="0"/>
            <w:vAlign w:val="center"/>
          </w:tcPr>
          <w:p>
            <w:pPr>
              <w:spacing w:before="3"/>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光固化打印机</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（3分）</w:t>
            </w:r>
          </w:p>
        </w:tc>
        <w:tc>
          <w:tcPr>
            <w:tcW w:w="805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1、配备一个3d素材库，素材库数量大于2万个，素材涵盖至少10种类别，素材拥有20个以上特色专题，每个专题包含至少5个以上同类别优质素材。素材库可提供网站访问及APP下载使用。</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评审依据：投标供应商投标文件中需提供由</w:t>
            </w:r>
            <w:r>
              <w:rPr>
                <w:rFonts w:hint="eastAsia" w:ascii="宋体" w:hAnsi="宋体" w:cs="宋体"/>
                <w:b/>
                <w:bCs/>
                <w:color w:val="auto"/>
                <w:kern w:val="2"/>
                <w:sz w:val="21"/>
                <w:szCs w:val="21"/>
                <w:highlight w:val="none"/>
                <w:lang w:val="en-US" w:eastAsia="zh-CN" w:bidi="ar-SA"/>
              </w:rPr>
              <w:t>国家相关部门</w:t>
            </w:r>
            <w:r>
              <w:rPr>
                <w:rFonts w:hint="eastAsia" w:ascii="宋体" w:hAnsi="宋体" w:eastAsia="宋体" w:cs="宋体"/>
                <w:b/>
                <w:bCs/>
                <w:color w:val="auto"/>
                <w:kern w:val="2"/>
                <w:sz w:val="21"/>
                <w:szCs w:val="21"/>
                <w:highlight w:val="none"/>
                <w:lang w:val="en-US" w:eastAsia="zh-CN" w:bidi="ar-SA"/>
              </w:rPr>
              <w:t>颁发模型素材库电脑终端与手机终端登记证书复印件并加盖制造商（或厂商）公章的得1.5分，未提供或不符的不得分</w:t>
            </w:r>
            <w:r>
              <w:rPr>
                <w:rFonts w:hint="eastAsia" w:ascii="宋体" w:hAnsi="宋体" w:eastAsia="宋体" w:cs="宋体"/>
                <w:color w:val="auto"/>
                <w:kern w:val="2"/>
                <w:sz w:val="21"/>
                <w:szCs w:val="21"/>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配套同品牌云端三维渲染引擎平台，对3D数据在云端进行轻量化（轻量最高可达91%）、云渲染及三维分享，开放标准的SDK，不需要安装任何客户端。支持多种材质系统和多属性材质，以及各种类型光源与开合动画系统，实现对产品的快速三维渲染和展示。</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评审依据：投标供应商投标文件中需提供加盖制造商（或厂商）公章产品彩页的得1.5分，未提供或不符的不得分。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pPr>
              <w:spacing w:before="3"/>
              <w:jc w:val="center"/>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陶瓷3D打印机</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（2分）</w:t>
            </w:r>
          </w:p>
        </w:tc>
        <w:tc>
          <w:tcPr>
            <w:tcW w:w="8054" w:type="dxa"/>
            <w:noWrap w:val="0"/>
            <w:vAlign w:val="center"/>
          </w:tcPr>
          <w:p>
            <w:pPr>
              <w:keepNext w:val="0"/>
              <w:keepLines w:val="0"/>
              <w:pageBreakBefore w:val="0"/>
              <w:widowControl w:val="0"/>
              <w:numPr>
                <w:ilvl w:val="0"/>
                <w:numId w:val="21"/>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配备3D素材库，方便下载模型。3D素材数量不低于1.5万个，涵盖不少于10种类别，拥有20个以上特色专题，每个专题包含至少5个以上同类别优质素材。素材库包含网站及APP使用，APP同步支持安卓及IOS下载。</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评审依据：投标供应商投标文件中需提供由</w:t>
            </w:r>
            <w:r>
              <w:rPr>
                <w:rFonts w:hint="eastAsia" w:ascii="宋体" w:hAnsi="宋体" w:cs="宋体"/>
                <w:b/>
                <w:bCs/>
                <w:color w:val="auto"/>
                <w:kern w:val="2"/>
                <w:sz w:val="21"/>
                <w:szCs w:val="21"/>
                <w:highlight w:val="none"/>
                <w:lang w:val="en-US" w:eastAsia="zh-CN" w:bidi="ar-SA"/>
              </w:rPr>
              <w:t>国家相关部门</w:t>
            </w:r>
            <w:r>
              <w:rPr>
                <w:rFonts w:hint="eastAsia" w:ascii="宋体" w:hAnsi="宋体" w:eastAsia="宋体" w:cs="宋体"/>
                <w:b/>
                <w:bCs/>
                <w:color w:val="auto"/>
                <w:kern w:val="2"/>
                <w:sz w:val="21"/>
                <w:szCs w:val="21"/>
                <w:highlight w:val="none"/>
                <w:lang w:val="en-US" w:eastAsia="zh-CN" w:bidi="ar-SA"/>
              </w:rPr>
              <w:t>颁发的关于3D素材库系统与iphone移动终端登记证书复印件并加盖软件厂家公章的得1分，未提供或不符的不得分。</w:t>
            </w:r>
          </w:p>
          <w:p>
            <w:pPr>
              <w:keepNext w:val="0"/>
              <w:keepLines w:val="0"/>
              <w:pageBreakBefore w:val="0"/>
              <w:widowControl w:val="0"/>
              <w:numPr>
                <w:ilvl w:val="0"/>
                <w:numId w:val="21"/>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配套云端三维渲染引擎平台，对3D数据在云端进行轻量化（轻量最高可达91%）、云渲染及三维分享，开放标准的SDK，不需要安装任何客户端，兼容Windows、MacOS、iOS、Android、Linux等系统，以及Chrome/Safari/Firefox /Edge/IE/QQ等浏览器。支持多种材质系统和多属性材质，以及各种类型光源与开合动画系统，引擎适配VRPN协议，驱动VR/AR硬件； 支持HTML5 WebGL平台，实现对产品的快速三维渲染和展示。</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评审依据：投标供应商投标文件中需提供加盖软件厂家公章的产品彩页得1分，未提供或不符的不得分。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pPr>
              <w:spacing w:before="3"/>
              <w:jc w:val="center"/>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安全防护用品标准柜</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（1分）</w:t>
            </w:r>
          </w:p>
        </w:tc>
        <w:tc>
          <w:tcPr>
            <w:tcW w:w="8054" w:type="dxa"/>
            <w:noWrap w:val="0"/>
            <w:vAlign w:val="center"/>
          </w:tcPr>
          <w:p>
            <w:pPr>
              <w:keepNext w:val="0"/>
              <w:keepLines w:val="0"/>
              <w:pageBreakBefore w:val="0"/>
              <w:widowControl w:val="0"/>
              <w:numPr>
                <w:ilvl w:val="0"/>
                <w:numId w:val="22"/>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柜体表面酸洗磷化处理，黄色环氧树脂漆静电喷涂，覆有防化无铅涂层，耐腐蚀，</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甲醛报告限值≤5mg/kg，甲苯报告限值≤0.1%，苯报告限值≤0.002%；满足上述要求的得1分；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评审依据：投标供应商投标文件中需提供具有CMA或CNAS标识的第三方检测机构出具的检测报告复印件并加盖制造商（或厂商）公章，未提供或不符的不得分。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pPr>
              <w:spacing w:before="3"/>
              <w:jc w:val="center"/>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拉坯机</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（3分）</w:t>
            </w:r>
          </w:p>
        </w:tc>
        <w:tc>
          <w:tcPr>
            <w:tcW w:w="8054" w:type="dxa"/>
            <w:noWrap w:val="0"/>
            <w:vAlign w:val="center"/>
          </w:tcPr>
          <w:p>
            <w:pPr>
              <w:keepNext w:val="0"/>
              <w:keepLines w:val="0"/>
              <w:pageBreakBefore w:val="0"/>
              <w:widowControl w:val="0"/>
              <w:numPr>
                <w:ilvl w:val="0"/>
                <w:numId w:val="23"/>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脚踏板：霍尔脚踏板符合GB/T 4208-2017标准，浸水试验:高度小于 850mm 的外壳最低点，应低于水面 1000mm，试验时间 30min。经浸水试验后，通电后能正常运行</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满足上述要求的得</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pPr>
              <w:keepNext w:val="0"/>
              <w:keepLines w:val="0"/>
              <w:pageBreakBefore w:val="0"/>
              <w:widowControl w:val="0"/>
              <w:numPr>
                <w:ilvl w:val="0"/>
                <w:numId w:val="23"/>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安全性：电控部份采用国标防漏电保护插头绝缘电阻满足GB/T 2099.1-2021标准，其中三级插孔-本体(外壳)≥7.1*10^5MΩ、接地-L≥1.07*10^4MΩ、接地-N≥1.05*10^4MΩ，满足上述要求的得</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pPr>
              <w:keepNext w:val="0"/>
              <w:keepLines w:val="0"/>
              <w:pageBreakBefore w:val="0"/>
              <w:widowControl w:val="0"/>
              <w:numPr>
                <w:ilvl w:val="0"/>
                <w:numId w:val="23"/>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电机具有:3n(r/min)负载:120KG 重量平顺运转功能，满足上述要求的得</w:t>
            </w:r>
            <w:r>
              <w:rPr>
                <w:rFonts w:hint="eastAsia" w:ascii="宋体" w:hAnsi="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en-US" w:eastAsia="zh-CN" w:bidi="ar-SA"/>
              </w:rPr>
              <w:t>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Chars="0"/>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评审依据：投标供应商投标文件中需提供满足上述要求的带有CNAS或CMA标识的符合GB/T 12350-2009标准的检测报告扫描件，未提供或不符的不得分。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pPr>
              <w:spacing w:before="3"/>
              <w:jc w:val="center"/>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高温电窑（3分）</w:t>
            </w:r>
          </w:p>
        </w:tc>
        <w:tc>
          <w:tcPr>
            <w:tcW w:w="8054" w:type="dxa"/>
            <w:noWrap w:val="0"/>
            <w:vAlign w:val="center"/>
          </w:tcPr>
          <w:p>
            <w:pPr>
              <w:keepNext w:val="0"/>
              <w:keepLines w:val="0"/>
              <w:pageBreakBefore w:val="0"/>
              <w:widowControl w:val="0"/>
              <w:numPr>
                <w:ilvl w:val="0"/>
                <w:numId w:val="24"/>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莫来石轻质砖(Al₂O₃)/%≥48、(Fe₂O₃)/%≤2.0</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符合GB/T6900-2016</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体积密度≤1.3 g/cm³符合GB/T2998-2015、常温耐压强度≥1.0MPa符合GB/T5072-2023、加热永久线变化试验温度（1250℃x12h）：-1.0%~0.5%符合GB/T5988-2022、导热系数热面温度 1200℃≤0.20W/m.k符合YB/T4130-2005，满足上述要求的得1分。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pPr>
              <w:keepNext w:val="0"/>
              <w:keepLines w:val="0"/>
              <w:pageBreakBefore w:val="0"/>
              <w:widowControl w:val="0"/>
              <w:numPr>
                <w:ilvl w:val="0"/>
                <w:numId w:val="24"/>
              </w:numPr>
              <w:kinsoku/>
              <w:wordWrap/>
              <w:overflowPunct/>
              <w:topLinePunct w:val="0"/>
              <w:autoSpaceDE/>
              <w:autoSpaceDN/>
              <w:bidi w:val="0"/>
              <w:adjustRightInd/>
              <w:snapToGrid w:val="0"/>
              <w:spacing w:line="400" w:lineRule="exact"/>
              <w:ind w:left="0" w:leftChars="0" w:firstLine="0" w:firstLine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钢材成分符合GB/T5213-2019标准；其中C≤0.04%、Mn≤0.15%、Ai≤0.035%、P≤0.02%、S≤0.01%，满足上述要求的得1分。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left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3.钢材拉伸性能符合GB/T228.1-2021和GB/T5213-2019标准；其中抗拉强度Rm在270-410MPa范围内、屈服强度Rp0.2≤230 MPa、断后伸长率A80mm≥37%；钢材耐腐蚀性能符合GB/T9274-1988-浸泡法并能通过不低于（72h、5%氢氧化钠）、（72h、10%硫酸）检测，检测后无起泡无开裂无剥落等现象，满足上述要求的得1分；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pPr>
              <w:spacing w:before="3"/>
              <w:jc w:val="center"/>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五层置</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物架</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（2分）</w:t>
            </w:r>
          </w:p>
        </w:tc>
        <w:tc>
          <w:tcPr>
            <w:tcW w:w="805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采用云杉木材质，木材材质满足GB/T 29894-2013和 GB/T16734-1997国家标准，并能通过此标准检测出木材科属，满足上述要求的得2分；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pPr>
              <w:spacing w:before="3"/>
              <w:jc w:val="center"/>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釉料配比工作台</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（4分）</w:t>
            </w:r>
          </w:p>
        </w:tc>
        <w:tc>
          <w:tcPr>
            <w:tcW w:w="8054" w:type="dxa"/>
            <w:noWrap w:val="0"/>
            <w:vAlign w:val="center"/>
          </w:tcPr>
          <w:p>
            <w:pPr>
              <w:keepNext w:val="0"/>
              <w:keepLines w:val="0"/>
              <w:pageBreakBefore w:val="0"/>
              <w:widowControl w:val="0"/>
              <w:numPr>
                <w:ilvl w:val="0"/>
                <w:numId w:val="25"/>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钢管成分符合 GB/T 700-2006 标准</w:t>
            </w:r>
            <w:r>
              <w:rPr>
                <w:rFonts w:hint="eastAsia" w:ascii="宋体" w:hAnsi="宋体" w:eastAsia="宋体" w:cs="宋体"/>
                <w:color w:val="auto"/>
                <w:kern w:val="2"/>
                <w:sz w:val="21"/>
                <w:szCs w:val="21"/>
                <w:highlight w:val="none"/>
                <w:lang w:val="en-US" w:eastAsia="zh-CN" w:bidi="ar-SA"/>
              </w:rPr>
              <w:t>，C≤0.15%、Si≤0.14%、Mn≤0.3%、P≤0.014%、S≤0.005%，满足上述要求的得2分；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采用检测标准 GB/T10125-2021，钢管通过不低于 24h 中性盐雾检测等级不低于10，满足上述要求的得2分； </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pPr>
              <w:spacing w:before="3"/>
              <w:jc w:val="center"/>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冷热水池（2分）</w:t>
            </w:r>
          </w:p>
        </w:tc>
        <w:tc>
          <w:tcPr>
            <w:tcW w:w="805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不锈钢拉伸性能满足GB/T 228.1-2021和GB/T 3280-2015：其中不锈钢抗拉强度Rm≥700mPa、屈服强度Rp0.2≥330MPa、断后伸长率A≥54%；不锈钢耐腐蚀性能符合GB/T 9274-1988-浸泡法并能通过不低于（72h、5%氢氧化钠）、（72h、10%硫酸）检测，检测后无起泡无开裂无剥落等现象，满足上述要求的得2分；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 w:hRule="atLeast"/>
        </w:trPr>
        <w:tc>
          <w:tcPr>
            <w:tcW w:w="915" w:type="dxa"/>
            <w:vMerge w:val="continue"/>
            <w:noWrap w:val="0"/>
            <w:vAlign w:val="center"/>
          </w:tcPr>
          <w:p>
            <w:pPr>
              <w:spacing w:before="3"/>
              <w:jc w:val="center"/>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水帘式吹釉柜（带转台）（4分）</w:t>
            </w:r>
          </w:p>
        </w:tc>
        <w:tc>
          <w:tcPr>
            <w:tcW w:w="8054"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1.转盘材质：铝合金成分符合GB/T3190-2020标准，其中Si≤0.40%、Fe≤0.18%、Mg≤0.65%、Cu≤0.01%、Zn≤0.02%、Mn≤0.01%、Cr≤0.01%、Ti≤0.011%，满足上述要求的得2分；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2.铝合金耐腐蚀性能符合GB/T9274-1988-浸泡法并能通过不低于（72h、5%氢氧化钠）、（72h、10%硫酸）检测，检测后无起泡无开裂无剥落等现象，满足上述要求的得2分；</w:t>
            </w:r>
          </w:p>
          <w:p>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left"/>
              <w:textAlignment w:val="auto"/>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b/>
                <w:bCs/>
                <w:color w:val="auto"/>
                <w:kern w:val="2"/>
                <w:sz w:val="21"/>
                <w:szCs w:val="21"/>
                <w:highlight w:val="none"/>
                <w:lang w:val="en-US" w:eastAsia="zh-CN" w:bidi="ar-SA"/>
              </w:rPr>
              <w:t>评审依据：投标供应商投标文件中需提供满足上述要求的带有CNAS及CMA标识的检测报告原件扫描件，未提供或不符的不得分。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915" w:type="dxa"/>
            <w:vMerge w:val="continue"/>
            <w:noWrap w:val="0"/>
            <w:vAlign w:val="center"/>
          </w:tcPr>
          <w:p>
            <w:pPr>
              <w:spacing w:before="3"/>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项目实施</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方案</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分）</w:t>
            </w:r>
          </w:p>
        </w:tc>
        <w:tc>
          <w:tcPr>
            <w:tcW w:w="8054"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 xml:space="preserve">供应商针对本项目制定项目项目实施方案，方案包含但不限于1、实施供货计划方案、2、项目质量控制方案、3、货物运输方案、4、应急保障措施方案、5、项目服务措施方案； </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评审依据：由评审委员进行评价：</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（1）方案整体科学合理、针对性强、可操作性强，评审为优，得</w:t>
            </w:r>
            <w:r>
              <w:rPr>
                <w:rFonts w:hint="eastAsia" w:ascii="宋体" w:hAnsi="宋体" w:cs="宋体"/>
                <w:b/>
                <w:bCs/>
                <w:color w:val="auto"/>
                <w:kern w:val="2"/>
                <w:sz w:val="21"/>
                <w:szCs w:val="21"/>
                <w:highlight w:val="none"/>
                <w:lang w:val="en-US" w:eastAsia="zh-CN" w:bidi="ar-SA"/>
              </w:rPr>
              <w:t>6</w:t>
            </w:r>
            <w:r>
              <w:rPr>
                <w:rFonts w:hint="eastAsia" w:ascii="宋体" w:hAnsi="宋体" w:eastAsia="宋体" w:cs="宋体"/>
                <w:b/>
                <w:bCs/>
                <w:color w:val="auto"/>
                <w:kern w:val="2"/>
                <w:sz w:val="21"/>
                <w:szCs w:val="21"/>
                <w:highlight w:val="none"/>
                <w:lang w:val="en-US" w:eastAsia="zh-CN" w:bidi="ar-SA"/>
              </w:rPr>
              <w:t>分；</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（2）方案较合理、有一定针对性、一定可操作性，评审为良，得</w:t>
            </w:r>
            <w:r>
              <w:rPr>
                <w:rFonts w:hint="eastAsia" w:ascii="宋体" w:hAnsi="宋体" w:cs="宋体"/>
                <w:b/>
                <w:bCs/>
                <w:color w:val="auto"/>
                <w:kern w:val="2"/>
                <w:sz w:val="21"/>
                <w:szCs w:val="21"/>
                <w:highlight w:val="none"/>
                <w:lang w:val="en-US" w:eastAsia="zh-CN" w:bidi="ar-SA"/>
              </w:rPr>
              <w:t>4</w:t>
            </w:r>
            <w:r>
              <w:rPr>
                <w:rFonts w:hint="eastAsia" w:ascii="宋体" w:hAnsi="宋体" w:eastAsia="宋体" w:cs="宋体"/>
                <w:b/>
                <w:bCs/>
                <w:color w:val="auto"/>
                <w:kern w:val="2"/>
                <w:sz w:val="21"/>
                <w:szCs w:val="21"/>
                <w:highlight w:val="none"/>
                <w:lang w:val="en-US" w:eastAsia="zh-CN" w:bidi="ar-SA"/>
              </w:rPr>
              <w:t>分；</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（3）方案不尽合理、针对性一般、可操作性一般，评审为中，得</w:t>
            </w:r>
            <w:r>
              <w:rPr>
                <w:rFonts w:hint="eastAsia" w:ascii="宋体" w:hAnsi="宋体" w:cs="宋体"/>
                <w:b/>
                <w:bCs/>
                <w:color w:val="auto"/>
                <w:kern w:val="2"/>
                <w:sz w:val="21"/>
                <w:szCs w:val="21"/>
                <w:highlight w:val="none"/>
                <w:lang w:val="en-US" w:eastAsia="zh-CN" w:bidi="ar-SA"/>
              </w:rPr>
              <w:t>2</w:t>
            </w:r>
            <w:r>
              <w:rPr>
                <w:rFonts w:hint="eastAsia" w:ascii="宋体" w:hAnsi="宋体" w:eastAsia="宋体" w:cs="宋体"/>
                <w:b/>
                <w:bCs/>
                <w:color w:val="auto"/>
                <w:kern w:val="2"/>
                <w:sz w:val="21"/>
                <w:szCs w:val="21"/>
                <w:highlight w:val="none"/>
                <w:lang w:val="en-US" w:eastAsia="zh-CN" w:bidi="ar-SA"/>
              </w:rPr>
              <w:t>分；</w:t>
            </w:r>
          </w:p>
          <w:p>
            <w:pPr>
              <w:wordWrap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（4）方案不合理、无针对性、无可操作性或未提供，评审为差，不加分。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7" w:hRule="atLeast"/>
        </w:trPr>
        <w:tc>
          <w:tcPr>
            <w:tcW w:w="915" w:type="dxa"/>
            <w:vMerge w:val="continue"/>
            <w:noWrap w:val="0"/>
            <w:vAlign w:val="center"/>
          </w:tcPr>
          <w:p>
            <w:pPr>
              <w:spacing w:before="3"/>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供货安装调试方案</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分）</w:t>
            </w:r>
          </w:p>
        </w:tc>
        <w:tc>
          <w:tcPr>
            <w:tcW w:w="8054"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供应商针对本项目制定供货安装调试方案，方案包含但不限于1、供货安装进度安排、2、供货保障方案、3、设备安装方案、4、系统调试方案、5、应急方案；</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评审依据：由评审委员进行评价：</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（1）方案整体科学合理、针对性强、可操作性强，评审为优，得</w:t>
            </w:r>
            <w:r>
              <w:rPr>
                <w:rFonts w:hint="eastAsia" w:ascii="宋体" w:hAnsi="宋体" w:cs="宋体"/>
                <w:b/>
                <w:bCs/>
                <w:color w:val="auto"/>
                <w:kern w:val="2"/>
                <w:sz w:val="21"/>
                <w:szCs w:val="21"/>
                <w:highlight w:val="none"/>
                <w:lang w:val="en-US" w:eastAsia="zh-CN" w:bidi="ar-SA"/>
              </w:rPr>
              <w:t>6</w:t>
            </w:r>
            <w:r>
              <w:rPr>
                <w:rFonts w:hint="eastAsia" w:ascii="宋体" w:hAnsi="宋体" w:eastAsia="宋体" w:cs="宋体"/>
                <w:b/>
                <w:bCs/>
                <w:color w:val="auto"/>
                <w:kern w:val="2"/>
                <w:sz w:val="21"/>
                <w:szCs w:val="21"/>
                <w:highlight w:val="none"/>
                <w:lang w:val="en-US" w:eastAsia="zh-CN" w:bidi="ar-SA"/>
              </w:rPr>
              <w:t>分；</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（2）方案较合理、有一定针对性、一定可操作性，评审为良，得</w:t>
            </w:r>
            <w:r>
              <w:rPr>
                <w:rFonts w:hint="eastAsia" w:ascii="宋体" w:hAnsi="宋体" w:cs="宋体"/>
                <w:b/>
                <w:bCs/>
                <w:color w:val="auto"/>
                <w:kern w:val="2"/>
                <w:sz w:val="21"/>
                <w:szCs w:val="21"/>
                <w:highlight w:val="none"/>
                <w:lang w:val="en-US" w:eastAsia="zh-CN" w:bidi="ar-SA"/>
              </w:rPr>
              <w:t>4</w:t>
            </w:r>
            <w:r>
              <w:rPr>
                <w:rFonts w:hint="eastAsia" w:ascii="宋体" w:hAnsi="宋体" w:eastAsia="宋体" w:cs="宋体"/>
                <w:b/>
                <w:bCs/>
                <w:color w:val="auto"/>
                <w:kern w:val="2"/>
                <w:sz w:val="21"/>
                <w:szCs w:val="21"/>
                <w:highlight w:val="none"/>
                <w:lang w:val="en-US" w:eastAsia="zh-CN" w:bidi="ar-SA"/>
              </w:rPr>
              <w:t>分；</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（3）方案不尽合理、针对性一般、可操作性一般，评审为中，得</w:t>
            </w:r>
            <w:r>
              <w:rPr>
                <w:rFonts w:hint="eastAsia" w:ascii="宋体" w:hAnsi="宋体" w:cs="宋体"/>
                <w:b/>
                <w:bCs/>
                <w:color w:val="auto"/>
                <w:kern w:val="2"/>
                <w:sz w:val="21"/>
                <w:szCs w:val="21"/>
                <w:highlight w:val="none"/>
                <w:lang w:val="en-US" w:eastAsia="zh-CN" w:bidi="ar-SA"/>
              </w:rPr>
              <w:t>2</w:t>
            </w:r>
            <w:r>
              <w:rPr>
                <w:rFonts w:hint="eastAsia" w:ascii="宋体" w:hAnsi="宋体" w:eastAsia="宋体" w:cs="宋体"/>
                <w:b/>
                <w:bCs/>
                <w:color w:val="auto"/>
                <w:kern w:val="2"/>
                <w:sz w:val="21"/>
                <w:szCs w:val="21"/>
                <w:highlight w:val="none"/>
                <w:lang w:val="en-US" w:eastAsia="zh-CN" w:bidi="ar-SA"/>
              </w:rPr>
              <w:t>分；</w:t>
            </w:r>
          </w:p>
          <w:p>
            <w:pPr>
              <w:wordWrap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（4）方案不合理、无针对性、无可操作性或未提供，评审为差，不加分。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47" w:hRule="atLeast"/>
        </w:trPr>
        <w:tc>
          <w:tcPr>
            <w:tcW w:w="915" w:type="dxa"/>
            <w:vMerge w:val="restart"/>
            <w:noWrap w:val="0"/>
            <w:vAlign w:val="center"/>
          </w:tcPr>
          <w:p>
            <w:pPr>
              <w:spacing w:before="3"/>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商务部分</w:t>
            </w:r>
          </w:p>
          <w:p>
            <w:pPr>
              <w:spacing w:before="3"/>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20</w:t>
            </w:r>
            <w:r>
              <w:rPr>
                <w:rFonts w:hint="eastAsia" w:ascii="宋体" w:hAnsi="宋体" w:eastAsia="宋体" w:cs="宋体"/>
                <w:color w:val="auto"/>
                <w:szCs w:val="21"/>
                <w:highlight w:val="none"/>
                <w:lang w:val="en-US" w:eastAsia="zh-CN"/>
              </w:rPr>
              <w:t>分）</w:t>
            </w:r>
          </w:p>
        </w:tc>
        <w:tc>
          <w:tcPr>
            <w:tcW w:w="99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运维及售后服务方案</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w:t>
            </w:r>
            <w:r>
              <w:rPr>
                <w:rFonts w:hint="eastAsia" w:ascii="宋体" w:hAnsi="宋体" w:cs="宋体"/>
                <w:color w:val="auto"/>
                <w:kern w:val="2"/>
                <w:sz w:val="21"/>
                <w:szCs w:val="21"/>
                <w:highlight w:val="none"/>
                <w:lang w:val="en-US" w:eastAsia="zh-CN" w:bidi="ar-SA"/>
              </w:rPr>
              <w:t>6</w:t>
            </w:r>
            <w:r>
              <w:rPr>
                <w:rFonts w:hint="eastAsia" w:ascii="宋体" w:hAnsi="宋体" w:eastAsia="宋体" w:cs="宋体"/>
                <w:color w:val="auto"/>
                <w:kern w:val="2"/>
                <w:sz w:val="21"/>
                <w:szCs w:val="21"/>
                <w:highlight w:val="none"/>
                <w:lang w:val="en-US" w:eastAsia="zh-CN" w:bidi="ar-SA"/>
              </w:rPr>
              <w:t>分）</w:t>
            </w:r>
          </w:p>
        </w:tc>
        <w:tc>
          <w:tcPr>
            <w:tcW w:w="8054"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供应商针对本项目制定运维及售后服务方案，包含但不限于以下：</w:t>
            </w:r>
          </w:p>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1.日常巡查与维护方案、2质量控制方案、3、培训计划、4售后方案；</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评审依据：由评审委员进行评价：</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（1）方案整体科学合理、针对性强、可操作性强，评审为优，得</w:t>
            </w:r>
            <w:r>
              <w:rPr>
                <w:rFonts w:hint="eastAsia" w:ascii="宋体" w:hAnsi="宋体" w:cs="宋体"/>
                <w:b/>
                <w:bCs/>
                <w:color w:val="auto"/>
                <w:kern w:val="2"/>
                <w:sz w:val="21"/>
                <w:szCs w:val="21"/>
                <w:highlight w:val="none"/>
                <w:lang w:val="en-US" w:eastAsia="zh-CN" w:bidi="ar-SA"/>
              </w:rPr>
              <w:t>6</w:t>
            </w:r>
            <w:r>
              <w:rPr>
                <w:rFonts w:hint="eastAsia" w:ascii="宋体" w:hAnsi="宋体" w:eastAsia="宋体" w:cs="宋体"/>
                <w:b/>
                <w:bCs/>
                <w:color w:val="auto"/>
                <w:kern w:val="2"/>
                <w:sz w:val="21"/>
                <w:szCs w:val="21"/>
                <w:highlight w:val="none"/>
                <w:lang w:val="en-US" w:eastAsia="zh-CN" w:bidi="ar-SA"/>
              </w:rPr>
              <w:t>分；</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（2）方案较合理、有一定针对性、一定可操作性，评审为良，得</w:t>
            </w:r>
            <w:r>
              <w:rPr>
                <w:rFonts w:hint="eastAsia" w:ascii="宋体" w:hAnsi="宋体" w:cs="宋体"/>
                <w:b/>
                <w:bCs/>
                <w:color w:val="auto"/>
                <w:kern w:val="2"/>
                <w:sz w:val="21"/>
                <w:szCs w:val="21"/>
                <w:highlight w:val="none"/>
                <w:lang w:val="en-US" w:eastAsia="zh-CN" w:bidi="ar-SA"/>
              </w:rPr>
              <w:t>4</w:t>
            </w:r>
            <w:r>
              <w:rPr>
                <w:rFonts w:hint="eastAsia" w:ascii="宋体" w:hAnsi="宋体" w:eastAsia="宋体" w:cs="宋体"/>
                <w:b/>
                <w:bCs/>
                <w:color w:val="auto"/>
                <w:kern w:val="2"/>
                <w:sz w:val="21"/>
                <w:szCs w:val="21"/>
                <w:highlight w:val="none"/>
                <w:lang w:val="en-US" w:eastAsia="zh-CN" w:bidi="ar-SA"/>
              </w:rPr>
              <w:t>分；</w:t>
            </w:r>
          </w:p>
          <w:p>
            <w:pPr>
              <w:wordWrap w:val="0"/>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（3）方案不尽合理、针对性一般、可操作性一般，评审为中，得</w:t>
            </w:r>
            <w:r>
              <w:rPr>
                <w:rFonts w:hint="eastAsia" w:ascii="宋体" w:hAnsi="宋体" w:cs="宋体"/>
                <w:b/>
                <w:bCs/>
                <w:color w:val="auto"/>
                <w:kern w:val="2"/>
                <w:sz w:val="21"/>
                <w:szCs w:val="21"/>
                <w:highlight w:val="none"/>
                <w:lang w:val="en-US" w:eastAsia="zh-CN" w:bidi="ar-SA"/>
              </w:rPr>
              <w:t>2</w:t>
            </w:r>
            <w:r>
              <w:rPr>
                <w:rFonts w:hint="eastAsia" w:ascii="宋体" w:hAnsi="宋体" w:eastAsia="宋体" w:cs="宋体"/>
                <w:b/>
                <w:bCs/>
                <w:color w:val="auto"/>
                <w:kern w:val="2"/>
                <w:sz w:val="21"/>
                <w:szCs w:val="21"/>
                <w:highlight w:val="none"/>
                <w:lang w:val="en-US" w:eastAsia="zh-CN" w:bidi="ar-SA"/>
              </w:rPr>
              <w:t>分；</w:t>
            </w:r>
          </w:p>
          <w:p>
            <w:pPr>
              <w:wordWrap w:val="0"/>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t>（4）方案不合理、无针对性、无可操作性或未提供，评审为差，不加分。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915" w:type="dxa"/>
            <w:vMerge w:val="continue"/>
            <w:noWrap w:val="0"/>
            <w:vAlign w:val="center"/>
          </w:tcPr>
          <w:p>
            <w:pPr>
              <w:spacing w:before="3"/>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企业认证</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zh-CN" w:eastAsia="zh-CN" w:bidi="ar-SA"/>
              </w:rPr>
              <w:t>（</w:t>
            </w:r>
            <w:r>
              <w:rPr>
                <w:rFonts w:hint="eastAsia" w:ascii="宋体" w:hAnsi="宋体" w:eastAsia="宋体" w:cs="宋体"/>
                <w:color w:val="auto"/>
                <w:kern w:val="2"/>
                <w:sz w:val="21"/>
                <w:szCs w:val="21"/>
                <w:highlight w:val="none"/>
                <w:lang w:val="en-US" w:eastAsia="zh-CN" w:bidi="ar-SA"/>
              </w:rPr>
              <w:t>8分</w:t>
            </w:r>
            <w:r>
              <w:rPr>
                <w:rFonts w:hint="eastAsia" w:ascii="宋体" w:hAnsi="宋体" w:eastAsia="宋体" w:cs="宋体"/>
                <w:color w:val="auto"/>
                <w:kern w:val="2"/>
                <w:sz w:val="21"/>
                <w:szCs w:val="21"/>
                <w:highlight w:val="none"/>
                <w:lang w:val="zh-CN" w:eastAsia="zh-CN" w:bidi="ar-SA"/>
              </w:rPr>
              <w:t>）</w:t>
            </w:r>
          </w:p>
        </w:tc>
        <w:tc>
          <w:tcPr>
            <w:tcW w:w="8054"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投标单位具备以下认证证书：1.质量管理体系认证证书；2.环境管理体系认证证书；3.职业健康安全管理体系认证证书；4.售后服务认证证书；以上证书</w:t>
            </w:r>
            <w:r>
              <w:rPr>
                <w:rFonts w:hint="eastAsia"/>
                <w:color w:val="auto"/>
                <w:lang w:eastAsia="zh-CN"/>
              </w:rPr>
              <w:t>每具备一项得</w:t>
            </w:r>
            <w:r>
              <w:rPr>
                <w:rFonts w:hint="eastAsia"/>
                <w:color w:val="auto"/>
                <w:lang w:val="en-US" w:eastAsia="zh-CN"/>
              </w:rPr>
              <w:t>2分</w:t>
            </w:r>
            <w:r>
              <w:rPr>
                <w:rFonts w:hint="eastAsia" w:ascii="宋体" w:hAnsi="宋体" w:eastAsia="宋体" w:cs="宋体"/>
                <w:color w:val="auto"/>
                <w:kern w:val="2"/>
                <w:sz w:val="21"/>
                <w:szCs w:val="21"/>
                <w:highlight w:val="none"/>
                <w:lang w:val="en-US" w:eastAsia="zh-CN" w:bidi="ar-SA"/>
              </w:rPr>
              <w:t>。</w:t>
            </w:r>
          </w:p>
          <w:p>
            <w:pPr>
              <w:numPr>
                <w:ilvl w:val="0"/>
                <w:numId w:val="0"/>
              </w:numPr>
              <w:wordWrap w:val="0"/>
              <w:jc w:val="left"/>
              <w:textAlignment w:val="auto"/>
              <w:rPr>
                <w:rFonts w:hint="eastAsia" w:ascii="宋体" w:hAnsi="宋体" w:eastAsia="宋体" w:cs="宋体"/>
                <w:color w:val="auto"/>
                <w:highlight w:val="none"/>
                <w:lang w:val="en-US" w:eastAsia="zh-CN"/>
              </w:rPr>
            </w:pPr>
            <w:r>
              <w:rPr>
                <w:rFonts w:hint="eastAsia" w:ascii="宋体" w:hAnsi="宋体" w:eastAsia="宋体" w:cs="宋体"/>
                <w:b/>
                <w:bCs/>
                <w:color w:val="auto"/>
                <w:kern w:val="2"/>
                <w:sz w:val="21"/>
                <w:szCs w:val="21"/>
                <w:highlight w:val="none"/>
                <w:lang w:val="en-US" w:eastAsia="zh-CN" w:bidi="ar-SA"/>
              </w:rPr>
              <w:t>评审依据：1、投标文件内提供认证证书原件扫描件，同时提供在全国认证认可信息公共服务平台（认e云）查询截图且显示有效（http://cx.cnca.cn）及编号一致；按要求提供以上资料，评分中出现无证明资料或专家无法凭所提供资料判断是否得分的情况，一律作不得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 w:hRule="atLeast"/>
        </w:trPr>
        <w:tc>
          <w:tcPr>
            <w:tcW w:w="915" w:type="dxa"/>
            <w:vMerge w:val="continue"/>
            <w:noWrap w:val="0"/>
            <w:vAlign w:val="center"/>
          </w:tcPr>
          <w:p>
            <w:pPr>
              <w:spacing w:before="3"/>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项目设计</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效果</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（3分）</w:t>
            </w:r>
          </w:p>
        </w:tc>
        <w:tc>
          <w:tcPr>
            <w:tcW w:w="8054"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zh-CN" w:eastAsia="zh-CN" w:bidi="ar-SA"/>
              </w:rPr>
            </w:pPr>
            <w:r>
              <w:rPr>
                <w:rFonts w:hint="eastAsia" w:ascii="宋体" w:hAnsi="宋体" w:eastAsia="宋体" w:cs="宋体"/>
                <w:color w:val="auto"/>
                <w:kern w:val="2"/>
                <w:sz w:val="21"/>
                <w:szCs w:val="21"/>
                <w:highlight w:val="none"/>
                <w:lang w:val="zh-CN" w:eastAsia="zh-CN" w:bidi="ar-SA"/>
              </w:rPr>
              <w:t>投标供应商能提供本项目设计图包含：</w:t>
            </w:r>
          </w:p>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宋体" w:hAnsi="宋体" w:eastAsia="宋体" w:cs="宋体"/>
                <w:color w:val="auto"/>
                <w:kern w:val="2"/>
                <w:sz w:val="21"/>
                <w:szCs w:val="21"/>
                <w:highlight w:val="none"/>
                <w:lang w:val="zh-CN" w:eastAsia="zh-CN" w:bidi="ar-SA"/>
              </w:rPr>
            </w:pPr>
            <w:r>
              <w:rPr>
                <w:rFonts w:hint="eastAsia" w:ascii="宋体" w:hAnsi="宋体" w:eastAsia="宋体" w:cs="宋体"/>
                <w:color w:val="auto"/>
                <w:kern w:val="2"/>
                <w:sz w:val="21"/>
                <w:szCs w:val="21"/>
                <w:highlight w:val="none"/>
                <w:lang w:val="en-US" w:eastAsia="zh-CN" w:bidi="ar-SA"/>
              </w:rPr>
              <w:t>1、投标单位</w:t>
            </w:r>
            <w:r>
              <w:rPr>
                <w:rFonts w:hint="eastAsia" w:ascii="宋体" w:hAnsi="宋体" w:eastAsia="宋体" w:cs="宋体"/>
                <w:color w:val="auto"/>
                <w:kern w:val="2"/>
                <w:sz w:val="21"/>
                <w:szCs w:val="21"/>
                <w:highlight w:val="none"/>
                <w:lang w:val="zh-CN" w:eastAsia="zh-CN" w:bidi="ar-SA"/>
              </w:rPr>
              <w:t>需提供</w:t>
            </w:r>
            <w:r>
              <w:rPr>
                <w:rFonts w:hint="eastAsia" w:ascii="宋体" w:hAnsi="宋体" w:eastAsia="宋体" w:cs="宋体"/>
                <w:color w:val="auto"/>
                <w:kern w:val="2"/>
                <w:sz w:val="21"/>
                <w:szCs w:val="21"/>
                <w:highlight w:val="none"/>
                <w:lang w:val="en-US" w:eastAsia="zh-CN" w:bidi="ar-SA"/>
              </w:rPr>
              <w:t>1</w:t>
            </w:r>
            <w:r>
              <w:rPr>
                <w:rFonts w:hint="eastAsia" w:ascii="宋体" w:hAnsi="宋体" w:eastAsia="宋体" w:cs="宋体"/>
                <w:color w:val="auto"/>
                <w:kern w:val="2"/>
                <w:sz w:val="21"/>
                <w:szCs w:val="21"/>
                <w:highlight w:val="none"/>
                <w:lang w:val="zh-CN" w:eastAsia="zh-CN" w:bidi="ar-SA"/>
              </w:rPr>
              <w:t>张全比例标注版整体平面</w:t>
            </w:r>
            <w:r>
              <w:rPr>
                <w:rFonts w:hint="eastAsia" w:ascii="宋体" w:hAnsi="宋体" w:eastAsia="宋体" w:cs="宋体"/>
                <w:color w:val="auto"/>
                <w:kern w:val="2"/>
                <w:sz w:val="21"/>
                <w:szCs w:val="21"/>
                <w:highlight w:val="none"/>
                <w:lang w:val="en-US" w:eastAsia="zh-CN" w:bidi="ar-SA"/>
              </w:rPr>
              <w:t>布局</w:t>
            </w:r>
            <w:r>
              <w:rPr>
                <w:rFonts w:hint="eastAsia" w:ascii="宋体" w:hAnsi="宋体" w:eastAsia="宋体" w:cs="宋体"/>
                <w:color w:val="auto"/>
                <w:kern w:val="2"/>
                <w:sz w:val="21"/>
                <w:szCs w:val="21"/>
                <w:highlight w:val="none"/>
                <w:lang w:val="zh-CN" w:eastAsia="zh-CN" w:bidi="ar-SA"/>
              </w:rPr>
              <w:t>图，</w:t>
            </w:r>
            <w:r>
              <w:rPr>
                <w:rFonts w:hint="eastAsia" w:ascii="宋体" w:hAnsi="宋体" w:eastAsia="宋体" w:cs="宋体"/>
                <w:color w:val="auto"/>
                <w:kern w:val="2"/>
                <w:sz w:val="21"/>
                <w:szCs w:val="21"/>
                <w:highlight w:val="none"/>
                <w:lang w:val="en-US" w:eastAsia="zh-CN" w:bidi="ar-SA"/>
              </w:rPr>
              <w:t>能</w:t>
            </w:r>
            <w:r>
              <w:rPr>
                <w:rFonts w:hint="eastAsia" w:ascii="宋体" w:hAnsi="宋体" w:eastAsia="宋体" w:cs="宋体"/>
                <w:color w:val="auto"/>
                <w:kern w:val="2"/>
                <w:sz w:val="21"/>
                <w:szCs w:val="21"/>
                <w:highlight w:val="none"/>
                <w:lang w:val="zh-CN" w:eastAsia="zh-CN" w:bidi="ar-SA"/>
              </w:rPr>
              <w:t>满足以下技术标准：全比例绘制，尺寸标注精确 ，无缩放误差，图中实体信息</w:t>
            </w:r>
            <w:r>
              <w:rPr>
                <w:rFonts w:hint="eastAsia" w:ascii="宋体" w:hAnsi="宋体" w:eastAsia="宋体" w:cs="宋体"/>
                <w:color w:val="auto"/>
                <w:kern w:val="2"/>
                <w:sz w:val="21"/>
                <w:szCs w:val="21"/>
                <w:highlight w:val="none"/>
                <w:lang w:val="en-US" w:eastAsia="zh-CN" w:bidi="ar-SA"/>
              </w:rPr>
              <w:t>能够反映出：①基础功能设施：卫生间、电梯（含无障碍无机房电梯）、楼梯（1# 楼梯）等是否标注齐全且位置合理。②实验室设备（陶艺设备）标注清晰度：标注文字清晰、布局合理、图例对应准确，视觉设计简洁大方</w:t>
            </w:r>
            <w:r>
              <w:rPr>
                <w:rFonts w:hint="eastAsia" w:ascii="宋体" w:hAnsi="宋体" w:eastAsia="宋体" w:cs="宋体"/>
                <w:color w:val="auto"/>
                <w:kern w:val="2"/>
                <w:sz w:val="21"/>
                <w:szCs w:val="21"/>
                <w:highlight w:val="none"/>
                <w:lang w:val="zh-CN" w:eastAsia="zh-CN" w:bidi="ar-SA"/>
              </w:rPr>
              <w:t>。</w:t>
            </w:r>
          </w:p>
          <w:p>
            <w:pPr>
              <w:numPr>
                <w:ilvl w:val="0"/>
                <w:numId w:val="0"/>
              </w:numPr>
              <w:wordWrap w:val="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zh-CN" w:eastAsia="zh-CN" w:bidi="ar-SA"/>
              </w:rPr>
              <w:t>评分依据：</w:t>
            </w:r>
            <w:r>
              <w:rPr>
                <w:rFonts w:hint="eastAsia" w:ascii="宋体" w:hAnsi="宋体" w:eastAsia="宋体" w:cs="宋体"/>
                <w:b/>
                <w:bCs/>
                <w:color w:val="auto"/>
                <w:kern w:val="2"/>
                <w:sz w:val="21"/>
                <w:szCs w:val="21"/>
                <w:highlight w:val="none"/>
                <w:lang w:val="en-US" w:eastAsia="zh-CN" w:bidi="ar-SA"/>
              </w:rPr>
              <w:t>1、</w:t>
            </w:r>
            <w:r>
              <w:rPr>
                <w:rFonts w:hint="eastAsia" w:ascii="宋体" w:hAnsi="宋体" w:eastAsia="宋体" w:cs="宋体"/>
                <w:b/>
                <w:bCs/>
                <w:color w:val="auto"/>
                <w:kern w:val="2"/>
                <w:sz w:val="21"/>
                <w:szCs w:val="21"/>
                <w:highlight w:val="none"/>
                <w:lang w:val="zh-CN" w:eastAsia="zh-CN" w:bidi="ar-SA"/>
              </w:rPr>
              <w:t>图纸完整准确规范：响应文件中提供符合上述要求的图纸（图纸需备注项目名称及图纸名称），图纸绘制符合行业规范，线条清晰、图例明确、比例准确，标注方式统一规范，整体排版合理；同时图纸内容符合现场实际情况，无乱写乱画现象，得</w:t>
            </w:r>
            <w:r>
              <w:rPr>
                <w:rFonts w:hint="eastAsia" w:ascii="宋体" w:hAnsi="宋体" w:eastAsia="宋体" w:cs="宋体"/>
                <w:b/>
                <w:bCs/>
                <w:color w:val="auto"/>
                <w:kern w:val="2"/>
                <w:sz w:val="21"/>
                <w:szCs w:val="21"/>
                <w:highlight w:val="none"/>
                <w:lang w:val="en-US" w:eastAsia="zh-CN" w:bidi="ar-SA"/>
              </w:rPr>
              <w:t>3</w:t>
            </w:r>
            <w:r>
              <w:rPr>
                <w:rFonts w:hint="eastAsia" w:ascii="宋体" w:hAnsi="宋体" w:eastAsia="宋体" w:cs="宋体"/>
                <w:b/>
                <w:bCs/>
                <w:color w:val="auto"/>
                <w:kern w:val="2"/>
                <w:sz w:val="21"/>
                <w:szCs w:val="21"/>
                <w:highlight w:val="none"/>
                <w:lang w:val="zh-CN" w:eastAsia="zh-CN" w:bidi="ar-SA"/>
              </w:rPr>
              <w:t>分。未提供</w:t>
            </w:r>
            <w:r>
              <w:rPr>
                <w:rFonts w:hint="eastAsia" w:ascii="宋体" w:hAnsi="宋体" w:eastAsia="宋体" w:cs="宋体"/>
                <w:b/>
                <w:bCs/>
                <w:color w:val="auto"/>
                <w:kern w:val="2"/>
                <w:sz w:val="21"/>
                <w:szCs w:val="21"/>
                <w:highlight w:val="none"/>
                <w:lang w:val="en-US" w:eastAsia="zh-CN" w:bidi="ar-SA"/>
              </w:rPr>
              <w:t>或未按</w:t>
            </w:r>
            <w:r>
              <w:rPr>
                <w:rFonts w:hint="eastAsia" w:ascii="宋体" w:hAnsi="宋体" w:eastAsia="宋体" w:cs="宋体"/>
                <w:b/>
                <w:bCs/>
                <w:color w:val="auto"/>
                <w:kern w:val="2"/>
                <w:sz w:val="21"/>
                <w:szCs w:val="21"/>
                <w:highlight w:val="none"/>
                <w:lang w:val="zh-CN" w:eastAsia="zh-CN" w:bidi="ar-SA"/>
              </w:rPr>
              <w:t>上述要求</w:t>
            </w:r>
            <w:r>
              <w:rPr>
                <w:rFonts w:hint="eastAsia" w:ascii="宋体" w:hAnsi="宋体" w:eastAsia="宋体" w:cs="宋体"/>
                <w:b/>
                <w:bCs/>
                <w:color w:val="auto"/>
                <w:kern w:val="2"/>
                <w:sz w:val="21"/>
                <w:szCs w:val="21"/>
                <w:highlight w:val="none"/>
                <w:lang w:val="en-US" w:eastAsia="zh-CN" w:bidi="ar-SA"/>
              </w:rPr>
              <w:t>提供</w:t>
            </w:r>
            <w:r>
              <w:rPr>
                <w:rFonts w:hint="eastAsia" w:ascii="宋体" w:hAnsi="宋体" w:eastAsia="宋体" w:cs="宋体"/>
                <w:b/>
                <w:bCs/>
                <w:color w:val="auto"/>
                <w:kern w:val="2"/>
                <w:sz w:val="21"/>
                <w:szCs w:val="21"/>
                <w:highlight w:val="none"/>
                <w:lang w:val="zh-CN" w:eastAsia="zh-CN" w:bidi="ar-SA"/>
              </w:rPr>
              <w:t>图纸，不得分。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 w:hRule="atLeast"/>
        </w:trPr>
        <w:tc>
          <w:tcPr>
            <w:tcW w:w="915" w:type="dxa"/>
            <w:vMerge w:val="continue"/>
            <w:noWrap w:val="0"/>
            <w:vAlign w:val="center"/>
          </w:tcPr>
          <w:p>
            <w:pPr>
              <w:spacing w:before="3"/>
              <w:rPr>
                <w:rFonts w:hint="eastAsia" w:ascii="宋体" w:hAnsi="宋体" w:eastAsia="宋体" w:cs="宋体"/>
                <w:color w:val="auto"/>
                <w:szCs w:val="21"/>
                <w:highlight w:val="none"/>
              </w:rPr>
            </w:pPr>
          </w:p>
        </w:tc>
        <w:tc>
          <w:tcPr>
            <w:tcW w:w="99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投标人的类似业绩</w:t>
            </w:r>
            <w:r>
              <w:rPr>
                <w:rFonts w:hint="eastAsia" w:ascii="宋体" w:hAnsi="宋体" w:eastAsia="宋体" w:cs="宋体"/>
                <w:color w:val="auto"/>
                <w:kern w:val="2"/>
                <w:sz w:val="21"/>
                <w:szCs w:val="21"/>
                <w:highlight w:val="none"/>
                <w:lang w:val="en-US" w:eastAsia="zh-CN" w:bidi="ar-SA"/>
              </w:rPr>
              <w:t>（3分）</w:t>
            </w:r>
          </w:p>
        </w:tc>
        <w:tc>
          <w:tcPr>
            <w:tcW w:w="8054" w:type="dxa"/>
            <w:noWrap w:val="0"/>
            <w:vAlign w:val="center"/>
          </w:tcPr>
          <w:p>
            <w:pPr>
              <w:numPr>
                <w:ilvl w:val="0"/>
                <w:numId w:val="0"/>
              </w:numPr>
              <w:wordWrap w:val="0"/>
              <w:jc w:val="left"/>
              <w:textAlignment w:val="auto"/>
              <w:rPr>
                <w:rFonts w:hint="default" w:ascii="宋体" w:hAnsi="宋体" w:eastAsia="宋体" w:cs="宋体"/>
                <w:b/>
                <w:bCs/>
                <w:color w:val="auto"/>
                <w:kern w:val="2"/>
                <w:sz w:val="21"/>
                <w:szCs w:val="21"/>
                <w:highlight w:val="none"/>
                <w:lang w:val="en-US" w:eastAsia="zh-CN" w:bidi="ar-SA"/>
              </w:rPr>
            </w:pPr>
            <w:r>
              <w:rPr>
                <w:rFonts w:hint="eastAsia" w:ascii="宋体" w:hAnsi="宋体" w:cs="宋体"/>
                <w:b w:val="0"/>
                <w:bCs w:val="0"/>
                <w:color w:val="auto"/>
                <w:kern w:val="2"/>
                <w:sz w:val="21"/>
                <w:szCs w:val="21"/>
                <w:highlight w:val="none"/>
                <w:lang w:val="zh-CN" w:eastAsia="zh-CN" w:bidi="ar-SA"/>
              </w:rPr>
              <w:t>根据投标人202</w:t>
            </w:r>
            <w:r>
              <w:rPr>
                <w:rFonts w:hint="eastAsia" w:ascii="宋体" w:hAnsi="宋体" w:cs="宋体"/>
                <w:b w:val="0"/>
                <w:bCs w:val="0"/>
                <w:color w:val="auto"/>
                <w:kern w:val="2"/>
                <w:sz w:val="21"/>
                <w:szCs w:val="21"/>
                <w:highlight w:val="none"/>
                <w:lang w:val="en-US" w:eastAsia="zh-CN" w:bidi="ar-SA"/>
              </w:rPr>
              <w:t>2</w:t>
            </w:r>
            <w:r>
              <w:rPr>
                <w:rFonts w:hint="eastAsia" w:ascii="宋体" w:hAnsi="宋体" w:cs="宋体"/>
                <w:b w:val="0"/>
                <w:bCs w:val="0"/>
                <w:color w:val="auto"/>
                <w:kern w:val="2"/>
                <w:sz w:val="21"/>
                <w:szCs w:val="21"/>
                <w:highlight w:val="none"/>
                <w:lang w:val="zh-CN" w:eastAsia="zh-CN" w:bidi="ar-SA"/>
              </w:rPr>
              <w:t>年1月1日以来的同类项目业绩打分（时间以合同签订日期为准），每提供一个业绩得1分；最多得</w:t>
            </w:r>
            <w:r>
              <w:rPr>
                <w:rFonts w:hint="eastAsia" w:ascii="宋体" w:hAnsi="宋体" w:cs="宋体"/>
                <w:b w:val="0"/>
                <w:bCs w:val="0"/>
                <w:color w:val="auto"/>
                <w:kern w:val="2"/>
                <w:sz w:val="21"/>
                <w:szCs w:val="21"/>
                <w:highlight w:val="none"/>
                <w:lang w:val="en-US" w:eastAsia="zh-CN" w:bidi="ar-SA"/>
              </w:rPr>
              <w:t>3</w:t>
            </w:r>
            <w:r>
              <w:rPr>
                <w:rFonts w:hint="eastAsia" w:ascii="宋体" w:hAnsi="宋体" w:cs="宋体"/>
                <w:b w:val="0"/>
                <w:bCs w:val="0"/>
                <w:color w:val="auto"/>
                <w:kern w:val="2"/>
                <w:sz w:val="21"/>
                <w:szCs w:val="21"/>
                <w:highlight w:val="none"/>
                <w:lang w:val="zh-CN" w:eastAsia="zh-CN" w:bidi="ar-SA"/>
              </w:rPr>
              <w:t>分。每个业绩需提供中标通知书或合同扫描件，不提供或不符合要求的不得分。</w:t>
            </w:r>
          </w:p>
        </w:tc>
      </w:tr>
    </w:tbl>
    <w:p>
      <w:pPr>
        <w:pStyle w:val="39"/>
        <w:spacing w:line="440" w:lineRule="exact"/>
        <w:ind w:left="0" w:leftChars="0" w:firstLine="0" w:firstLineChars="0"/>
        <w:rPr>
          <w:rFonts w:hint="eastAsia" w:ascii="宋体" w:hAnsi="宋体" w:eastAsia="宋体" w:cs="宋体"/>
          <w:bCs/>
          <w:color w:val="auto"/>
          <w:sz w:val="21"/>
          <w:szCs w:val="21"/>
          <w:highlight w:val="none"/>
        </w:rPr>
      </w:pPr>
      <w:r>
        <w:rPr>
          <w:rFonts w:hint="eastAsia" w:ascii="宋体" w:hAnsi="宋体" w:eastAsia="宋体" w:cs="宋体"/>
          <w:b/>
          <w:bCs/>
          <w:color w:val="auto"/>
          <w:sz w:val="21"/>
          <w:szCs w:val="21"/>
          <w:highlight w:val="none"/>
        </w:rPr>
        <w:t>注：</w:t>
      </w:r>
      <w:r>
        <w:rPr>
          <w:rFonts w:hint="eastAsia" w:ascii="宋体" w:hAnsi="宋体" w:eastAsia="宋体" w:cs="宋体"/>
          <w:b/>
          <w:bCs/>
          <w:color w:val="auto"/>
          <w:sz w:val="21"/>
          <w:szCs w:val="21"/>
          <w:highlight w:val="none"/>
          <w:lang w:eastAsia="zh-CN"/>
        </w:rPr>
        <w:t>投标供应商</w:t>
      </w:r>
      <w:r>
        <w:rPr>
          <w:rFonts w:hint="eastAsia" w:ascii="宋体" w:hAnsi="宋体" w:eastAsia="宋体" w:cs="宋体"/>
          <w:b/>
          <w:bCs/>
          <w:color w:val="auto"/>
          <w:sz w:val="21"/>
          <w:szCs w:val="21"/>
          <w:highlight w:val="none"/>
        </w:rPr>
        <w:t>义务</w:t>
      </w:r>
    </w:p>
    <w:p>
      <w:pPr>
        <w:snapToGrid w:val="0"/>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投标供应商</w:t>
      </w:r>
      <w:r>
        <w:rPr>
          <w:rFonts w:hint="eastAsia" w:ascii="宋体" w:hAnsi="宋体" w:eastAsia="宋体" w:cs="宋体"/>
          <w:color w:val="auto"/>
          <w:sz w:val="21"/>
          <w:szCs w:val="21"/>
          <w:highlight w:val="none"/>
        </w:rPr>
        <w:t>应随时随地答复评标委员会的询标，解答包括有关的商务、技术问题等。评标结束，所有评标资料存</w:t>
      </w:r>
      <w:r>
        <w:rPr>
          <w:rFonts w:hint="eastAsia" w:ascii="宋体" w:hAnsi="宋体" w:eastAsia="宋体" w:cs="宋体"/>
          <w:color w:val="auto"/>
          <w:sz w:val="21"/>
          <w:szCs w:val="21"/>
          <w:highlight w:val="none"/>
          <w:lang w:eastAsia="zh-CN"/>
        </w:rPr>
        <w:t>温州瓯瓷产业发展有限公司</w:t>
      </w:r>
      <w:r>
        <w:rPr>
          <w:rFonts w:hint="eastAsia" w:ascii="宋体" w:hAnsi="宋体" w:eastAsia="宋体" w:cs="宋体"/>
          <w:color w:val="auto"/>
          <w:sz w:val="21"/>
          <w:szCs w:val="21"/>
          <w:highlight w:val="none"/>
        </w:rPr>
        <w:t>备查。</w:t>
      </w:r>
    </w:p>
    <w:p>
      <w:pPr>
        <w:snapToGrid w:val="0"/>
        <w:spacing w:line="440" w:lineRule="exact"/>
        <w:ind w:firstLine="422" w:firstLineChars="200"/>
        <w:rPr>
          <w:rFonts w:hint="eastAsia" w:ascii="宋体" w:hAnsi="宋体" w:eastAsia="宋体" w:cs="宋体"/>
          <w:b/>
          <w:bCs/>
          <w:snapToGrid w:val="0"/>
          <w:color w:val="auto"/>
          <w:sz w:val="21"/>
          <w:szCs w:val="21"/>
          <w:highlight w:val="none"/>
        </w:rPr>
      </w:pPr>
      <w:r>
        <w:rPr>
          <w:rFonts w:hint="eastAsia" w:ascii="宋体" w:hAnsi="宋体" w:eastAsia="宋体" w:cs="宋体"/>
          <w:b/>
          <w:bCs/>
          <w:snapToGrid w:val="0"/>
          <w:color w:val="auto"/>
          <w:sz w:val="21"/>
          <w:szCs w:val="21"/>
          <w:highlight w:val="none"/>
        </w:rPr>
        <w:t>未尽事宜按有关法律法规规定执行。</w:t>
      </w:r>
    </w:p>
    <w:sectPr>
      <w:headerReference r:id="rId10" w:type="default"/>
      <w:footerReference r:id="rId11" w:type="default"/>
      <w:pgSz w:w="11906" w:h="16838"/>
      <w:pgMar w:top="1244" w:right="1418" w:bottom="1134" w:left="1418" w:header="680" w:footer="992" w:gutter="0"/>
      <w:pgBorders>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综艺简体">
    <w:altName w:val="微软雅黑"/>
    <w:panose1 w:val="02010601030101010101"/>
    <w:charset w:val="86"/>
    <w:family w:val="auto"/>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roman"/>
    <w:pitch w:val="default"/>
    <w:sig w:usb0="F7FFAEFF" w:usb1="F9DFFFFF" w:usb2="0000007F" w:usb3="00000000" w:csb0="203F01FF" w:csb1="DFFF0000"/>
  </w:font>
  <w:font w:name="Arial Black">
    <w:panose1 w:val="020B0A04020102020204"/>
    <w:charset w:val="00"/>
    <w:family w:val="swiss"/>
    <w:pitch w:val="default"/>
    <w:sig w:usb0="A00002AF" w:usb1="400078FB" w:usb2="00000000" w:usb3="00000000" w:csb0="6000009F" w:csb1="DFD70000"/>
  </w:font>
  <w:font w:name="Calibri Light">
    <w:panose1 w:val="020F0302020204030204"/>
    <w:charset w:val="00"/>
    <w:family w:val="swiss"/>
    <w:pitch w:val="default"/>
    <w:sig w:usb0="E4002EFF" w:usb1="C2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1"/>
                          </w:pPr>
                          <w:r>
                            <w:fldChar w:fldCharType="begin"/>
                          </w:r>
                          <w:r>
                            <w:instrText xml:space="preserve"> PAGE  \* MERGEFORMAT </w:instrText>
                          </w:r>
                          <w:r>
                            <w:fldChar w:fldCharType="separate"/>
                          </w:r>
                          <w:r>
                            <w:t>- 1 -</w:t>
                          </w:r>
                          <w:r>
                            <w:fldChar w:fldCharType="end"/>
                          </w:r>
                        </w:p>
                      </w:txbxContent>
                    </wps:txbx>
                    <wps:bodyPr vert="horz" wrap="none" lIns="0" tIns="0" rIns="0" bIns="0" anchor="t" anchorCtr="0" upright="0">
                      <a:spAutoFit/>
                    </wps:bodyPr>
                  </wps:wsp>
                </a:graphicData>
              </a:graphic>
            </wp:anchor>
          </w:drawing>
        </mc:Choice>
        <mc:Fallback>
          <w:pict>
            <v:shape id="文本框 4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JOAL7N8BAAC/AwAADgAAAAAA&#10;AAABACAAAAAeAQAAZHJzL2Uyb0RvYy54bWxQSwUGAAAAAAYABgBZAQAAbwUAAAAA&#10;">
              <v:fill on="f" focussize="0,0"/>
              <v:stroke on="f"/>
              <v:imagedata o:title=""/>
              <o:lock v:ext="edit" aspectratio="f"/>
              <v:textbox inset="0mm,0mm,0mm,0mm" style="mso-fit-shape-to-text:t;">
                <w:txbxContent>
                  <w:p>
                    <w:pPr>
                      <w:pStyle w:val="31"/>
                    </w:pPr>
                    <w:r>
                      <w:fldChar w:fldCharType="begin"/>
                    </w:r>
                    <w:r>
                      <w:instrText xml:space="preserve"> PAGE  \* MERGEFORMAT </w:instrText>
                    </w:r>
                    <w:r>
                      <w:fldChar w:fldCharType="separate"/>
                    </w:r>
                    <w:r>
                      <w:t>- 1 -</w:t>
                    </w:r>
                    <w: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4" w:lineRule="auto"/>
      <w:ind w:left="4718"/>
      <w:rPr>
        <w:rFonts w:ascii="Arial" w:hAnsi="Arial" w:eastAsia="Arial" w:cs="Arial"/>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posOffset>2908935</wp:posOffset>
              </wp:positionH>
              <wp:positionV relativeFrom="paragraph">
                <wp:posOffset>-23495</wp:posOffset>
              </wp:positionV>
              <wp:extent cx="1828800" cy="1828800"/>
              <wp:effectExtent l="0" t="0" r="0" b="0"/>
              <wp:wrapNone/>
              <wp:docPr id="8"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1"/>
                          </w:pPr>
                          <w:r>
                            <w:t xml:space="preserve">第 </w:t>
                          </w:r>
                          <w:r>
                            <w:fldChar w:fldCharType="begin"/>
                          </w:r>
                          <w:r>
                            <w:instrText xml:space="preserve"> PAGE  \* MERGEFORMAT </w:instrText>
                          </w:r>
                          <w:r>
                            <w:fldChar w:fldCharType="separate"/>
                          </w:r>
                          <w:r>
                            <w:t>23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5" o:spid="_x0000_s1026" o:spt="202" type="#_x0000_t202" style="position:absolute;left:0pt;margin-left:229.05pt;margin-top:-1.85pt;height:144pt;width:144pt;mso-position-horizontal-relative:margin;mso-wrap-style:none;z-index:251664384;mso-width-relative:page;mso-height-relative:page;" filled="f" stroked="f" coordsize="21600,21600" o:gfxdata="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FtrSinYAAAACgEAAA8AAAAAAAAAAQAgAAAAIgAAAGRycy9kb3du&#10;cmV2LnhtbFBLAQIUABQAAAAIAIdO4kA0UJwYOAIAAG8EAAAOAAAAAAAAAAEAIAAAACcBAABkcnMv&#10;ZTJvRG9jLnhtbFBLBQYAAAAABgAGAFkBAADRBQAAAAA=&#10;">
              <v:fill on="f" focussize="0,0"/>
              <v:stroke on="f" weight="0.5pt"/>
              <v:imagedata o:title=""/>
              <o:lock v:ext="edit" aspectratio="f"/>
              <v:textbox inset="0mm,0mm,0mm,0mm" style="mso-fit-shape-to-text:t;">
                <w:txbxContent>
                  <w:p>
                    <w:pPr>
                      <w:pStyle w:val="31"/>
                    </w:pPr>
                    <w:r>
                      <w:t xml:space="preserve">第 </w:t>
                    </w:r>
                    <w:r>
                      <w:fldChar w:fldCharType="begin"/>
                    </w:r>
                    <w:r>
                      <w:instrText xml:space="preserve"> PAGE  \* MERGEFORMAT </w:instrText>
                    </w:r>
                    <w:r>
                      <w:fldChar w:fldCharType="separate"/>
                    </w:r>
                    <w:r>
                      <w:t>23</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5" w:lineRule="auto"/>
      <w:ind w:left="4565"/>
      <w:rPr>
        <w:rFonts w:ascii="Arial" w:hAnsi="Arial" w:eastAsia="Arial" w:cs="Arial"/>
        <w:sz w:val="17"/>
        <w:szCs w:val="17"/>
      </w:rPr>
    </w:pPr>
    <w:r>
      <w:rPr>
        <w:sz w:val="17"/>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1"/>
                          </w:pPr>
                          <w:r>
                            <w:fldChar w:fldCharType="begin"/>
                          </w:r>
                          <w:r>
                            <w:instrText xml:space="preserve"> PAGE  \* MERGEFORMAT </w:instrText>
                          </w:r>
                          <w:r>
                            <w:fldChar w:fldCharType="separate"/>
                          </w:r>
                          <w:r>
                            <w:t>- 2 -</w:t>
                          </w:r>
                          <w:r>
                            <w:fldChar w:fldCharType="end"/>
                          </w:r>
                        </w:p>
                      </w:txbxContent>
                    </wps:txbx>
                    <wps:bodyPr vert="horz" wrap="none" lIns="0" tIns="0" rIns="0" bIns="0" anchor="t" anchorCtr="0" upright="0">
                      <a:spAutoFit/>
                    </wps:bodyPr>
                  </wps:wsp>
                </a:graphicData>
              </a:graphic>
            </wp:anchor>
          </w:drawing>
        </mc:Choice>
        <mc:Fallback>
          <w:pict>
            <v:shape id="文本框 4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7QFljt8BAAC/AwAADgAAAAAA&#10;AAABACAAAAAeAQAAZHJzL2Uyb0RvYy54bWxQSwUGAAAAAAYABgBZAQAAbwUAAAAA&#10;">
              <v:fill on="f" focussize="0,0"/>
              <v:stroke on="f"/>
              <v:imagedata o:title=""/>
              <o:lock v:ext="edit" aspectratio="f"/>
              <v:textbox inset="0mm,0mm,0mm,0mm" style="mso-fit-shape-to-text:t;">
                <w:txbxContent>
                  <w:p>
                    <w:pPr>
                      <w:pStyle w:val="31"/>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ascii="华文行楷" w:eastAsia="华文行楷"/>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1"/>
                          </w:pPr>
                          <w:r>
                            <w:fldChar w:fldCharType="begin"/>
                          </w:r>
                          <w:r>
                            <w:instrText xml:space="preserve"> PAGE  \* MERGEFORMAT </w:instrText>
                          </w:r>
                          <w:r>
                            <w:fldChar w:fldCharType="separate"/>
                          </w:r>
                          <w:r>
                            <w:t>- 56 -</w:t>
                          </w:r>
                          <w:r>
                            <w:fldChar w:fldCharType="end"/>
                          </w:r>
                        </w:p>
                      </w:txbxContent>
                    </wps:txbx>
                    <wps:bodyPr vert="horz" wrap="none" lIns="0" tIns="0" rIns="0" bIns="0" anchor="t" anchorCtr="0" upright="0">
                      <a:spAutoFit/>
                    </wps:bodyPr>
                  </wps:wsp>
                </a:graphicData>
              </a:graphic>
            </wp:anchor>
          </w:drawing>
        </mc:Choice>
        <mc:Fallback>
          <w:pict>
            <v:shape id="文本框 4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qXr+v3gEAAL8DAAAOAAAAAAAA&#10;AAEAIAAAAB4BAABkcnMvZTJvRG9jLnhtbFBLBQYAAAAABgAGAFkBAABuBQAAAAA=&#10;">
              <v:fill on="f" focussize="0,0"/>
              <v:stroke on="f"/>
              <v:imagedata o:title=""/>
              <o:lock v:ext="edit" aspectratio="f"/>
              <v:textbox inset="0mm,0mm,0mm,0mm" style="mso-fit-shape-to-text:t;">
                <w:txbxContent>
                  <w:p>
                    <w:pPr>
                      <w:pStyle w:val="31"/>
                    </w:pPr>
                    <w:r>
                      <w:fldChar w:fldCharType="begin"/>
                    </w:r>
                    <w:r>
                      <w:instrText xml:space="preserve"> PAGE  \* MERGEFORMAT </w:instrText>
                    </w:r>
                    <w:r>
                      <w:fldChar w:fldCharType="separate"/>
                    </w:r>
                    <w:r>
                      <w:t>- 56 -</w:t>
                    </w:r>
                    <w:r>
                      <w:fldChar w:fldCharType="end"/>
                    </w:r>
                  </w:p>
                </w:txbxContent>
              </v:textbox>
            </v:shape>
          </w:pict>
        </mc:Fallback>
      </mc:AlternateContent>
    </w:r>
    <w:r>
      <w:rPr>
        <w:rFonts w:hint="eastAsia" w:ascii="华文行楷" w:eastAsia="华文行楷"/>
        <w:sz w:val="24"/>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1"/>
                          </w:pPr>
                          <w:r>
                            <w:fldChar w:fldCharType="begin"/>
                          </w:r>
                          <w:r>
                            <w:instrText xml:space="preserve"> PAGE  \* MERGEFORMAT </w:instrText>
                          </w:r>
                          <w:r>
                            <w:fldChar w:fldCharType="separate"/>
                          </w:r>
                          <w:r>
                            <w:t>- 55 -</w:t>
                          </w:r>
                          <w:r>
                            <w:fldChar w:fldCharType="end"/>
                          </w:r>
                        </w:p>
                      </w:txbxContent>
                    </wps:txbx>
                    <wps:bodyPr vert="horz" wrap="none" lIns="0" tIns="0" rIns="0" bIns="0" anchor="t" anchorCtr="0" upright="0">
                      <a:spAutoFit/>
                    </wps:bodyPr>
                  </wps:wsp>
                </a:graphicData>
              </a:graphic>
            </wp:anchor>
          </w:drawing>
        </mc:Choice>
        <mc:Fallback>
          <w:pict>
            <v:shape id="文本框 44"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39Saot8BAAC/AwAADgAAAAAA&#10;AAABACAAAAAeAQAAZHJzL2Uyb0RvYy54bWxQSwUGAAAAAAYABgBZAQAAbwUAAAAA&#10;">
              <v:fill on="f" focussize="0,0"/>
              <v:stroke on="f"/>
              <v:imagedata o:title=""/>
              <o:lock v:ext="edit" aspectratio="f"/>
              <v:textbox inset="0mm,0mm,0mm,0mm" style="mso-fit-shape-to-text:t;">
                <w:txbxContent>
                  <w:p>
                    <w:pPr>
                      <w:pStyle w:val="31"/>
                    </w:pPr>
                    <w:r>
                      <w:fldChar w:fldCharType="begin"/>
                    </w:r>
                    <w:r>
                      <w:instrText xml:space="preserve"> PAGE  \* MERGEFORMAT </w:instrText>
                    </w:r>
                    <w:r>
                      <w:fldChar w:fldCharType="separate"/>
                    </w:r>
                    <w:r>
                      <w:t>- 55 -</w:t>
                    </w:r>
                    <w:r>
                      <w:fldChar w:fldCharType="end"/>
                    </w:r>
                  </w:p>
                </w:txbxContent>
              </v:textbox>
            </v:shape>
          </w:pict>
        </mc:Fallback>
      </mc:AlternateContent>
    </w:r>
    <w:r>
      <w:rPr>
        <w:rFonts w:ascii="华文行楷" w:eastAsia="华文行楷"/>
        <w:sz w:val="24"/>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5" w:lineRule="auto"/>
      <w:ind w:left="4565"/>
      <w:rPr>
        <w:rFonts w:ascii="Arial" w:hAnsi="Arial" w:eastAsia="Arial" w:cs="Arial"/>
        <w:sz w:val="17"/>
        <w:szCs w:val="17"/>
      </w:rPr>
    </w:pPr>
    <w:r>
      <w:rPr>
        <w:sz w:val="17"/>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1"/>
                          </w:pPr>
                          <w:r>
                            <w:fldChar w:fldCharType="begin"/>
                          </w:r>
                          <w:r>
                            <w:instrText xml:space="preserve"> PAGE  \* MERGEFORMAT </w:instrText>
                          </w:r>
                          <w:r>
                            <w:fldChar w:fldCharType="separate"/>
                          </w:r>
                          <w:r>
                            <w:t>- 59 -</w:t>
                          </w:r>
                          <w:r>
                            <w:fldChar w:fldCharType="end"/>
                          </w:r>
                        </w:p>
                      </w:txbxContent>
                    </wps:txbx>
                    <wps:bodyPr vert="horz" wrap="none" lIns="0" tIns="0" rIns="0" bIns="0" anchor="t" anchorCtr="0" upright="0">
                      <a:spAutoFit/>
                    </wps:bodyPr>
                  </wps:wsp>
                </a:graphicData>
              </a:graphic>
            </wp:anchor>
          </w:drawing>
        </mc:Choice>
        <mc:Fallback>
          <w:pict>
            <v:shape id="文本框 45"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hesu13gEAAMADAAAOAAAAAAAA&#10;AAEAIAAAAB4BAABkcnMvZTJvRG9jLnhtbFBLBQYAAAAABgAGAFkBAABuBQAAAAA=&#10;">
              <v:fill on="f" focussize="0,0"/>
              <v:stroke on="f"/>
              <v:imagedata o:title=""/>
              <o:lock v:ext="edit" aspectratio="f"/>
              <v:textbox inset="0mm,0mm,0mm,0mm" style="mso-fit-shape-to-text:t;">
                <w:txbxContent>
                  <w:p>
                    <w:pPr>
                      <w:pStyle w:val="31"/>
                    </w:pPr>
                    <w:r>
                      <w:fldChar w:fldCharType="begin"/>
                    </w:r>
                    <w:r>
                      <w:instrText xml:space="preserve"> PAGE  \* MERGEFORMAT </w:instrText>
                    </w:r>
                    <w:r>
                      <w:fldChar w:fldCharType="separate"/>
                    </w:r>
                    <w:r>
                      <w:t>- 59 -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0" w:lineRule="auto"/>
      <w:ind w:left="0"/>
      <w:rPr>
        <w:rFonts w:ascii="宋体" w:hAnsi="宋体" w:eastAsia="宋体" w:cs="宋体"/>
        <w:spacing w:val="9"/>
        <w:sz w:val="17"/>
        <w:szCs w:val="17"/>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0" w:lineRule="auto"/>
      <w:ind w:left="129"/>
      <w:rPr>
        <w:rFonts w:ascii="宋体" w:hAnsi="宋体" w:eastAsia="宋体" w:cs="宋体"/>
        <w:spacing w:val="9"/>
        <w:sz w:val="17"/>
        <w:szCs w:val="17"/>
      </w:rPr>
    </w:pPr>
    <w:r>
      <w:rPr>
        <w:rFonts w:ascii="宋体" w:hAnsi="宋体" w:eastAsia="宋体" w:cs="宋体"/>
        <w:spacing w:val="9"/>
        <w:sz w:val="17"/>
        <w:szCs w:val="17"/>
      </w:rPr>
      <mc:AlternateContent>
        <mc:Choice Requires="wps">
          <w:drawing>
            <wp:anchor distT="0" distB="0" distL="114300" distR="114300" simplePos="0" relativeHeight="251660288" behindDoc="0" locked="0" layoutInCell="0" allowOverlap="1">
              <wp:simplePos x="0" y="0"/>
              <wp:positionH relativeFrom="page">
                <wp:posOffset>900430</wp:posOffset>
              </wp:positionH>
              <wp:positionV relativeFrom="page">
                <wp:posOffset>688340</wp:posOffset>
              </wp:positionV>
              <wp:extent cx="5760085" cy="9525"/>
              <wp:effectExtent l="0" t="0" r="0" b="0"/>
              <wp:wrapNone/>
              <wp:docPr id="3" name="任意多边形 39"/>
              <wp:cNvGraphicFramePr/>
              <a:graphic xmlns:a="http://schemas.openxmlformats.org/drawingml/2006/main">
                <a:graphicData uri="http://schemas.microsoft.com/office/word/2010/wordprocessingShape">
                  <wps:wsp>
                    <wps:cNvSpPr/>
                    <wps:spPr>
                      <a:xfrm>
                        <a:off x="0" y="0"/>
                        <a:ext cx="5760085" cy="9525"/>
                      </a:xfrm>
                      <a:custGeom>
                        <a:avLst/>
                        <a:gdLst/>
                        <a:ahLst/>
                        <a:cxnLst/>
                        <a:pathLst>
                          <a:path w="9070" h="15">
                            <a:moveTo>
                              <a:pt x="0" y="0"/>
                            </a:moveTo>
                            <a:lnTo>
                              <a:pt x="9070" y="0"/>
                            </a:lnTo>
                            <a:lnTo>
                              <a:pt x="9070" y="14"/>
                            </a:lnTo>
                            <a:lnTo>
                              <a:pt x="0" y="14"/>
                            </a:lnTo>
                            <a:lnTo>
                              <a:pt x="0" y="0"/>
                            </a:lnTo>
                            <a:close/>
                          </a:path>
                        </a:pathLst>
                      </a:custGeom>
                      <a:solidFill>
                        <a:srgbClr val="000000"/>
                      </a:solidFill>
                      <a:ln>
                        <a:noFill/>
                      </a:ln>
                    </wps:spPr>
                    <wps:bodyPr wrap="square" upright="1"/>
                  </wps:wsp>
                </a:graphicData>
              </a:graphic>
            </wp:anchor>
          </w:drawing>
        </mc:Choice>
        <mc:Fallback>
          <w:pict>
            <v:shape id="任意多边形 39" o:spid="_x0000_s1026" o:spt="100" style="position:absolute;left:0pt;margin-left:70.9pt;margin-top:54.2pt;height:0.75pt;width:453.55pt;mso-position-horizontal-relative:page;mso-position-vertical-relative:page;z-index:251660288;mso-width-relative:page;mso-height-relative:page;" fillcolor="#000000" filled="t" stroked="f" coordsize="9070,15" o:allowincell="f" o:gfxdata="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l1RddcAAAAM&#10;AQAADwAAAAAAAAABACAAAAAiAAAAZHJzL2Rvd25yZXYueG1sUEsBAhQAFAAAAAgAh07iQFoJgPcd&#10;AgAAigQAAA4AAAAAAAAAAQAgAAAAJgEAAGRycy9lMm9Eb2MueG1sUEsFBgAAAAAGAAYAWQEAALUF&#10;AAAAAA==&#10;" path="m0,0l9070,0,9070,14,0,14,0,0xe">
              <v:fill on="t" focussize="0,0"/>
              <v:stroke on="f"/>
              <v:imagedata o:title=""/>
              <o:lock v:ext="edit" aspectratio="f"/>
            </v:shape>
          </w:pict>
        </mc:Fallback>
      </mc:AlternateContent>
    </w:r>
    <w:r>
      <w:rPr>
        <w:rFonts w:hint="eastAsia" w:ascii="宋体" w:hAnsi="宋体" w:eastAsia="宋体" w:cs="宋体"/>
        <w:spacing w:val="9"/>
        <w:sz w:val="17"/>
        <w:szCs w:val="17"/>
        <w:lang w:eastAsia="zh-CN"/>
      </w:rPr>
      <w:t>温州</w:t>
    </w:r>
    <w:r>
      <w:rPr>
        <w:rFonts w:ascii="宋体" w:hAnsi="宋体" w:eastAsia="宋体" w:cs="宋体"/>
        <w:spacing w:val="9"/>
        <w:sz w:val="17"/>
        <w:szCs w:val="17"/>
      </w:rPr>
      <w:t>市国有企业采购文件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919614"/>
    <w:multiLevelType w:val="singleLevel"/>
    <w:tmpl w:val="85919614"/>
    <w:lvl w:ilvl="0" w:tentative="0">
      <w:start w:val="1"/>
      <w:numFmt w:val="decimal"/>
      <w:lvlText w:val="%1."/>
      <w:lvlJc w:val="left"/>
      <w:pPr>
        <w:tabs>
          <w:tab w:val="left" w:pos="312"/>
        </w:tabs>
      </w:pPr>
    </w:lvl>
  </w:abstractNum>
  <w:abstractNum w:abstractNumId="1">
    <w:nsid w:val="890D61EA"/>
    <w:multiLevelType w:val="singleLevel"/>
    <w:tmpl w:val="890D61EA"/>
    <w:lvl w:ilvl="0" w:tentative="0">
      <w:start w:val="9"/>
      <w:numFmt w:val="decimal"/>
      <w:lvlText w:val="%1."/>
      <w:lvlJc w:val="left"/>
      <w:pPr>
        <w:tabs>
          <w:tab w:val="left" w:pos="312"/>
        </w:tabs>
      </w:pPr>
    </w:lvl>
  </w:abstractNum>
  <w:abstractNum w:abstractNumId="2">
    <w:nsid w:val="927CC044"/>
    <w:multiLevelType w:val="singleLevel"/>
    <w:tmpl w:val="927CC044"/>
    <w:lvl w:ilvl="0" w:tentative="0">
      <w:start w:val="1"/>
      <w:numFmt w:val="decimal"/>
      <w:suff w:val="nothing"/>
      <w:lvlText w:val="%1、"/>
      <w:lvlJc w:val="left"/>
    </w:lvl>
  </w:abstractNum>
  <w:abstractNum w:abstractNumId="3">
    <w:nsid w:val="BDCAE982"/>
    <w:multiLevelType w:val="singleLevel"/>
    <w:tmpl w:val="BDCAE982"/>
    <w:lvl w:ilvl="0" w:tentative="0">
      <w:start w:val="1"/>
      <w:numFmt w:val="decimal"/>
      <w:lvlText w:val="%1."/>
      <w:lvlJc w:val="left"/>
      <w:pPr>
        <w:tabs>
          <w:tab w:val="left" w:pos="312"/>
        </w:tabs>
      </w:pPr>
    </w:lvl>
  </w:abstractNum>
  <w:abstractNum w:abstractNumId="4">
    <w:nsid w:val="D1808BBF"/>
    <w:multiLevelType w:val="singleLevel"/>
    <w:tmpl w:val="D1808BBF"/>
    <w:lvl w:ilvl="0" w:tentative="0">
      <w:start w:val="1"/>
      <w:numFmt w:val="decimal"/>
      <w:lvlText w:val="%1."/>
      <w:lvlJc w:val="left"/>
      <w:pPr>
        <w:tabs>
          <w:tab w:val="left" w:pos="312"/>
        </w:tabs>
      </w:pPr>
    </w:lvl>
  </w:abstractNum>
  <w:abstractNum w:abstractNumId="5">
    <w:nsid w:val="D65F80D0"/>
    <w:multiLevelType w:val="singleLevel"/>
    <w:tmpl w:val="D65F80D0"/>
    <w:lvl w:ilvl="0" w:tentative="0">
      <w:start w:val="1"/>
      <w:numFmt w:val="decimal"/>
      <w:lvlText w:val="%1."/>
      <w:lvlJc w:val="left"/>
      <w:pPr>
        <w:tabs>
          <w:tab w:val="left" w:pos="312"/>
        </w:tabs>
      </w:pPr>
    </w:lvl>
  </w:abstractNum>
  <w:abstractNum w:abstractNumId="6">
    <w:nsid w:val="00000013"/>
    <w:multiLevelType w:val="multilevel"/>
    <w:tmpl w:val="00000013"/>
    <w:lvl w:ilvl="0" w:tentative="0">
      <w:start w:val="1"/>
      <w:numFmt w:val="decimal"/>
      <w:lvlText w:val="%1."/>
      <w:lvlJc w:val="left"/>
      <w:pPr>
        <w:tabs>
          <w:tab w:val="left" w:pos="687"/>
        </w:tabs>
        <w:ind w:left="687" w:hanging="567"/>
      </w:pPr>
      <w:rPr>
        <w:rFonts w:hint="default" w:ascii="Arial" w:hAnsi="Arial" w:eastAsia="宋体"/>
        <w:b/>
        <w:i w:val="0"/>
        <w:sz w:val="24"/>
      </w:rPr>
    </w:lvl>
    <w:lvl w:ilvl="1" w:tentative="0">
      <w:start w:val="1"/>
      <w:numFmt w:val="decimal"/>
      <w:lvlText w:val="%1.%2"/>
      <w:lvlJc w:val="left"/>
      <w:pPr>
        <w:tabs>
          <w:tab w:val="left" w:pos="1003"/>
        </w:tabs>
        <w:ind w:left="1003" w:hanging="567"/>
      </w:pPr>
      <w:rPr>
        <w:rFonts w:hint="default" w:ascii="Arial" w:hAnsi="Arial" w:eastAsia="宋体"/>
        <w:b w:val="0"/>
        <w:i w:val="0"/>
        <w:color w:val="auto"/>
        <w:sz w:val="21"/>
      </w:rPr>
    </w:lvl>
    <w:lvl w:ilvl="2" w:tentative="0">
      <w:start w:val="1"/>
      <w:numFmt w:val="decimal"/>
      <w:lvlText w:val="%1.%2.%3"/>
      <w:lvlJc w:val="left"/>
      <w:pPr>
        <w:tabs>
          <w:tab w:val="left" w:pos="720"/>
        </w:tabs>
        <w:ind w:left="420" w:hanging="420"/>
      </w:pPr>
      <w:rPr>
        <w:rFonts w:hint="eastAsia"/>
      </w:rPr>
    </w:lvl>
    <w:lvl w:ilvl="3" w:tentative="0">
      <w:start w:val="1"/>
      <w:numFmt w:val="decimal"/>
      <w:lvlText w:val="%1.%2.%3.%4"/>
      <w:lvlJc w:val="left"/>
      <w:pPr>
        <w:tabs>
          <w:tab w:val="left" w:pos="420"/>
        </w:tabs>
        <w:ind w:left="420" w:hanging="420"/>
      </w:pPr>
      <w:rPr>
        <w:rFonts w:hint="eastAsia"/>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7">
    <w:nsid w:val="00000015"/>
    <w:multiLevelType w:val="multilevel"/>
    <w:tmpl w:val="00000015"/>
    <w:lvl w:ilvl="0" w:tentative="0">
      <w:start w:val="1"/>
      <w:numFmt w:val="japaneseCounting"/>
      <w:lvlText w:val="%1、"/>
      <w:lvlJc w:val="left"/>
      <w:pPr>
        <w:tabs>
          <w:tab w:val="left" w:pos="1980"/>
        </w:tabs>
        <w:ind w:left="1980" w:hanging="840"/>
      </w:pPr>
      <w:rPr>
        <w:rFonts w:hint="eastAsia"/>
      </w:rPr>
    </w:lvl>
    <w:lvl w:ilvl="1" w:tentative="0">
      <w:start w:val="1"/>
      <w:numFmt w:val="lowerLetter"/>
      <w:pStyle w:val="171"/>
      <w:lvlText w:val="%2)"/>
      <w:lvlJc w:val="left"/>
      <w:pPr>
        <w:tabs>
          <w:tab w:val="left" w:pos="1980"/>
        </w:tabs>
        <w:ind w:left="1980" w:hanging="420"/>
      </w:pPr>
    </w:lvl>
    <w:lvl w:ilvl="2" w:tentative="0">
      <w:start w:val="1"/>
      <w:numFmt w:val="lowerRoman"/>
      <w:pStyle w:val="150"/>
      <w:lvlText w:val="%3."/>
      <w:lvlJc w:val="right"/>
      <w:pPr>
        <w:tabs>
          <w:tab w:val="left" w:pos="2400"/>
        </w:tabs>
        <w:ind w:left="2400" w:hanging="420"/>
      </w:pPr>
    </w:lvl>
    <w:lvl w:ilvl="3" w:tentative="0">
      <w:start w:val="1"/>
      <w:numFmt w:val="decimal"/>
      <w:lvlText w:val="%4."/>
      <w:lvlJc w:val="left"/>
      <w:pPr>
        <w:tabs>
          <w:tab w:val="left" w:pos="2820"/>
        </w:tabs>
        <w:ind w:left="2820" w:hanging="420"/>
      </w:pPr>
    </w:lvl>
    <w:lvl w:ilvl="4" w:tentative="0">
      <w:start w:val="1"/>
      <w:numFmt w:val="lowerLetter"/>
      <w:lvlText w:val="%5)"/>
      <w:lvlJc w:val="left"/>
      <w:pPr>
        <w:tabs>
          <w:tab w:val="left" w:pos="3240"/>
        </w:tabs>
        <w:ind w:left="3240" w:hanging="420"/>
      </w:pPr>
    </w:lvl>
    <w:lvl w:ilvl="5" w:tentative="0">
      <w:start w:val="1"/>
      <w:numFmt w:val="lowerRoman"/>
      <w:lvlText w:val="%6."/>
      <w:lvlJc w:val="right"/>
      <w:pPr>
        <w:tabs>
          <w:tab w:val="left" w:pos="3660"/>
        </w:tabs>
        <w:ind w:left="3660" w:hanging="420"/>
      </w:pPr>
    </w:lvl>
    <w:lvl w:ilvl="6" w:tentative="0">
      <w:start w:val="1"/>
      <w:numFmt w:val="decimal"/>
      <w:lvlText w:val="%7."/>
      <w:lvlJc w:val="left"/>
      <w:pPr>
        <w:tabs>
          <w:tab w:val="left" w:pos="4080"/>
        </w:tabs>
        <w:ind w:left="4080" w:hanging="420"/>
      </w:pPr>
    </w:lvl>
    <w:lvl w:ilvl="7" w:tentative="0">
      <w:start w:val="1"/>
      <w:numFmt w:val="lowerLetter"/>
      <w:lvlText w:val="%8)"/>
      <w:lvlJc w:val="left"/>
      <w:pPr>
        <w:tabs>
          <w:tab w:val="left" w:pos="4500"/>
        </w:tabs>
        <w:ind w:left="4500" w:hanging="420"/>
      </w:pPr>
    </w:lvl>
    <w:lvl w:ilvl="8" w:tentative="0">
      <w:start w:val="1"/>
      <w:numFmt w:val="lowerRoman"/>
      <w:lvlText w:val="%9."/>
      <w:lvlJc w:val="right"/>
      <w:pPr>
        <w:tabs>
          <w:tab w:val="left" w:pos="4920"/>
        </w:tabs>
        <w:ind w:left="4920" w:hanging="420"/>
      </w:pPr>
    </w:lvl>
  </w:abstractNum>
  <w:abstractNum w:abstractNumId="8">
    <w:nsid w:val="00000026"/>
    <w:multiLevelType w:val="multilevel"/>
    <w:tmpl w:val="00000026"/>
    <w:lvl w:ilvl="0" w:tentative="0">
      <w:start w:val="1"/>
      <w:numFmt w:val="bullet"/>
      <w:lvlText w:val=""/>
      <w:lvlJc w:val="left"/>
      <w:pPr>
        <w:tabs>
          <w:tab w:val="left" w:pos="1140"/>
        </w:tabs>
        <w:ind w:left="1140" w:hanging="420"/>
      </w:pPr>
      <w:rPr>
        <w:rFonts w:hint="default" w:ascii="Wingdings" w:hAnsi="Wingdings"/>
      </w:rPr>
    </w:lvl>
    <w:lvl w:ilvl="1" w:tentative="0">
      <w:start w:val="1"/>
      <w:numFmt w:val="decimal"/>
      <w:lvlText w:val="%2）"/>
      <w:lvlJc w:val="left"/>
      <w:pPr>
        <w:tabs>
          <w:tab w:val="left" w:pos="360"/>
        </w:tabs>
        <w:ind w:left="360" w:hanging="360"/>
      </w:pPr>
      <w:rPr>
        <w:rFonts w:hint="eastAsia"/>
      </w:rPr>
    </w:lvl>
    <w:lvl w:ilvl="2" w:tentative="0">
      <w:start w:val="1"/>
      <w:numFmt w:val="decimalEnclosedCircle"/>
      <w:lvlText w:val="%3"/>
      <w:lvlJc w:val="left"/>
      <w:pPr>
        <w:tabs>
          <w:tab w:val="left" w:pos="780"/>
        </w:tabs>
        <w:ind w:left="780" w:hanging="360"/>
      </w:pPr>
      <w:rPr>
        <w:rFonts w:hint="eastAsia"/>
      </w:rPr>
    </w:lvl>
    <w:lvl w:ilvl="3" w:tentative="0">
      <w:start w:val="1"/>
      <w:numFmt w:val="bullet"/>
      <w:lvlText w:val=""/>
      <w:lvlJc w:val="left"/>
      <w:pPr>
        <w:tabs>
          <w:tab w:val="left" w:pos="1260"/>
        </w:tabs>
        <w:ind w:left="1260" w:hanging="420"/>
      </w:pPr>
      <w:rPr>
        <w:rFonts w:hint="default" w:ascii="Wingdings" w:hAnsi="Wingdings"/>
      </w:rPr>
    </w:lvl>
    <w:lvl w:ilvl="4" w:tentative="0">
      <w:start w:val="1"/>
      <w:numFmt w:val="decimal"/>
      <w:lvlText w:val="%5)"/>
      <w:lvlJc w:val="left"/>
      <w:pPr>
        <w:tabs>
          <w:tab w:val="left" w:pos="1680"/>
        </w:tabs>
        <w:ind w:left="1680" w:hanging="420"/>
      </w:pPr>
    </w:lvl>
    <w:lvl w:ilvl="5" w:tentative="0">
      <w:start w:val="2"/>
      <w:numFmt w:val="decimal"/>
      <w:lvlText w:val="%6、"/>
      <w:lvlJc w:val="left"/>
      <w:pPr>
        <w:tabs>
          <w:tab w:val="left" w:pos="2040"/>
        </w:tabs>
        <w:ind w:left="2040" w:hanging="360"/>
      </w:pPr>
      <w:rPr>
        <w:rFonts w:hint="eastAsia"/>
      </w:r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9">
    <w:nsid w:val="06F7786D"/>
    <w:multiLevelType w:val="multilevel"/>
    <w:tmpl w:val="06F7786D"/>
    <w:lvl w:ilvl="0" w:tentative="0">
      <w:start w:val="1"/>
      <w:numFmt w:val="decimal"/>
      <w:lvlText w:val="（%1）"/>
      <w:lvlJc w:val="left"/>
      <w:pPr>
        <w:ind w:left="1980" w:hanging="720"/>
      </w:pPr>
      <w:rPr>
        <w:rFonts w:hint="default" w:cs="Times New Roman"/>
        <w:color w:val="auto"/>
        <w:sz w:val="21"/>
      </w:rPr>
    </w:lvl>
    <w:lvl w:ilvl="1" w:tentative="0">
      <w:start w:val="1"/>
      <w:numFmt w:val="decimalEnclosedCircle"/>
      <w:lvlText w:val="%2"/>
      <w:lvlJc w:val="left"/>
      <w:pPr>
        <w:tabs>
          <w:tab w:val="left" w:pos="1620"/>
        </w:tabs>
        <w:ind w:left="1620" w:hanging="360"/>
      </w:pPr>
      <w:rPr>
        <w:rFonts w:hint="default"/>
      </w:rPr>
    </w:lvl>
    <w:lvl w:ilvl="2" w:tentative="0">
      <w:start w:val="1"/>
      <w:numFmt w:val="bullet"/>
      <w:lvlText w:val=""/>
      <w:lvlJc w:val="left"/>
      <w:pPr>
        <w:tabs>
          <w:tab w:val="left" w:pos="2100"/>
        </w:tabs>
        <w:ind w:left="2100" w:hanging="420"/>
      </w:pPr>
      <w:rPr>
        <w:rFonts w:hint="default" w:ascii="Wingdings" w:hAnsi="Wingdings"/>
        <w:color w:val="auto"/>
        <w:sz w:val="21"/>
      </w:r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0EEC5D74"/>
    <w:multiLevelType w:val="singleLevel"/>
    <w:tmpl w:val="0EEC5D74"/>
    <w:lvl w:ilvl="0" w:tentative="0">
      <w:start w:val="1"/>
      <w:numFmt w:val="decimal"/>
      <w:suff w:val="nothing"/>
      <w:lvlText w:val="%1、"/>
      <w:lvlJc w:val="left"/>
    </w:lvl>
  </w:abstractNum>
  <w:abstractNum w:abstractNumId="11">
    <w:nsid w:val="187DF885"/>
    <w:multiLevelType w:val="singleLevel"/>
    <w:tmpl w:val="187DF885"/>
    <w:lvl w:ilvl="0" w:tentative="0">
      <w:start w:val="1"/>
      <w:numFmt w:val="decimal"/>
      <w:lvlText w:val="(%1)"/>
      <w:lvlJc w:val="left"/>
      <w:pPr>
        <w:ind w:left="1151" w:hanging="425"/>
      </w:pPr>
      <w:rPr>
        <w:rFonts w:hint="default"/>
      </w:rPr>
    </w:lvl>
  </w:abstractNum>
  <w:abstractNum w:abstractNumId="12">
    <w:nsid w:val="1DB84022"/>
    <w:multiLevelType w:val="multilevel"/>
    <w:tmpl w:val="1DB84022"/>
    <w:lvl w:ilvl="0" w:tentative="0">
      <w:start w:val="1"/>
      <w:numFmt w:val="decimal"/>
      <w:lvlText w:val="（%1）"/>
      <w:lvlJc w:val="left"/>
      <w:pPr>
        <w:tabs>
          <w:tab w:val="left" w:pos="1361"/>
        </w:tabs>
        <w:ind w:left="1361" w:hanging="681"/>
      </w:pPr>
      <w:rPr>
        <w:rFonts w:hint="eastAsia"/>
      </w:rPr>
    </w:lvl>
    <w:lvl w:ilvl="1" w:tentative="0">
      <w:start w:val="1"/>
      <w:numFmt w:val="lowerLetter"/>
      <w:pStyle w:val="203"/>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220418F5"/>
    <w:multiLevelType w:val="multilevel"/>
    <w:tmpl w:val="220418F5"/>
    <w:lvl w:ilvl="0" w:tentative="0">
      <w:start w:val="1"/>
      <w:numFmt w:val="decimal"/>
      <w:lvlText w:val="%1."/>
      <w:lvlJc w:val="left"/>
      <w:pPr>
        <w:tabs>
          <w:tab w:val="left" w:pos="567"/>
        </w:tabs>
        <w:ind w:left="567" w:hanging="567"/>
      </w:pPr>
      <w:rPr>
        <w:rFonts w:hint="default" w:ascii="Arial" w:hAnsi="Arial" w:eastAsia="宋体"/>
        <w:b w:val="0"/>
        <w:i w:val="0"/>
        <w:sz w:val="21"/>
      </w:rPr>
    </w:lvl>
    <w:lvl w:ilvl="1" w:tentative="0">
      <w:start w:val="1"/>
      <w:numFmt w:val="decimal"/>
      <w:lvlText w:val="%1.%2"/>
      <w:lvlJc w:val="left"/>
      <w:pPr>
        <w:tabs>
          <w:tab w:val="left" w:pos="567"/>
        </w:tabs>
        <w:ind w:left="567" w:hanging="567"/>
      </w:pPr>
      <w:rPr>
        <w:rFonts w:hint="default" w:ascii="Arial" w:hAnsi="Arial" w:eastAsia="宋体"/>
        <w:b w:val="0"/>
        <w:i w:val="0"/>
        <w:sz w:val="21"/>
      </w:rPr>
    </w:lvl>
    <w:lvl w:ilvl="2" w:tentative="0">
      <w:start w:val="1"/>
      <w:numFmt w:val="decimal"/>
      <w:lvlText w:val="%1.%2.%3"/>
      <w:lvlJc w:val="left"/>
      <w:pPr>
        <w:tabs>
          <w:tab w:val="left" w:pos="720"/>
        </w:tabs>
        <w:ind w:left="420" w:hanging="420"/>
      </w:pPr>
      <w:rPr>
        <w:rFonts w:hint="eastAsia"/>
      </w:rPr>
    </w:lvl>
    <w:lvl w:ilvl="3" w:tentative="0">
      <w:start w:val="1"/>
      <w:numFmt w:val="decimal"/>
      <w:lvlText w:val="%1.%2.%3.%4"/>
      <w:lvlJc w:val="left"/>
      <w:pPr>
        <w:tabs>
          <w:tab w:val="left" w:pos="420"/>
        </w:tabs>
        <w:ind w:left="420" w:hanging="420"/>
      </w:pPr>
      <w:rPr>
        <w:rFonts w:hint="eastAsia"/>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14">
    <w:nsid w:val="22ADAF8E"/>
    <w:multiLevelType w:val="singleLevel"/>
    <w:tmpl w:val="22ADAF8E"/>
    <w:lvl w:ilvl="0" w:tentative="0">
      <w:start w:val="1"/>
      <w:numFmt w:val="decimal"/>
      <w:lvlText w:val="%1."/>
      <w:lvlJc w:val="left"/>
      <w:pPr>
        <w:tabs>
          <w:tab w:val="left" w:pos="312"/>
        </w:tabs>
      </w:pPr>
    </w:lvl>
  </w:abstractNum>
  <w:abstractNum w:abstractNumId="15">
    <w:nsid w:val="24021003"/>
    <w:multiLevelType w:val="singleLevel"/>
    <w:tmpl w:val="24021003"/>
    <w:lvl w:ilvl="0" w:tentative="0">
      <w:start w:val="1"/>
      <w:numFmt w:val="decimal"/>
      <w:lvlText w:val="%1．"/>
      <w:lvlJc w:val="left"/>
      <w:pPr>
        <w:tabs>
          <w:tab w:val="left" w:pos="720"/>
        </w:tabs>
        <w:ind w:left="844" w:hanging="360"/>
      </w:pPr>
      <w:rPr>
        <w:rFonts w:hint="eastAsia"/>
      </w:rPr>
    </w:lvl>
  </w:abstractNum>
  <w:abstractNum w:abstractNumId="16">
    <w:nsid w:val="3590227A"/>
    <w:multiLevelType w:val="multilevel"/>
    <w:tmpl w:val="3590227A"/>
    <w:lvl w:ilvl="0" w:tentative="0">
      <w:start w:val="1"/>
      <w:numFmt w:val="decimal"/>
      <w:pStyle w:val="23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lvlText w:val="%1.%2.%3.%4"/>
      <w:lvlJc w:val="left"/>
      <w:pPr>
        <w:tabs>
          <w:tab w:val="left" w:pos="864"/>
        </w:tabs>
        <w:ind w:left="86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7">
    <w:nsid w:val="3E3A07A7"/>
    <w:multiLevelType w:val="multilevel"/>
    <w:tmpl w:val="3E3A07A7"/>
    <w:lvl w:ilvl="0" w:tentative="0">
      <w:start w:val="1"/>
      <w:numFmt w:val="decimal"/>
      <w:lvlText w:val="（%1）"/>
      <w:lvlJc w:val="left"/>
      <w:pPr>
        <w:ind w:left="1560" w:hanging="720"/>
      </w:pPr>
      <w:rPr>
        <w:rFonts w:hint="default" w:cs="Times New Roman"/>
        <w:color w:val="auto"/>
        <w:sz w:val="21"/>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8">
    <w:nsid w:val="54B1319C"/>
    <w:multiLevelType w:val="singleLevel"/>
    <w:tmpl w:val="54B1319C"/>
    <w:lvl w:ilvl="0" w:tentative="0">
      <w:start w:val="1"/>
      <w:numFmt w:val="chineseCounting"/>
      <w:suff w:val="space"/>
      <w:lvlText w:val="第%1部分"/>
      <w:lvlJc w:val="left"/>
      <w:rPr>
        <w:rFonts w:hint="eastAsia"/>
      </w:rPr>
    </w:lvl>
  </w:abstractNum>
  <w:abstractNum w:abstractNumId="19">
    <w:nsid w:val="54F403B5"/>
    <w:multiLevelType w:val="singleLevel"/>
    <w:tmpl w:val="54F403B5"/>
    <w:lvl w:ilvl="0" w:tentative="0">
      <w:start w:val="1"/>
      <w:numFmt w:val="chineseCounting"/>
      <w:suff w:val="nothing"/>
      <w:lvlText w:val="%1、"/>
      <w:lvlJc w:val="left"/>
    </w:lvl>
  </w:abstractNum>
  <w:abstractNum w:abstractNumId="20">
    <w:nsid w:val="557FD3DA"/>
    <w:multiLevelType w:val="singleLevel"/>
    <w:tmpl w:val="557FD3DA"/>
    <w:lvl w:ilvl="0" w:tentative="0">
      <w:start w:val="3"/>
      <w:numFmt w:val="chineseCounting"/>
      <w:suff w:val="nothing"/>
      <w:lvlText w:val="%1、"/>
      <w:lvlJc w:val="left"/>
    </w:lvl>
  </w:abstractNum>
  <w:abstractNum w:abstractNumId="21">
    <w:nsid w:val="59097FF1"/>
    <w:multiLevelType w:val="multilevel"/>
    <w:tmpl w:val="59097FF1"/>
    <w:lvl w:ilvl="0" w:tentative="0">
      <w:start w:val="1"/>
      <w:numFmt w:val="decimal"/>
      <w:suff w:val="nothing"/>
      <w:lvlText w:val="（%1）"/>
      <w:lvlJc w:val="left"/>
      <w:pPr>
        <w:tabs>
          <w:tab w:val="left" w:pos="128"/>
        </w:tabs>
        <w:ind w:left="913" w:hanging="420"/>
      </w:pPr>
      <w:rPr>
        <w:rFonts w:hint="default" w:ascii="宋体" w:hAnsi="宋体" w:eastAsia="宋体" w:cs="Times New Roman"/>
        <w:color w:val="auto"/>
        <w:sz w:val="21"/>
        <w:szCs w:val="21"/>
        <w:lang w:val="en-US"/>
      </w:rPr>
    </w:lvl>
    <w:lvl w:ilvl="1" w:tentative="0">
      <w:start w:val="1"/>
      <w:numFmt w:val="lowerLetter"/>
      <w:lvlText w:val="%2)"/>
      <w:lvlJc w:val="left"/>
      <w:pPr>
        <w:ind w:left="1333" w:hanging="420"/>
      </w:pPr>
      <w:rPr>
        <w:rFonts w:cs="Times New Roman"/>
      </w:rPr>
    </w:lvl>
    <w:lvl w:ilvl="2" w:tentative="0">
      <w:start w:val="1"/>
      <w:numFmt w:val="lowerRoman"/>
      <w:lvlText w:val="%3."/>
      <w:lvlJc w:val="right"/>
      <w:pPr>
        <w:ind w:left="1753" w:hanging="420"/>
      </w:pPr>
      <w:rPr>
        <w:rFonts w:cs="Times New Roman"/>
      </w:rPr>
    </w:lvl>
    <w:lvl w:ilvl="3" w:tentative="0">
      <w:start w:val="1"/>
      <w:numFmt w:val="decimal"/>
      <w:lvlText w:val="%4."/>
      <w:lvlJc w:val="left"/>
      <w:pPr>
        <w:ind w:left="2173" w:hanging="420"/>
      </w:pPr>
      <w:rPr>
        <w:rFonts w:cs="Times New Roman"/>
      </w:rPr>
    </w:lvl>
    <w:lvl w:ilvl="4" w:tentative="0">
      <w:start w:val="1"/>
      <w:numFmt w:val="lowerLetter"/>
      <w:lvlText w:val="%5)"/>
      <w:lvlJc w:val="left"/>
      <w:pPr>
        <w:ind w:left="2593" w:hanging="420"/>
      </w:pPr>
      <w:rPr>
        <w:rFonts w:cs="Times New Roman"/>
      </w:rPr>
    </w:lvl>
    <w:lvl w:ilvl="5" w:tentative="0">
      <w:start w:val="1"/>
      <w:numFmt w:val="lowerRoman"/>
      <w:lvlText w:val="%6."/>
      <w:lvlJc w:val="right"/>
      <w:pPr>
        <w:ind w:left="3013" w:hanging="420"/>
      </w:pPr>
      <w:rPr>
        <w:rFonts w:cs="Times New Roman"/>
      </w:rPr>
    </w:lvl>
    <w:lvl w:ilvl="6" w:tentative="0">
      <w:start w:val="1"/>
      <w:numFmt w:val="decimal"/>
      <w:lvlText w:val="%7."/>
      <w:lvlJc w:val="left"/>
      <w:pPr>
        <w:ind w:left="3433" w:hanging="420"/>
      </w:pPr>
      <w:rPr>
        <w:rFonts w:cs="Times New Roman"/>
      </w:rPr>
    </w:lvl>
    <w:lvl w:ilvl="7" w:tentative="0">
      <w:start w:val="1"/>
      <w:numFmt w:val="lowerLetter"/>
      <w:lvlText w:val="%8)"/>
      <w:lvlJc w:val="left"/>
      <w:pPr>
        <w:ind w:left="3853" w:hanging="420"/>
      </w:pPr>
      <w:rPr>
        <w:rFonts w:cs="Times New Roman"/>
      </w:rPr>
    </w:lvl>
    <w:lvl w:ilvl="8" w:tentative="0">
      <w:start w:val="1"/>
      <w:numFmt w:val="lowerRoman"/>
      <w:lvlText w:val="%9."/>
      <w:lvlJc w:val="right"/>
      <w:pPr>
        <w:ind w:left="4273" w:hanging="420"/>
      </w:pPr>
      <w:rPr>
        <w:rFonts w:cs="Times New Roman"/>
      </w:rPr>
    </w:lvl>
  </w:abstractNum>
  <w:abstractNum w:abstractNumId="22">
    <w:nsid w:val="59310C99"/>
    <w:multiLevelType w:val="multilevel"/>
    <w:tmpl w:val="59310C99"/>
    <w:lvl w:ilvl="0" w:tentative="0">
      <w:start w:val="1"/>
      <w:numFmt w:val="decimal"/>
      <w:lvlText w:val="（%1）"/>
      <w:lvlJc w:val="left"/>
      <w:pPr>
        <w:tabs>
          <w:tab w:val="left" w:pos="1474"/>
        </w:tabs>
        <w:ind w:left="1474" w:hanging="794"/>
      </w:pPr>
      <w:rPr>
        <w:rFonts w:hint="eastAsia"/>
      </w:rPr>
    </w:lvl>
    <w:lvl w:ilvl="1" w:tentative="0">
      <w:start w:val="1"/>
      <w:numFmt w:val="decimal"/>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6D8DB1F9"/>
    <w:multiLevelType w:val="singleLevel"/>
    <w:tmpl w:val="6D8DB1F9"/>
    <w:lvl w:ilvl="0" w:tentative="0">
      <w:start w:val="1"/>
      <w:numFmt w:val="decimal"/>
      <w:lvlText w:val="(%1)"/>
      <w:lvlJc w:val="left"/>
      <w:pPr>
        <w:ind w:left="425" w:hanging="425"/>
      </w:pPr>
      <w:rPr>
        <w:rFonts w:hint="default"/>
      </w:rPr>
    </w:lvl>
  </w:abstractNum>
  <w:abstractNum w:abstractNumId="24">
    <w:nsid w:val="796204B8"/>
    <w:multiLevelType w:val="multilevel"/>
    <w:tmpl w:val="796204B8"/>
    <w:lvl w:ilvl="0" w:tentative="0">
      <w:start w:val="1"/>
      <w:numFmt w:val="decimal"/>
      <w:lvlText w:val="（%1）"/>
      <w:lvlJc w:val="left"/>
      <w:pPr>
        <w:ind w:left="840" w:hanging="420"/>
      </w:pPr>
      <w:rPr>
        <w:rFonts w:hint="eastAsia"/>
        <w:b w:val="0"/>
        <w:lang w:val="en-U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7"/>
  </w:num>
  <w:num w:numId="2">
    <w:abstractNumId w:val="12"/>
  </w:num>
  <w:num w:numId="3">
    <w:abstractNumId w:val="16"/>
  </w:num>
  <w:num w:numId="4">
    <w:abstractNumId w:val="19"/>
  </w:num>
  <w:num w:numId="5">
    <w:abstractNumId w:val="20"/>
  </w:num>
  <w:num w:numId="6">
    <w:abstractNumId w:val="6"/>
  </w:num>
  <w:num w:numId="7">
    <w:abstractNumId w:val="18"/>
  </w:num>
  <w:num w:numId="8">
    <w:abstractNumId w:val="21"/>
  </w:num>
  <w:num w:numId="9">
    <w:abstractNumId w:val="11"/>
  </w:num>
  <w:num w:numId="10">
    <w:abstractNumId w:val="24"/>
  </w:num>
  <w:num w:numId="11">
    <w:abstractNumId w:val="17"/>
  </w:num>
  <w:num w:numId="12">
    <w:abstractNumId w:val="9"/>
  </w:num>
  <w:num w:numId="13">
    <w:abstractNumId w:val="8"/>
  </w:num>
  <w:num w:numId="14">
    <w:abstractNumId w:val="23"/>
  </w:num>
  <w:num w:numId="15">
    <w:abstractNumId w:val="22"/>
  </w:num>
  <w:num w:numId="16">
    <w:abstractNumId w:val="1"/>
  </w:num>
  <w:num w:numId="17">
    <w:abstractNumId w:val="2"/>
  </w:num>
  <w:num w:numId="18">
    <w:abstractNumId w:val="15"/>
  </w:num>
  <w:num w:numId="19">
    <w:abstractNumId w:val="13"/>
  </w:num>
  <w:num w:numId="20">
    <w:abstractNumId w:val="10"/>
  </w:num>
  <w:num w:numId="21">
    <w:abstractNumId w:val="3"/>
  </w:num>
  <w:num w:numId="22">
    <w:abstractNumId w:val="4"/>
  </w:num>
  <w:num w:numId="23">
    <w:abstractNumId w:val="0"/>
  </w:num>
  <w:num w:numId="24">
    <w:abstractNumId w:val="5"/>
  </w:num>
  <w:num w:numId="2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2MzNkMGJhNGRkNTM0MGQ1YTFkZjMxMjQwMDkyYTIifQ=="/>
  </w:docVars>
  <w:rsids>
    <w:rsidRoot w:val="00172A27"/>
    <w:rsid w:val="00002436"/>
    <w:rsid w:val="00002968"/>
    <w:rsid w:val="00005ED7"/>
    <w:rsid w:val="00006232"/>
    <w:rsid w:val="00007AC6"/>
    <w:rsid w:val="00011466"/>
    <w:rsid w:val="00011562"/>
    <w:rsid w:val="00012740"/>
    <w:rsid w:val="00013701"/>
    <w:rsid w:val="0001778B"/>
    <w:rsid w:val="000178E3"/>
    <w:rsid w:val="00017F50"/>
    <w:rsid w:val="000219F0"/>
    <w:rsid w:val="00023E47"/>
    <w:rsid w:val="00024B0D"/>
    <w:rsid w:val="00026E3B"/>
    <w:rsid w:val="00027170"/>
    <w:rsid w:val="00030566"/>
    <w:rsid w:val="00030BA7"/>
    <w:rsid w:val="00034536"/>
    <w:rsid w:val="00035F0A"/>
    <w:rsid w:val="00042315"/>
    <w:rsid w:val="000504EF"/>
    <w:rsid w:val="0005143D"/>
    <w:rsid w:val="000562C5"/>
    <w:rsid w:val="00060E5B"/>
    <w:rsid w:val="00062107"/>
    <w:rsid w:val="00066480"/>
    <w:rsid w:val="00067E15"/>
    <w:rsid w:val="00070518"/>
    <w:rsid w:val="000717AB"/>
    <w:rsid w:val="000756D6"/>
    <w:rsid w:val="00076C20"/>
    <w:rsid w:val="000779D3"/>
    <w:rsid w:val="0008094C"/>
    <w:rsid w:val="000816A3"/>
    <w:rsid w:val="000826F2"/>
    <w:rsid w:val="0008549E"/>
    <w:rsid w:val="000858D8"/>
    <w:rsid w:val="00085C0B"/>
    <w:rsid w:val="000907B4"/>
    <w:rsid w:val="00091C14"/>
    <w:rsid w:val="00093412"/>
    <w:rsid w:val="000962F3"/>
    <w:rsid w:val="00096803"/>
    <w:rsid w:val="000A1A23"/>
    <w:rsid w:val="000A1AB0"/>
    <w:rsid w:val="000A6254"/>
    <w:rsid w:val="000A64B3"/>
    <w:rsid w:val="000A7558"/>
    <w:rsid w:val="000B3B28"/>
    <w:rsid w:val="000B419A"/>
    <w:rsid w:val="000B60A5"/>
    <w:rsid w:val="000C2F45"/>
    <w:rsid w:val="000C497C"/>
    <w:rsid w:val="000C7EDA"/>
    <w:rsid w:val="000D2714"/>
    <w:rsid w:val="000D31B8"/>
    <w:rsid w:val="000D7327"/>
    <w:rsid w:val="000E1B45"/>
    <w:rsid w:val="000E2028"/>
    <w:rsid w:val="000E568B"/>
    <w:rsid w:val="000E72DA"/>
    <w:rsid w:val="000F357B"/>
    <w:rsid w:val="000F5173"/>
    <w:rsid w:val="00102E92"/>
    <w:rsid w:val="00104DF0"/>
    <w:rsid w:val="0010786C"/>
    <w:rsid w:val="00113354"/>
    <w:rsid w:val="00120EA3"/>
    <w:rsid w:val="00125C1A"/>
    <w:rsid w:val="00125E50"/>
    <w:rsid w:val="001270A4"/>
    <w:rsid w:val="00127630"/>
    <w:rsid w:val="0013487A"/>
    <w:rsid w:val="00141394"/>
    <w:rsid w:val="00141E56"/>
    <w:rsid w:val="0015140C"/>
    <w:rsid w:val="00157685"/>
    <w:rsid w:val="001577AF"/>
    <w:rsid w:val="00157C99"/>
    <w:rsid w:val="0016084B"/>
    <w:rsid w:val="00160968"/>
    <w:rsid w:val="00161763"/>
    <w:rsid w:val="00161E21"/>
    <w:rsid w:val="00162447"/>
    <w:rsid w:val="001668CB"/>
    <w:rsid w:val="001700FF"/>
    <w:rsid w:val="001777C1"/>
    <w:rsid w:val="0018029E"/>
    <w:rsid w:val="00181C83"/>
    <w:rsid w:val="00184330"/>
    <w:rsid w:val="00186AAE"/>
    <w:rsid w:val="001922FC"/>
    <w:rsid w:val="001962F5"/>
    <w:rsid w:val="001A04CA"/>
    <w:rsid w:val="001A08DC"/>
    <w:rsid w:val="001A1D94"/>
    <w:rsid w:val="001A42B5"/>
    <w:rsid w:val="001B29D3"/>
    <w:rsid w:val="001B6CED"/>
    <w:rsid w:val="001C2A6D"/>
    <w:rsid w:val="001C30E0"/>
    <w:rsid w:val="001C5E88"/>
    <w:rsid w:val="001C683C"/>
    <w:rsid w:val="001D0B96"/>
    <w:rsid w:val="001D1DA8"/>
    <w:rsid w:val="001D1E73"/>
    <w:rsid w:val="001D6394"/>
    <w:rsid w:val="001D7856"/>
    <w:rsid w:val="001D79AA"/>
    <w:rsid w:val="001E2F12"/>
    <w:rsid w:val="001E77AA"/>
    <w:rsid w:val="001F1EDF"/>
    <w:rsid w:val="001F2058"/>
    <w:rsid w:val="001F28CA"/>
    <w:rsid w:val="001F2CD1"/>
    <w:rsid w:val="002027F5"/>
    <w:rsid w:val="0020569F"/>
    <w:rsid w:val="0020779D"/>
    <w:rsid w:val="00207FBF"/>
    <w:rsid w:val="00213FAC"/>
    <w:rsid w:val="00213FD4"/>
    <w:rsid w:val="00214251"/>
    <w:rsid w:val="0022317A"/>
    <w:rsid w:val="00223281"/>
    <w:rsid w:val="00223D40"/>
    <w:rsid w:val="00225EAB"/>
    <w:rsid w:val="00227BF3"/>
    <w:rsid w:val="0023089C"/>
    <w:rsid w:val="00230921"/>
    <w:rsid w:val="0023096E"/>
    <w:rsid w:val="00232CCE"/>
    <w:rsid w:val="00232F1C"/>
    <w:rsid w:val="00233330"/>
    <w:rsid w:val="00233D1C"/>
    <w:rsid w:val="00237D4A"/>
    <w:rsid w:val="0024046A"/>
    <w:rsid w:val="002416C8"/>
    <w:rsid w:val="00241826"/>
    <w:rsid w:val="00242995"/>
    <w:rsid w:val="00243749"/>
    <w:rsid w:val="0024466B"/>
    <w:rsid w:val="00244CDD"/>
    <w:rsid w:val="00245024"/>
    <w:rsid w:val="0024564B"/>
    <w:rsid w:val="002513D3"/>
    <w:rsid w:val="0025272C"/>
    <w:rsid w:val="002546BA"/>
    <w:rsid w:val="00260FD7"/>
    <w:rsid w:val="002629D5"/>
    <w:rsid w:val="002654EA"/>
    <w:rsid w:val="00266EB2"/>
    <w:rsid w:val="002777F2"/>
    <w:rsid w:val="00286653"/>
    <w:rsid w:val="00286ABE"/>
    <w:rsid w:val="00287CCE"/>
    <w:rsid w:val="00293507"/>
    <w:rsid w:val="00294761"/>
    <w:rsid w:val="0029560D"/>
    <w:rsid w:val="00297A06"/>
    <w:rsid w:val="00297A3E"/>
    <w:rsid w:val="002A2971"/>
    <w:rsid w:val="002A45F1"/>
    <w:rsid w:val="002A491F"/>
    <w:rsid w:val="002B1B00"/>
    <w:rsid w:val="002B23A1"/>
    <w:rsid w:val="002B38CE"/>
    <w:rsid w:val="002B54D5"/>
    <w:rsid w:val="002B77C5"/>
    <w:rsid w:val="002B7A9A"/>
    <w:rsid w:val="002C09A9"/>
    <w:rsid w:val="002C3617"/>
    <w:rsid w:val="002C560B"/>
    <w:rsid w:val="002C7DFD"/>
    <w:rsid w:val="002D3C00"/>
    <w:rsid w:val="002D53F8"/>
    <w:rsid w:val="002E7DEE"/>
    <w:rsid w:val="002F1EEB"/>
    <w:rsid w:val="002F3EA2"/>
    <w:rsid w:val="00300807"/>
    <w:rsid w:val="003053B0"/>
    <w:rsid w:val="00311EA5"/>
    <w:rsid w:val="00314908"/>
    <w:rsid w:val="003204EC"/>
    <w:rsid w:val="00322773"/>
    <w:rsid w:val="00322825"/>
    <w:rsid w:val="00330114"/>
    <w:rsid w:val="00331101"/>
    <w:rsid w:val="00332312"/>
    <w:rsid w:val="0034526E"/>
    <w:rsid w:val="00345EA7"/>
    <w:rsid w:val="00347663"/>
    <w:rsid w:val="00351669"/>
    <w:rsid w:val="00352439"/>
    <w:rsid w:val="00352A43"/>
    <w:rsid w:val="003540EF"/>
    <w:rsid w:val="00356398"/>
    <w:rsid w:val="00356C3D"/>
    <w:rsid w:val="00361944"/>
    <w:rsid w:val="00363184"/>
    <w:rsid w:val="0036512E"/>
    <w:rsid w:val="003660D0"/>
    <w:rsid w:val="00370C13"/>
    <w:rsid w:val="00371624"/>
    <w:rsid w:val="00372B8D"/>
    <w:rsid w:val="003776FB"/>
    <w:rsid w:val="003808CD"/>
    <w:rsid w:val="003813A0"/>
    <w:rsid w:val="00381D20"/>
    <w:rsid w:val="00383942"/>
    <w:rsid w:val="003842CC"/>
    <w:rsid w:val="003873D4"/>
    <w:rsid w:val="00392057"/>
    <w:rsid w:val="003925EC"/>
    <w:rsid w:val="003A1530"/>
    <w:rsid w:val="003A4EC1"/>
    <w:rsid w:val="003A6191"/>
    <w:rsid w:val="003B09B8"/>
    <w:rsid w:val="003B132B"/>
    <w:rsid w:val="003B53BB"/>
    <w:rsid w:val="003C04DD"/>
    <w:rsid w:val="003C1EAA"/>
    <w:rsid w:val="003C31D4"/>
    <w:rsid w:val="003C3425"/>
    <w:rsid w:val="003C5A35"/>
    <w:rsid w:val="003C77CD"/>
    <w:rsid w:val="003C787F"/>
    <w:rsid w:val="003D14C6"/>
    <w:rsid w:val="003D2A36"/>
    <w:rsid w:val="003D4E62"/>
    <w:rsid w:val="003D54BF"/>
    <w:rsid w:val="003D6327"/>
    <w:rsid w:val="003D6391"/>
    <w:rsid w:val="003D7F14"/>
    <w:rsid w:val="003F0163"/>
    <w:rsid w:val="003F670D"/>
    <w:rsid w:val="00400C02"/>
    <w:rsid w:val="00400E0B"/>
    <w:rsid w:val="00400F6C"/>
    <w:rsid w:val="00402426"/>
    <w:rsid w:val="0040419D"/>
    <w:rsid w:val="004079E2"/>
    <w:rsid w:val="00407F31"/>
    <w:rsid w:val="00407F41"/>
    <w:rsid w:val="00410263"/>
    <w:rsid w:val="00411D30"/>
    <w:rsid w:val="004143B8"/>
    <w:rsid w:val="00416940"/>
    <w:rsid w:val="0041773E"/>
    <w:rsid w:val="00421C26"/>
    <w:rsid w:val="00423AF2"/>
    <w:rsid w:val="0042443C"/>
    <w:rsid w:val="00425020"/>
    <w:rsid w:val="00426687"/>
    <w:rsid w:val="00436814"/>
    <w:rsid w:val="00437F16"/>
    <w:rsid w:val="0044093F"/>
    <w:rsid w:val="004410EF"/>
    <w:rsid w:val="00441550"/>
    <w:rsid w:val="0044256C"/>
    <w:rsid w:val="00445B51"/>
    <w:rsid w:val="0044616A"/>
    <w:rsid w:val="0045187A"/>
    <w:rsid w:val="004539C9"/>
    <w:rsid w:val="00454218"/>
    <w:rsid w:val="004613E8"/>
    <w:rsid w:val="00463F1D"/>
    <w:rsid w:val="004678BC"/>
    <w:rsid w:val="00471D18"/>
    <w:rsid w:val="00473270"/>
    <w:rsid w:val="00475434"/>
    <w:rsid w:val="00475DF3"/>
    <w:rsid w:val="00477F34"/>
    <w:rsid w:val="00477FFD"/>
    <w:rsid w:val="00480584"/>
    <w:rsid w:val="00480FE1"/>
    <w:rsid w:val="004828FC"/>
    <w:rsid w:val="00484B04"/>
    <w:rsid w:val="004859C6"/>
    <w:rsid w:val="00493190"/>
    <w:rsid w:val="00496127"/>
    <w:rsid w:val="004A0A5A"/>
    <w:rsid w:val="004A59DD"/>
    <w:rsid w:val="004A5D01"/>
    <w:rsid w:val="004A6539"/>
    <w:rsid w:val="004B3881"/>
    <w:rsid w:val="004C2CAE"/>
    <w:rsid w:val="004C2F46"/>
    <w:rsid w:val="004C4E06"/>
    <w:rsid w:val="004D0912"/>
    <w:rsid w:val="004D0DD1"/>
    <w:rsid w:val="004D19E6"/>
    <w:rsid w:val="004D1BA4"/>
    <w:rsid w:val="004D20E9"/>
    <w:rsid w:val="004D2827"/>
    <w:rsid w:val="004E7642"/>
    <w:rsid w:val="004F0F52"/>
    <w:rsid w:val="004F1472"/>
    <w:rsid w:val="004F1B20"/>
    <w:rsid w:val="004F24C1"/>
    <w:rsid w:val="004F27EF"/>
    <w:rsid w:val="004F2C1D"/>
    <w:rsid w:val="004F484B"/>
    <w:rsid w:val="004F50C8"/>
    <w:rsid w:val="004F63ED"/>
    <w:rsid w:val="004F6756"/>
    <w:rsid w:val="004F6EC8"/>
    <w:rsid w:val="004F7E1C"/>
    <w:rsid w:val="005039D3"/>
    <w:rsid w:val="00504342"/>
    <w:rsid w:val="00505F3F"/>
    <w:rsid w:val="00506060"/>
    <w:rsid w:val="00510AAB"/>
    <w:rsid w:val="00511AF0"/>
    <w:rsid w:val="005124F9"/>
    <w:rsid w:val="0051344F"/>
    <w:rsid w:val="00515B29"/>
    <w:rsid w:val="005167CF"/>
    <w:rsid w:val="005202BC"/>
    <w:rsid w:val="00522B0C"/>
    <w:rsid w:val="00523F76"/>
    <w:rsid w:val="00524524"/>
    <w:rsid w:val="00527FDA"/>
    <w:rsid w:val="0054209E"/>
    <w:rsid w:val="00544DC7"/>
    <w:rsid w:val="00545A95"/>
    <w:rsid w:val="00550F90"/>
    <w:rsid w:val="005570BE"/>
    <w:rsid w:val="0056014C"/>
    <w:rsid w:val="0056336F"/>
    <w:rsid w:val="00565B3C"/>
    <w:rsid w:val="00566029"/>
    <w:rsid w:val="00584669"/>
    <w:rsid w:val="0058797F"/>
    <w:rsid w:val="00591100"/>
    <w:rsid w:val="0059288C"/>
    <w:rsid w:val="0059570B"/>
    <w:rsid w:val="0059704A"/>
    <w:rsid w:val="005A17EC"/>
    <w:rsid w:val="005A35EF"/>
    <w:rsid w:val="005A3C43"/>
    <w:rsid w:val="005B2894"/>
    <w:rsid w:val="005B30F1"/>
    <w:rsid w:val="005B3166"/>
    <w:rsid w:val="005B5F42"/>
    <w:rsid w:val="005B749B"/>
    <w:rsid w:val="005B79AF"/>
    <w:rsid w:val="005B7B19"/>
    <w:rsid w:val="005C1AC9"/>
    <w:rsid w:val="005C275B"/>
    <w:rsid w:val="005C4EEF"/>
    <w:rsid w:val="005C6359"/>
    <w:rsid w:val="005C7EB8"/>
    <w:rsid w:val="005D0D53"/>
    <w:rsid w:val="005D32DC"/>
    <w:rsid w:val="005E76CC"/>
    <w:rsid w:val="005F20F2"/>
    <w:rsid w:val="005F257A"/>
    <w:rsid w:val="005F49E5"/>
    <w:rsid w:val="00601A11"/>
    <w:rsid w:val="0060639F"/>
    <w:rsid w:val="006064E5"/>
    <w:rsid w:val="0060699E"/>
    <w:rsid w:val="00610691"/>
    <w:rsid w:val="00614A87"/>
    <w:rsid w:val="00615E17"/>
    <w:rsid w:val="00616EAD"/>
    <w:rsid w:val="00620343"/>
    <w:rsid w:val="00624966"/>
    <w:rsid w:val="00625010"/>
    <w:rsid w:val="00625577"/>
    <w:rsid w:val="00625E31"/>
    <w:rsid w:val="0062739E"/>
    <w:rsid w:val="00627E38"/>
    <w:rsid w:val="006300C6"/>
    <w:rsid w:val="00632744"/>
    <w:rsid w:val="006329FA"/>
    <w:rsid w:val="00634286"/>
    <w:rsid w:val="0063500F"/>
    <w:rsid w:val="00636CA6"/>
    <w:rsid w:val="00646962"/>
    <w:rsid w:val="0065045B"/>
    <w:rsid w:val="006522DC"/>
    <w:rsid w:val="00654BDD"/>
    <w:rsid w:val="006558C5"/>
    <w:rsid w:val="006625E0"/>
    <w:rsid w:val="0066307D"/>
    <w:rsid w:val="006632A0"/>
    <w:rsid w:val="006641B7"/>
    <w:rsid w:val="00666F00"/>
    <w:rsid w:val="006741CC"/>
    <w:rsid w:val="006763DA"/>
    <w:rsid w:val="006777AF"/>
    <w:rsid w:val="006813AA"/>
    <w:rsid w:val="00683F25"/>
    <w:rsid w:val="00685D03"/>
    <w:rsid w:val="00685EFC"/>
    <w:rsid w:val="00692460"/>
    <w:rsid w:val="006960D0"/>
    <w:rsid w:val="00697EE2"/>
    <w:rsid w:val="006A10B8"/>
    <w:rsid w:val="006A3C93"/>
    <w:rsid w:val="006A66B5"/>
    <w:rsid w:val="006B043A"/>
    <w:rsid w:val="006B1B05"/>
    <w:rsid w:val="006B4F34"/>
    <w:rsid w:val="006B6434"/>
    <w:rsid w:val="006B7726"/>
    <w:rsid w:val="006C2AA5"/>
    <w:rsid w:val="006C3A2F"/>
    <w:rsid w:val="006C7B12"/>
    <w:rsid w:val="006D058A"/>
    <w:rsid w:val="006D2AE5"/>
    <w:rsid w:val="006D35C9"/>
    <w:rsid w:val="006D581C"/>
    <w:rsid w:val="006E22A5"/>
    <w:rsid w:val="006E313C"/>
    <w:rsid w:val="006E3AD6"/>
    <w:rsid w:val="006E56B6"/>
    <w:rsid w:val="006E5F98"/>
    <w:rsid w:val="006E5FA3"/>
    <w:rsid w:val="006F058B"/>
    <w:rsid w:val="006F1DF8"/>
    <w:rsid w:val="006F29FB"/>
    <w:rsid w:val="006F31A1"/>
    <w:rsid w:val="006F4103"/>
    <w:rsid w:val="00705A8B"/>
    <w:rsid w:val="00710BAD"/>
    <w:rsid w:val="00711D79"/>
    <w:rsid w:val="00714104"/>
    <w:rsid w:val="00714A05"/>
    <w:rsid w:val="00715A7C"/>
    <w:rsid w:val="00720802"/>
    <w:rsid w:val="00720C33"/>
    <w:rsid w:val="00722565"/>
    <w:rsid w:val="00724F9B"/>
    <w:rsid w:val="00727AEA"/>
    <w:rsid w:val="007308DC"/>
    <w:rsid w:val="0074385F"/>
    <w:rsid w:val="00744F04"/>
    <w:rsid w:val="0074673A"/>
    <w:rsid w:val="007510AC"/>
    <w:rsid w:val="0075222A"/>
    <w:rsid w:val="007553AF"/>
    <w:rsid w:val="00756B6B"/>
    <w:rsid w:val="00757984"/>
    <w:rsid w:val="00760EA5"/>
    <w:rsid w:val="00761F28"/>
    <w:rsid w:val="0076220D"/>
    <w:rsid w:val="00762D7B"/>
    <w:rsid w:val="00765055"/>
    <w:rsid w:val="00773C4E"/>
    <w:rsid w:val="00775627"/>
    <w:rsid w:val="00775853"/>
    <w:rsid w:val="00775960"/>
    <w:rsid w:val="00780266"/>
    <w:rsid w:val="007913CE"/>
    <w:rsid w:val="00791EC7"/>
    <w:rsid w:val="007A1A1C"/>
    <w:rsid w:val="007A2B58"/>
    <w:rsid w:val="007A49AA"/>
    <w:rsid w:val="007B1954"/>
    <w:rsid w:val="007B4D0D"/>
    <w:rsid w:val="007B5FE3"/>
    <w:rsid w:val="007C2427"/>
    <w:rsid w:val="007C28E5"/>
    <w:rsid w:val="007D3159"/>
    <w:rsid w:val="007D5311"/>
    <w:rsid w:val="007D7299"/>
    <w:rsid w:val="007D79A8"/>
    <w:rsid w:val="007E1BBC"/>
    <w:rsid w:val="007E3A91"/>
    <w:rsid w:val="007E4BDD"/>
    <w:rsid w:val="007E7B48"/>
    <w:rsid w:val="007E7CA1"/>
    <w:rsid w:val="007F1258"/>
    <w:rsid w:val="007F2C35"/>
    <w:rsid w:val="007F3462"/>
    <w:rsid w:val="007F5D2D"/>
    <w:rsid w:val="007F6204"/>
    <w:rsid w:val="00800C5F"/>
    <w:rsid w:val="00803C77"/>
    <w:rsid w:val="008048E3"/>
    <w:rsid w:val="00812B84"/>
    <w:rsid w:val="00813EE6"/>
    <w:rsid w:val="00814795"/>
    <w:rsid w:val="00815036"/>
    <w:rsid w:val="00817D50"/>
    <w:rsid w:val="00824AAA"/>
    <w:rsid w:val="00825F44"/>
    <w:rsid w:val="008270DB"/>
    <w:rsid w:val="00827235"/>
    <w:rsid w:val="0083085C"/>
    <w:rsid w:val="00830AA3"/>
    <w:rsid w:val="00832BF1"/>
    <w:rsid w:val="008332B7"/>
    <w:rsid w:val="0084044F"/>
    <w:rsid w:val="008460D4"/>
    <w:rsid w:val="00850065"/>
    <w:rsid w:val="00851EBA"/>
    <w:rsid w:val="00851F60"/>
    <w:rsid w:val="00853496"/>
    <w:rsid w:val="00855E38"/>
    <w:rsid w:val="00856ED6"/>
    <w:rsid w:val="00857C25"/>
    <w:rsid w:val="00864B57"/>
    <w:rsid w:val="00865F4A"/>
    <w:rsid w:val="00872E15"/>
    <w:rsid w:val="00877D5B"/>
    <w:rsid w:val="0088290C"/>
    <w:rsid w:val="00893A05"/>
    <w:rsid w:val="00895FA0"/>
    <w:rsid w:val="008A39C9"/>
    <w:rsid w:val="008A3E4E"/>
    <w:rsid w:val="008A4565"/>
    <w:rsid w:val="008B0A9F"/>
    <w:rsid w:val="008B4AE7"/>
    <w:rsid w:val="008B4B00"/>
    <w:rsid w:val="008B565B"/>
    <w:rsid w:val="008B63B9"/>
    <w:rsid w:val="008B6BCD"/>
    <w:rsid w:val="008B6ED5"/>
    <w:rsid w:val="008C1636"/>
    <w:rsid w:val="008C44A1"/>
    <w:rsid w:val="008D2208"/>
    <w:rsid w:val="008D3302"/>
    <w:rsid w:val="008D354A"/>
    <w:rsid w:val="008D64F2"/>
    <w:rsid w:val="008D6725"/>
    <w:rsid w:val="008D705A"/>
    <w:rsid w:val="008D7BAC"/>
    <w:rsid w:val="008E237F"/>
    <w:rsid w:val="008E44F3"/>
    <w:rsid w:val="008E594E"/>
    <w:rsid w:val="008F4222"/>
    <w:rsid w:val="008F42D1"/>
    <w:rsid w:val="0090045F"/>
    <w:rsid w:val="0090144A"/>
    <w:rsid w:val="009017C2"/>
    <w:rsid w:val="00902390"/>
    <w:rsid w:val="00902716"/>
    <w:rsid w:val="009034BD"/>
    <w:rsid w:val="00903A5E"/>
    <w:rsid w:val="00905C7F"/>
    <w:rsid w:val="00911093"/>
    <w:rsid w:val="009122B1"/>
    <w:rsid w:val="009127B3"/>
    <w:rsid w:val="0091300B"/>
    <w:rsid w:val="00916726"/>
    <w:rsid w:val="009200E3"/>
    <w:rsid w:val="00923BE9"/>
    <w:rsid w:val="009269D8"/>
    <w:rsid w:val="009312EA"/>
    <w:rsid w:val="009314A8"/>
    <w:rsid w:val="00935112"/>
    <w:rsid w:val="00937C32"/>
    <w:rsid w:val="00937EB4"/>
    <w:rsid w:val="009400B5"/>
    <w:rsid w:val="009441CC"/>
    <w:rsid w:val="009473DB"/>
    <w:rsid w:val="00947F51"/>
    <w:rsid w:val="00956345"/>
    <w:rsid w:val="00960B20"/>
    <w:rsid w:val="00962B90"/>
    <w:rsid w:val="00964D27"/>
    <w:rsid w:val="00965CB9"/>
    <w:rsid w:val="00970194"/>
    <w:rsid w:val="00971C9A"/>
    <w:rsid w:val="00973DD9"/>
    <w:rsid w:val="009775B7"/>
    <w:rsid w:val="00981A9C"/>
    <w:rsid w:val="00981C35"/>
    <w:rsid w:val="00995915"/>
    <w:rsid w:val="0099657F"/>
    <w:rsid w:val="009A51CB"/>
    <w:rsid w:val="009A59AB"/>
    <w:rsid w:val="009A6320"/>
    <w:rsid w:val="009B13D3"/>
    <w:rsid w:val="009C3A8E"/>
    <w:rsid w:val="009C62E2"/>
    <w:rsid w:val="009C7956"/>
    <w:rsid w:val="009D360A"/>
    <w:rsid w:val="009D4B8B"/>
    <w:rsid w:val="009D5E59"/>
    <w:rsid w:val="009D720F"/>
    <w:rsid w:val="009D7B7A"/>
    <w:rsid w:val="009E5DED"/>
    <w:rsid w:val="009E683C"/>
    <w:rsid w:val="009E6C47"/>
    <w:rsid w:val="009E74CA"/>
    <w:rsid w:val="009F145F"/>
    <w:rsid w:val="009F4386"/>
    <w:rsid w:val="009F571C"/>
    <w:rsid w:val="009F6183"/>
    <w:rsid w:val="009F623F"/>
    <w:rsid w:val="00A01198"/>
    <w:rsid w:val="00A025BC"/>
    <w:rsid w:val="00A04FC8"/>
    <w:rsid w:val="00A07386"/>
    <w:rsid w:val="00A077FF"/>
    <w:rsid w:val="00A07EEA"/>
    <w:rsid w:val="00A1311E"/>
    <w:rsid w:val="00A202F5"/>
    <w:rsid w:val="00A3291F"/>
    <w:rsid w:val="00A33E34"/>
    <w:rsid w:val="00A34AF5"/>
    <w:rsid w:val="00A35695"/>
    <w:rsid w:val="00A363EB"/>
    <w:rsid w:val="00A37D4A"/>
    <w:rsid w:val="00A4127E"/>
    <w:rsid w:val="00A429D3"/>
    <w:rsid w:val="00A46BAB"/>
    <w:rsid w:val="00A53BE3"/>
    <w:rsid w:val="00A549F2"/>
    <w:rsid w:val="00A55EF3"/>
    <w:rsid w:val="00A56545"/>
    <w:rsid w:val="00A60093"/>
    <w:rsid w:val="00A63D66"/>
    <w:rsid w:val="00A66093"/>
    <w:rsid w:val="00A7215C"/>
    <w:rsid w:val="00A72AC5"/>
    <w:rsid w:val="00A774FE"/>
    <w:rsid w:val="00A82287"/>
    <w:rsid w:val="00A835C8"/>
    <w:rsid w:val="00A8360F"/>
    <w:rsid w:val="00A83A67"/>
    <w:rsid w:val="00A84DDA"/>
    <w:rsid w:val="00A864BA"/>
    <w:rsid w:val="00A92898"/>
    <w:rsid w:val="00A96170"/>
    <w:rsid w:val="00A97588"/>
    <w:rsid w:val="00AA17DE"/>
    <w:rsid w:val="00AA1B85"/>
    <w:rsid w:val="00AA2F40"/>
    <w:rsid w:val="00AA462D"/>
    <w:rsid w:val="00AA5516"/>
    <w:rsid w:val="00AA64FE"/>
    <w:rsid w:val="00AB0A0F"/>
    <w:rsid w:val="00AB0FA8"/>
    <w:rsid w:val="00AB1C6B"/>
    <w:rsid w:val="00AB2075"/>
    <w:rsid w:val="00AB2790"/>
    <w:rsid w:val="00AB4391"/>
    <w:rsid w:val="00AB48DC"/>
    <w:rsid w:val="00AB6847"/>
    <w:rsid w:val="00AC279E"/>
    <w:rsid w:val="00AC3A61"/>
    <w:rsid w:val="00AC41F2"/>
    <w:rsid w:val="00AD0E7F"/>
    <w:rsid w:val="00AD13C7"/>
    <w:rsid w:val="00AD234A"/>
    <w:rsid w:val="00AD26EA"/>
    <w:rsid w:val="00AD2AC3"/>
    <w:rsid w:val="00AD33FD"/>
    <w:rsid w:val="00AD354C"/>
    <w:rsid w:val="00AD5A42"/>
    <w:rsid w:val="00AE0B7F"/>
    <w:rsid w:val="00AE1769"/>
    <w:rsid w:val="00AE3766"/>
    <w:rsid w:val="00AE5163"/>
    <w:rsid w:val="00AE608C"/>
    <w:rsid w:val="00AF2579"/>
    <w:rsid w:val="00AF2C23"/>
    <w:rsid w:val="00B0265D"/>
    <w:rsid w:val="00B02ED6"/>
    <w:rsid w:val="00B04DFA"/>
    <w:rsid w:val="00B06484"/>
    <w:rsid w:val="00B12590"/>
    <w:rsid w:val="00B1413B"/>
    <w:rsid w:val="00B14828"/>
    <w:rsid w:val="00B15CEB"/>
    <w:rsid w:val="00B16F07"/>
    <w:rsid w:val="00B20551"/>
    <w:rsid w:val="00B21F3B"/>
    <w:rsid w:val="00B2233D"/>
    <w:rsid w:val="00B30411"/>
    <w:rsid w:val="00B35AA2"/>
    <w:rsid w:val="00B407F4"/>
    <w:rsid w:val="00B430B5"/>
    <w:rsid w:val="00B43C92"/>
    <w:rsid w:val="00B45F66"/>
    <w:rsid w:val="00B464E2"/>
    <w:rsid w:val="00B46D14"/>
    <w:rsid w:val="00B535BD"/>
    <w:rsid w:val="00B5515A"/>
    <w:rsid w:val="00B57D4B"/>
    <w:rsid w:val="00B608AF"/>
    <w:rsid w:val="00B61627"/>
    <w:rsid w:val="00B6359E"/>
    <w:rsid w:val="00B67FC5"/>
    <w:rsid w:val="00B70027"/>
    <w:rsid w:val="00B70925"/>
    <w:rsid w:val="00B737C2"/>
    <w:rsid w:val="00B81964"/>
    <w:rsid w:val="00B81A56"/>
    <w:rsid w:val="00B83030"/>
    <w:rsid w:val="00B831C8"/>
    <w:rsid w:val="00B8346D"/>
    <w:rsid w:val="00B86A6A"/>
    <w:rsid w:val="00B8764C"/>
    <w:rsid w:val="00B93450"/>
    <w:rsid w:val="00BA0559"/>
    <w:rsid w:val="00BA62E0"/>
    <w:rsid w:val="00BB4301"/>
    <w:rsid w:val="00BB5F43"/>
    <w:rsid w:val="00BB7F68"/>
    <w:rsid w:val="00BC17C0"/>
    <w:rsid w:val="00BC19D3"/>
    <w:rsid w:val="00BC3827"/>
    <w:rsid w:val="00BC4BCF"/>
    <w:rsid w:val="00BC7313"/>
    <w:rsid w:val="00BD1FEE"/>
    <w:rsid w:val="00BD5B20"/>
    <w:rsid w:val="00BD7BC1"/>
    <w:rsid w:val="00BE2B4E"/>
    <w:rsid w:val="00BE5750"/>
    <w:rsid w:val="00BE5F93"/>
    <w:rsid w:val="00BE7781"/>
    <w:rsid w:val="00BF68F5"/>
    <w:rsid w:val="00BF68F8"/>
    <w:rsid w:val="00C00865"/>
    <w:rsid w:val="00C01DCE"/>
    <w:rsid w:val="00C0439F"/>
    <w:rsid w:val="00C045A5"/>
    <w:rsid w:val="00C06910"/>
    <w:rsid w:val="00C10BF9"/>
    <w:rsid w:val="00C133C8"/>
    <w:rsid w:val="00C13E26"/>
    <w:rsid w:val="00C20232"/>
    <w:rsid w:val="00C22A11"/>
    <w:rsid w:val="00C264E8"/>
    <w:rsid w:val="00C31052"/>
    <w:rsid w:val="00C3238A"/>
    <w:rsid w:val="00C3254E"/>
    <w:rsid w:val="00C34435"/>
    <w:rsid w:val="00C36195"/>
    <w:rsid w:val="00C36DAA"/>
    <w:rsid w:val="00C419BA"/>
    <w:rsid w:val="00C429ED"/>
    <w:rsid w:val="00C45CD5"/>
    <w:rsid w:val="00C46099"/>
    <w:rsid w:val="00C47746"/>
    <w:rsid w:val="00C50C19"/>
    <w:rsid w:val="00C556E7"/>
    <w:rsid w:val="00C55C57"/>
    <w:rsid w:val="00C56BBE"/>
    <w:rsid w:val="00C64B38"/>
    <w:rsid w:val="00C658A3"/>
    <w:rsid w:val="00C7046A"/>
    <w:rsid w:val="00C71AEF"/>
    <w:rsid w:val="00C73C4B"/>
    <w:rsid w:val="00C73EFC"/>
    <w:rsid w:val="00C8455C"/>
    <w:rsid w:val="00C92909"/>
    <w:rsid w:val="00C93A5D"/>
    <w:rsid w:val="00C95B8F"/>
    <w:rsid w:val="00C97BB0"/>
    <w:rsid w:val="00CA02F7"/>
    <w:rsid w:val="00CA0829"/>
    <w:rsid w:val="00CA1B89"/>
    <w:rsid w:val="00CA40DC"/>
    <w:rsid w:val="00CA5547"/>
    <w:rsid w:val="00CB11CD"/>
    <w:rsid w:val="00CB2329"/>
    <w:rsid w:val="00CB2BBF"/>
    <w:rsid w:val="00CB7289"/>
    <w:rsid w:val="00CC19BE"/>
    <w:rsid w:val="00CD023A"/>
    <w:rsid w:val="00CD033E"/>
    <w:rsid w:val="00CD038B"/>
    <w:rsid w:val="00CD184C"/>
    <w:rsid w:val="00CD3209"/>
    <w:rsid w:val="00CD3EE4"/>
    <w:rsid w:val="00CD465A"/>
    <w:rsid w:val="00CD7F72"/>
    <w:rsid w:val="00CE0079"/>
    <w:rsid w:val="00CF1447"/>
    <w:rsid w:val="00CF270E"/>
    <w:rsid w:val="00CF4A77"/>
    <w:rsid w:val="00CF5DF1"/>
    <w:rsid w:val="00CF6509"/>
    <w:rsid w:val="00D00F44"/>
    <w:rsid w:val="00D01DB1"/>
    <w:rsid w:val="00D031C0"/>
    <w:rsid w:val="00D04689"/>
    <w:rsid w:val="00D05D7B"/>
    <w:rsid w:val="00D109B4"/>
    <w:rsid w:val="00D10CB7"/>
    <w:rsid w:val="00D1115A"/>
    <w:rsid w:val="00D11F56"/>
    <w:rsid w:val="00D12DC9"/>
    <w:rsid w:val="00D15148"/>
    <w:rsid w:val="00D21654"/>
    <w:rsid w:val="00D21715"/>
    <w:rsid w:val="00D22E92"/>
    <w:rsid w:val="00D23242"/>
    <w:rsid w:val="00D23643"/>
    <w:rsid w:val="00D25017"/>
    <w:rsid w:val="00D26D81"/>
    <w:rsid w:val="00D30507"/>
    <w:rsid w:val="00D32642"/>
    <w:rsid w:val="00D32F76"/>
    <w:rsid w:val="00D3561C"/>
    <w:rsid w:val="00D37182"/>
    <w:rsid w:val="00D415A5"/>
    <w:rsid w:val="00D46AD3"/>
    <w:rsid w:val="00D46ADB"/>
    <w:rsid w:val="00D4737F"/>
    <w:rsid w:val="00D5312A"/>
    <w:rsid w:val="00D531C9"/>
    <w:rsid w:val="00D53689"/>
    <w:rsid w:val="00D62064"/>
    <w:rsid w:val="00D62D01"/>
    <w:rsid w:val="00D67BE1"/>
    <w:rsid w:val="00D7034B"/>
    <w:rsid w:val="00D74568"/>
    <w:rsid w:val="00D776A2"/>
    <w:rsid w:val="00D77799"/>
    <w:rsid w:val="00D8039E"/>
    <w:rsid w:val="00D831A3"/>
    <w:rsid w:val="00D843A7"/>
    <w:rsid w:val="00D9053E"/>
    <w:rsid w:val="00D91BA1"/>
    <w:rsid w:val="00D92F40"/>
    <w:rsid w:val="00D97C28"/>
    <w:rsid w:val="00DA0510"/>
    <w:rsid w:val="00DA0636"/>
    <w:rsid w:val="00DA1013"/>
    <w:rsid w:val="00DA2615"/>
    <w:rsid w:val="00DA3A1A"/>
    <w:rsid w:val="00DA5FA6"/>
    <w:rsid w:val="00DB16D2"/>
    <w:rsid w:val="00DB28C0"/>
    <w:rsid w:val="00DB3095"/>
    <w:rsid w:val="00DB3344"/>
    <w:rsid w:val="00DB3427"/>
    <w:rsid w:val="00DB6A45"/>
    <w:rsid w:val="00DB7796"/>
    <w:rsid w:val="00DB7D37"/>
    <w:rsid w:val="00DC06B7"/>
    <w:rsid w:val="00DC3487"/>
    <w:rsid w:val="00DC4B6A"/>
    <w:rsid w:val="00DD1F69"/>
    <w:rsid w:val="00DD2B0A"/>
    <w:rsid w:val="00DD2DB5"/>
    <w:rsid w:val="00DD4638"/>
    <w:rsid w:val="00DE0AFB"/>
    <w:rsid w:val="00DE3B13"/>
    <w:rsid w:val="00DE4C92"/>
    <w:rsid w:val="00DE63C1"/>
    <w:rsid w:val="00DF0D12"/>
    <w:rsid w:val="00DF1900"/>
    <w:rsid w:val="00DF21A4"/>
    <w:rsid w:val="00DF2C36"/>
    <w:rsid w:val="00E015F5"/>
    <w:rsid w:val="00E01DE7"/>
    <w:rsid w:val="00E04D77"/>
    <w:rsid w:val="00E05669"/>
    <w:rsid w:val="00E1095C"/>
    <w:rsid w:val="00E15398"/>
    <w:rsid w:val="00E16243"/>
    <w:rsid w:val="00E20525"/>
    <w:rsid w:val="00E21C50"/>
    <w:rsid w:val="00E22192"/>
    <w:rsid w:val="00E22925"/>
    <w:rsid w:val="00E32A5B"/>
    <w:rsid w:val="00E3427D"/>
    <w:rsid w:val="00E34C96"/>
    <w:rsid w:val="00E34D7C"/>
    <w:rsid w:val="00E35E61"/>
    <w:rsid w:val="00E52B48"/>
    <w:rsid w:val="00E54400"/>
    <w:rsid w:val="00E61D12"/>
    <w:rsid w:val="00E6309B"/>
    <w:rsid w:val="00E7663C"/>
    <w:rsid w:val="00E8279C"/>
    <w:rsid w:val="00E84330"/>
    <w:rsid w:val="00E859B9"/>
    <w:rsid w:val="00E861C3"/>
    <w:rsid w:val="00E8646A"/>
    <w:rsid w:val="00E93435"/>
    <w:rsid w:val="00E9379D"/>
    <w:rsid w:val="00E95304"/>
    <w:rsid w:val="00E96409"/>
    <w:rsid w:val="00E96E23"/>
    <w:rsid w:val="00EA2FEF"/>
    <w:rsid w:val="00EA44A3"/>
    <w:rsid w:val="00EA4EE9"/>
    <w:rsid w:val="00EA6DE8"/>
    <w:rsid w:val="00EB323B"/>
    <w:rsid w:val="00EB77B8"/>
    <w:rsid w:val="00EB7C31"/>
    <w:rsid w:val="00EC40EC"/>
    <w:rsid w:val="00EC55CB"/>
    <w:rsid w:val="00EC69B3"/>
    <w:rsid w:val="00EC6B5D"/>
    <w:rsid w:val="00EC6CDC"/>
    <w:rsid w:val="00ED2FEF"/>
    <w:rsid w:val="00ED3A95"/>
    <w:rsid w:val="00ED7C57"/>
    <w:rsid w:val="00EE00E1"/>
    <w:rsid w:val="00EE12B0"/>
    <w:rsid w:val="00EE2E04"/>
    <w:rsid w:val="00EE396D"/>
    <w:rsid w:val="00EE399A"/>
    <w:rsid w:val="00EE5055"/>
    <w:rsid w:val="00EE5BFC"/>
    <w:rsid w:val="00EF030F"/>
    <w:rsid w:val="00EF0C3A"/>
    <w:rsid w:val="00EF4C26"/>
    <w:rsid w:val="00EF6DBA"/>
    <w:rsid w:val="00F022C6"/>
    <w:rsid w:val="00F0452E"/>
    <w:rsid w:val="00F05A88"/>
    <w:rsid w:val="00F0795C"/>
    <w:rsid w:val="00F07BE7"/>
    <w:rsid w:val="00F07E67"/>
    <w:rsid w:val="00F11D9A"/>
    <w:rsid w:val="00F14440"/>
    <w:rsid w:val="00F15A6A"/>
    <w:rsid w:val="00F16792"/>
    <w:rsid w:val="00F23035"/>
    <w:rsid w:val="00F257D8"/>
    <w:rsid w:val="00F2700C"/>
    <w:rsid w:val="00F278B1"/>
    <w:rsid w:val="00F307ED"/>
    <w:rsid w:val="00F31937"/>
    <w:rsid w:val="00F32F55"/>
    <w:rsid w:val="00F332A6"/>
    <w:rsid w:val="00F4053C"/>
    <w:rsid w:val="00F40AC0"/>
    <w:rsid w:val="00F41F1C"/>
    <w:rsid w:val="00F42BDE"/>
    <w:rsid w:val="00F4512F"/>
    <w:rsid w:val="00F45145"/>
    <w:rsid w:val="00F45E56"/>
    <w:rsid w:val="00F473A0"/>
    <w:rsid w:val="00F502F6"/>
    <w:rsid w:val="00F53240"/>
    <w:rsid w:val="00F559E7"/>
    <w:rsid w:val="00F6021A"/>
    <w:rsid w:val="00F6376C"/>
    <w:rsid w:val="00F6616B"/>
    <w:rsid w:val="00F723F9"/>
    <w:rsid w:val="00F75AC2"/>
    <w:rsid w:val="00F76FD7"/>
    <w:rsid w:val="00F82429"/>
    <w:rsid w:val="00F91DE3"/>
    <w:rsid w:val="00F970C8"/>
    <w:rsid w:val="00FA0AF5"/>
    <w:rsid w:val="00FA2C4F"/>
    <w:rsid w:val="00FA47FA"/>
    <w:rsid w:val="00FA5AE0"/>
    <w:rsid w:val="00FB066A"/>
    <w:rsid w:val="00FB2837"/>
    <w:rsid w:val="00FB4B22"/>
    <w:rsid w:val="00FC003B"/>
    <w:rsid w:val="00FC4BAC"/>
    <w:rsid w:val="00FD132C"/>
    <w:rsid w:val="00FD4190"/>
    <w:rsid w:val="00FD58A8"/>
    <w:rsid w:val="00FD5B22"/>
    <w:rsid w:val="00FD70FD"/>
    <w:rsid w:val="00FE6124"/>
    <w:rsid w:val="00FF5934"/>
    <w:rsid w:val="00FF6B88"/>
    <w:rsid w:val="010F1BB8"/>
    <w:rsid w:val="01216EE7"/>
    <w:rsid w:val="0123016A"/>
    <w:rsid w:val="012A64B1"/>
    <w:rsid w:val="014852C3"/>
    <w:rsid w:val="015123B9"/>
    <w:rsid w:val="0174367B"/>
    <w:rsid w:val="019404F8"/>
    <w:rsid w:val="01B174BF"/>
    <w:rsid w:val="01BB2375"/>
    <w:rsid w:val="01C40585"/>
    <w:rsid w:val="01EC5C3E"/>
    <w:rsid w:val="01EE5E5A"/>
    <w:rsid w:val="02184C85"/>
    <w:rsid w:val="0241242E"/>
    <w:rsid w:val="02463F2E"/>
    <w:rsid w:val="02622DA5"/>
    <w:rsid w:val="027320DC"/>
    <w:rsid w:val="027D2D3A"/>
    <w:rsid w:val="029B7790"/>
    <w:rsid w:val="029F49A0"/>
    <w:rsid w:val="02AC6257"/>
    <w:rsid w:val="02AD3F10"/>
    <w:rsid w:val="02E1392C"/>
    <w:rsid w:val="02E15B06"/>
    <w:rsid w:val="02ED6112"/>
    <w:rsid w:val="032B58E3"/>
    <w:rsid w:val="038A18FA"/>
    <w:rsid w:val="039B5B6E"/>
    <w:rsid w:val="03AB2DE8"/>
    <w:rsid w:val="03D87C67"/>
    <w:rsid w:val="03E45295"/>
    <w:rsid w:val="04073203"/>
    <w:rsid w:val="04111891"/>
    <w:rsid w:val="04194CE4"/>
    <w:rsid w:val="04293179"/>
    <w:rsid w:val="042D0961"/>
    <w:rsid w:val="042D3CDA"/>
    <w:rsid w:val="042F0D33"/>
    <w:rsid w:val="04371A89"/>
    <w:rsid w:val="044E0E32"/>
    <w:rsid w:val="045566F5"/>
    <w:rsid w:val="045F47BF"/>
    <w:rsid w:val="04657909"/>
    <w:rsid w:val="04722765"/>
    <w:rsid w:val="047C6BAF"/>
    <w:rsid w:val="047F69DB"/>
    <w:rsid w:val="04842AA6"/>
    <w:rsid w:val="04885720"/>
    <w:rsid w:val="0492288F"/>
    <w:rsid w:val="04CA267F"/>
    <w:rsid w:val="04CE2CC9"/>
    <w:rsid w:val="04D31337"/>
    <w:rsid w:val="04D550AF"/>
    <w:rsid w:val="04E91183"/>
    <w:rsid w:val="04F26AFF"/>
    <w:rsid w:val="04FC0573"/>
    <w:rsid w:val="05157BA2"/>
    <w:rsid w:val="05246E9C"/>
    <w:rsid w:val="052B1173"/>
    <w:rsid w:val="05371ABB"/>
    <w:rsid w:val="054B708D"/>
    <w:rsid w:val="05500BDA"/>
    <w:rsid w:val="05706FC7"/>
    <w:rsid w:val="05811023"/>
    <w:rsid w:val="058A663F"/>
    <w:rsid w:val="059079EE"/>
    <w:rsid w:val="05907B90"/>
    <w:rsid w:val="05A21435"/>
    <w:rsid w:val="05AE4BE1"/>
    <w:rsid w:val="05B66C8F"/>
    <w:rsid w:val="05DE7F94"/>
    <w:rsid w:val="06642D4E"/>
    <w:rsid w:val="067F0B76"/>
    <w:rsid w:val="067F1777"/>
    <w:rsid w:val="06824DC3"/>
    <w:rsid w:val="06A21C2D"/>
    <w:rsid w:val="06B83EA4"/>
    <w:rsid w:val="06BE3FD1"/>
    <w:rsid w:val="06C451CB"/>
    <w:rsid w:val="06CB1BC3"/>
    <w:rsid w:val="06D777C1"/>
    <w:rsid w:val="06DF2215"/>
    <w:rsid w:val="06FE7F3F"/>
    <w:rsid w:val="071F062B"/>
    <w:rsid w:val="07350087"/>
    <w:rsid w:val="074800E4"/>
    <w:rsid w:val="0751468C"/>
    <w:rsid w:val="075B03FC"/>
    <w:rsid w:val="07846919"/>
    <w:rsid w:val="07AE585C"/>
    <w:rsid w:val="07B411A6"/>
    <w:rsid w:val="07B85288"/>
    <w:rsid w:val="07BA6D2A"/>
    <w:rsid w:val="07C45B95"/>
    <w:rsid w:val="07D05E38"/>
    <w:rsid w:val="07DD472D"/>
    <w:rsid w:val="07E0302E"/>
    <w:rsid w:val="07E375C1"/>
    <w:rsid w:val="07F50864"/>
    <w:rsid w:val="083B0202"/>
    <w:rsid w:val="083C1CC2"/>
    <w:rsid w:val="083D5445"/>
    <w:rsid w:val="084D31AF"/>
    <w:rsid w:val="085963D5"/>
    <w:rsid w:val="0873116F"/>
    <w:rsid w:val="08802F00"/>
    <w:rsid w:val="089A42D8"/>
    <w:rsid w:val="089B79CE"/>
    <w:rsid w:val="08A752C8"/>
    <w:rsid w:val="08B47CA5"/>
    <w:rsid w:val="08CB2AB1"/>
    <w:rsid w:val="090C490C"/>
    <w:rsid w:val="092403B3"/>
    <w:rsid w:val="092A166F"/>
    <w:rsid w:val="09307D9C"/>
    <w:rsid w:val="094F322D"/>
    <w:rsid w:val="09544B2B"/>
    <w:rsid w:val="09552777"/>
    <w:rsid w:val="0978448E"/>
    <w:rsid w:val="0996469B"/>
    <w:rsid w:val="09A96FE2"/>
    <w:rsid w:val="09BE69B2"/>
    <w:rsid w:val="09C465AC"/>
    <w:rsid w:val="09CA0F5B"/>
    <w:rsid w:val="09CB446B"/>
    <w:rsid w:val="09E87633"/>
    <w:rsid w:val="09F851A9"/>
    <w:rsid w:val="0A18432C"/>
    <w:rsid w:val="0A2543E3"/>
    <w:rsid w:val="0A2C39C3"/>
    <w:rsid w:val="0A39156F"/>
    <w:rsid w:val="0A530489"/>
    <w:rsid w:val="0A747118"/>
    <w:rsid w:val="0ACA05C6"/>
    <w:rsid w:val="0ACB4F8A"/>
    <w:rsid w:val="0AF81AF7"/>
    <w:rsid w:val="0B09160F"/>
    <w:rsid w:val="0B106E41"/>
    <w:rsid w:val="0B1C04DF"/>
    <w:rsid w:val="0B2E3315"/>
    <w:rsid w:val="0B6D524B"/>
    <w:rsid w:val="0B731EF0"/>
    <w:rsid w:val="0B742FA7"/>
    <w:rsid w:val="0B9510F4"/>
    <w:rsid w:val="0BA71024"/>
    <w:rsid w:val="0BB62B8C"/>
    <w:rsid w:val="0BB84C75"/>
    <w:rsid w:val="0BF419BC"/>
    <w:rsid w:val="0BFA364D"/>
    <w:rsid w:val="0BFC3D50"/>
    <w:rsid w:val="0BFE12D8"/>
    <w:rsid w:val="0C126658"/>
    <w:rsid w:val="0C144CB8"/>
    <w:rsid w:val="0C221075"/>
    <w:rsid w:val="0C3A2AFF"/>
    <w:rsid w:val="0C49548E"/>
    <w:rsid w:val="0C9A0EC5"/>
    <w:rsid w:val="0C9E047D"/>
    <w:rsid w:val="0CA87BDA"/>
    <w:rsid w:val="0CC22FAC"/>
    <w:rsid w:val="0CE31332"/>
    <w:rsid w:val="0CF14A50"/>
    <w:rsid w:val="0D166106"/>
    <w:rsid w:val="0D2C0798"/>
    <w:rsid w:val="0D32202C"/>
    <w:rsid w:val="0D5A65D7"/>
    <w:rsid w:val="0D946F28"/>
    <w:rsid w:val="0D954742"/>
    <w:rsid w:val="0D9F1FF7"/>
    <w:rsid w:val="0DA01131"/>
    <w:rsid w:val="0DB4503A"/>
    <w:rsid w:val="0E0754A7"/>
    <w:rsid w:val="0E147545"/>
    <w:rsid w:val="0E2F4107"/>
    <w:rsid w:val="0E351CF0"/>
    <w:rsid w:val="0E7871F9"/>
    <w:rsid w:val="0E943229"/>
    <w:rsid w:val="0E9B4C74"/>
    <w:rsid w:val="0EBA38FA"/>
    <w:rsid w:val="0ED308B1"/>
    <w:rsid w:val="0ED47191"/>
    <w:rsid w:val="0EDC5959"/>
    <w:rsid w:val="0EFA28D1"/>
    <w:rsid w:val="0EFB3964"/>
    <w:rsid w:val="0F1825D5"/>
    <w:rsid w:val="0F1B1928"/>
    <w:rsid w:val="0F1C3AFD"/>
    <w:rsid w:val="0F2A471C"/>
    <w:rsid w:val="0F36394E"/>
    <w:rsid w:val="0F481406"/>
    <w:rsid w:val="0F5117D6"/>
    <w:rsid w:val="0F824086"/>
    <w:rsid w:val="0F836578"/>
    <w:rsid w:val="0F8944D9"/>
    <w:rsid w:val="0F8A51C6"/>
    <w:rsid w:val="0FB3456D"/>
    <w:rsid w:val="0FBF0E36"/>
    <w:rsid w:val="0FCA5F19"/>
    <w:rsid w:val="0FDA30C6"/>
    <w:rsid w:val="0FDA4CD0"/>
    <w:rsid w:val="0FDB47B4"/>
    <w:rsid w:val="0FDE3AA0"/>
    <w:rsid w:val="0FFB1625"/>
    <w:rsid w:val="1020284F"/>
    <w:rsid w:val="10521CAA"/>
    <w:rsid w:val="1057106E"/>
    <w:rsid w:val="105D54C4"/>
    <w:rsid w:val="10C552F3"/>
    <w:rsid w:val="10CF6E57"/>
    <w:rsid w:val="110D7406"/>
    <w:rsid w:val="1131764A"/>
    <w:rsid w:val="114B146A"/>
    <w:rsid w:val="116273D5"/>
    <w:rsid w:val="1165782C"/>
    <w:rsid w:val="118A20DC"/>
    <w:rsid w:val="11974589"/>
    <w:rsid w:val="11AC623F"/>
    <w:rsid w:val="11B11754"/>
    <w:rsid w:val="11B92C2E"/>
    <w:rsid w:val="11C253B7"/>
    <w:rsid w:val="11D706B9"/>
    <w:rsid w:val="11D861DF"/>
    <w:rsid w:val="11E203D8"/>
    <w:rsid w:val="11E9219A"/>
    <w:rsid w:val="11EC7842"/>
    <w:rsid w:val="11EE2CC4"/>
    <w:rsid w:val="11FF27F2"/>
    <w:rsid w:val="120945EA"/>
    <w:rsid w:val="12096398"/>
    <w:rsid w:val="120D0DCA"/>
    <w:rsid w:val="120D5692"/>
    <w:rsid w:val="121637D2"/>
    <w:rsid w:val="12396F1D"/>
    <w:rsid w:val="12421843"/>
    <w:rsid w:val="126976E0"/>
    <w:rsid w:val="12760DCF"/>
    <w:rsid w:val="127A11F6"/>
    <w:rsid w:val="127B2C13"/>
    <w:rsid w:val="127B54E8"/>
    <w:rsid w:val="12847ACF"/>
    <w:rsid w:val="12951EBB"/>
    <w:rsid w:val="12AA7B7B"/>
    <w:rsid w:val="12BF3318"/>
    <w:rsid w:val="12CA3D79"/>
    <w:rsid w:val="12FB32C0"/>
    <w:rsid w:val="1311582C"/>
    <w:rsid w:val="13196969"/>
    <w:rsid w:val="13225964"/>
    <w:rsid w:val="132A1BA9"/>
    <w:rsid w:val="132D6505"/>
    <w:rsid w:val="132E3571"/>
    <w:rsid w:val="133205EF"/>
    <w:rsid w:val="13535CFF"/>
    <w:rsid w:val="1356560D"/>
    <w:rsid w:val="13590FD2"/>
    <w:rsid w:val="13687709"/>
    <w:rsid w:val="13761036"/>
    <w:rsid w:val="1397221F"/>
    <w:rsid w:val="139D323C"/>
    <w:rsid w:val="13B16CE7"/>
    <w:rsid w:val="13B476C5"/>
    <w:rsid w:val="13BE0D75"/>
    <w:rsid w:val="13D04AB2"/>
    <w:rsid w:val="13F72E61"/>
    <w:rsid w:val="142A0816"/>
    <w:rsid w:val="142E0338"/>
    <w:rsid w:val="14327E28"/>
    <w:rsid w:val="144E2788"/>
    <w:rsid w:val="1486004E"/>
    <w:rsid w:val="14983FE6"/>
    <w:rsid w:val="149A4FFD"/>
    <w:rsid w:val="14AC3FBC"/>
    <w:rsid w:val="14BA7E1E"/>
    <w:rsid w:val="14C12DDE"/>
    <w:rsid w:val="14C31CBC"/>
    <w:rsid w:val="14DC27DA"/>
    <w:rsid w:val="14EF51BE"/>
    <w:rsid w:val="14F0136E"/>
    <w:rsid w:val="15062E05"/>
    <w:rsid w:val="152C3645"/>
    <w:rsid w:val="152C694B"/>
    <w:rsid w:val="1538570F"/>
    <w:rsid w:val="15591503"/>
    <w:rsid w:val="15673B02"/>
    <w:rsid w:val="156A1844"/>
    <w:rsid w:val="15AF06B6"/>
    <w:rsid w:val="15BB57F9"/>
    <w:rsid w:val="15E92769"/>
    <w:rsid w:val="15EB4733"/>
    <w:rsid w:val="16061F49"/>
    <w:rsid w:val="160B13A5"/>
    <w:rsid w:val="16167CF8"/>
    <w:rsid w:val="161C2B3E"/>
    <w:rsid w:val="163600C5"/>
    <w:rsid w:val="16880E42"/>
    <w:rsid w:val="16970417"/>
    <w:rsid w:val="16985F3D"/>
    <w:rsid w:val="16B36CF6"/>
    <w:rsid w:val="16C461B3"/>
    <w:rsid w:val="16C56E06"/>
    <w:rsid w:val="16CB4564"/>
    <w:rsid w:val="16DC051F"/>
    <w:rsid w:val="16E16A4B"/>
    <w:rsid w:val="16E73580"/>
    <w:rsid w:val="16ED209B"/>
    <w:rsid w:val="17125B7C"/>
    <w:rsid w:val="17482D34"/>
    <w:rsid w:val="17601336"/>
    <w:rsid w:val="17650A8F"/>
    <w:rsid w:val="1767428D"/>
    <w:rsid w:val="176B039E"/>
    <w:rsid w:val="177B0B01"/>
    <w:rsid w:val="179A5165"/>
    <w:rsid w:val="17AA4179"/>
    <w:rsid w:val="17AF79E2"/>
    <w:rsid w:val="17BA65A3"/>
    <w:rsid w:val="17DB5651"/>
    <w:rsid w:val="18150D99"/>
    <w:rsid w:val="18166EE4"/>
    <w:rsid w:val="183121A5"/>
    <w:rsid w:val="183A0479"/>
    <w:rsid w:val="183E0A52"/>
    <w:rsid w:val="184C5BB1"/>
    <w:rsid w:val="185921C3"/>
    <w:rsid w:val="18694D67"/>
    <w:rsid w:val="187622AE"/>
    <w:rsid w:val="187A3B4C"/>
    <w:rsid w:val="187D4B84"/>
    <w:rsid w:val="1912647A"/>
    <w:rsid w:val="191E6BCD"/>
    <w:rsid w:val="19553A9D"/>
    <w:rsid w:val="199230AF"/>
    <w:rsid w:val="199C6355"/>
    <w:rsid w:val="19B273B7"/>
    <w:rsid w:val="19C82E7C"/>
    <w:rsid w:val="1A135D66"/>
    <w:rsid w:val="1A1378DA"/>
    <w:rsid w:val="1A384205"/>
    <w:rsid w:val="1A3F50E2"/>
    <w:rsid w:val="1A4563DB"/>
    <w:rsid w:val="1A520E6D"/>
    <w:rsid w:val="1A59309D"/>
    <w:rsid w:val="1A64757E"/>
    <w:rsid w:val="1A7A0BDE"/>
    <w:rsid w:val="1A803641"/>
    <w:rsid w:val="1A8A3B6A"/>
    <w:rsid w:val="1A99078D"/>
    <w:rsid w:val="1AC6553A"/>
    <w:rsid w:val="1ACB4B33"/>
    <w:rsid w:val="1AD17190"/>
    <w:rsid w:val="1AE46098"/>
    <w:rsid w:val="1B0A39DD"/>
    <w:rsid w:val="1B375528"/>
    <w:rsid w:val="1B4559CA"/>
    <w:rsid w:val="1B4F09A9"/>
    <w:rsid w:val="1B602DE3"/>
    <w:rsid w:val="1B6C2528"/>
    <w:rsid w:val="1B894330"/>
    <w:rsid w:val="1B9F5833"/>
    <w:rsid w:val="1BB76E65"/>
    <w:rsid w:val="1BC009E9"/>
    <w:rsid w:val="1BC57058"/>
    <w:rsid w:val="1BC86B43"/>
    <w:rsid w:val="1BED6D65"/>
    <w:rsid w:val="1C1A7031"/>
    <w:rsid w:val="1C253619"/>
    <w:rsid w:val="1C27124E"/>
    <w:rsid w:val="1C67403B"/>
    <w:rsid w:val="1C6A3067"/>
    <w:rsid w:val="1C820BA6"/>
    <w:rsid w:val="1C8925AF"/>
    <w:rsid w:val="1CA53EB4"/>
    <w:rsid w:val="1CAC09F8"/>
    <w:rsid w:val="1CBA7261"/>
    <w:rsid w:val="1CE22AC4"/>
    <w:rsid w:val="1CE407F6"/>
    <w:rsid w:val="1CFA7248"/>
    <w:rsid w:val="1D0A4412"/>
    <w:rsid w:val="1D160E30"/>
    <w:rsid w:val="1D1937CE"/>
    <w:rsid w:val="1D535E9E"/>
    <w:rsid w:val="1D554B87"/>
    <w:rsid w:val="1D95611C"/>
    <w:rsid w:val="1DA2217C"/>
    <w:rsid w:val="1DBA5C77"/>
    <w:rsid w:val="1DE101C9"/>
    <w:rsid w:val="1DE13CD3"/>
    <w:rsid w:val="1DEA3522"/>
    <w:rsid w:val="1E2A7DC2"/>
    <w:rsid w:val="1E2D7DDA"/>
    <w:rsid w:val="1E3079F6"/>
    <w:rsid w:val="1E312EFF"/>
    <w:rsid w:val="1E3C508B"/>
    <w:rsid w:val="1E4E1D03"/>
    <w:rsid w:val="1E5B61CE"/>
    <w:rsid w:val="1E703BC3"/>
    <w:rsid w:val="1E836C02"/>
    <w:rsid w:val="1E863166"/>
    <w:rsid w:val="1E8C1654"/>
    <w:rsid w:val="1E921D03"/>
    <w:rsid w:val="1EC04283"/>
    <w:rsid w:val="1EC149E1"/>
    <w:rsid w:val="1EC91389"/>
    <w:rsid w:val="1ECE5416"/>
    <w:rsid w:val="1ED53114"/>
    <w:rsid w:val="1EDE7C42"/>
    <w:rsid w:val="1EE1001E"/>
    <w:rsid w:val="1F085C33"/>
    <w:rsid w:val="1F0A11A5"/>
    <w:rsid w:val="1F115769"/>
    <w:rsid w:val="1F1A626D"/>
    <w:rsid w:val="1F213104"/>
    <w:rsid w:val="1F306B65"/>
    <w:rsid w:val="1F552C1D"/>
    <w:rsid w:val="1F5A2DDC"/>
    <w:rsid w:val="1F652F81"/>
    <w:rsid w:val="1F6852D1"/>
    <w:rsid w:val="1F8B0CBE"/>
    <w:rsid w:val="1F9376EE"/>
    <w:rsid w:val="1F9A7D24"/>
    <w:rsid w:val="1FA23B2A"/>
    <w:rsid w:val="1FB05096"/>
    <w:rsid w:val="1FB56ED4"/>
    <w:rsid w:val="1FBE0310"/>
    <w:rsid w:val="1FC85D4A"/>
    <w:rsid w:val="1FF70178"/>
    <w:rsid w:val="200B1A77"/>
    <w:rsid w:val="201448AD"/>
    <w:rsid w:val="2057045D"/>
    <w:rsid w:val="205B201C"/>
    <w:rsid w:val="205C534E"/>
    <w:rsid w:val="209A7BE1"/>
    <w:rsid w:val="20B00A53"/>
    <w:rsid w:val="20BB11A5"/>
    <w:rsid w:val="20DB6AB5"/>
    <w:rsid w:val="20F52FB8"/>
    <w:rsid w:val="20F943CF"/>
    <w:rsid w:val="21374D45"/>
    <w:rsid w:val="214969A0"/>
    <w:rsid w:val="21666272"/>
    <w:rsid w:val="216830DB"/>
    <w:rsid w:val="218842CD"/>
    <w:rsid w:val="219A0CB5"/>
    <w:rsid w:val="21BD7368"/>
    <w:rsid w:val="21D50045"/>
    <w:rsid w:val="21E64000"/>
    <w:rsid w:val="21E73997"/>
    <w:rsid w:val="221E023B"/>
    <w:rsid w:val="2228286B"/>
    <w:rsid w:val="222C235B"/>
    <w:rsid w:val="22324F0B"/>
    <w:rsid w:val="22617C27"/>
    <w:rsid w:val="226637C0"/>
    <w:rsid w:val="227F26E0"/>
    <w:rsid w:val="228B7B8D"/>
    <w:rsid w:val="22995516"/>
    <w:rsid w:val="22A77C33"/>
    <w:rsid w:val="22AB5CBB"/>
    <w:rsid w:val="22C72083"/>
    <w:rsid w:val="22CF2DA6"/>
    <w:rsid w:val="22D5016F"/>
    <w:rsid w:val="22E15F11"/>
    <w:rsid w:val="23003F14"/>
    <w:rsid w:val="230D2177"/>
    <w:rsid w:val="230F38AE"/>
    <w:rsid w:val="2323195D"/>
    <w:rsid w:val="2337396A"/>
    <w:rsid w:val="234D373A"/>
    <w:rsid w:val="234E6301"/>
    <w:rsid w:val="23664E49"/>
    <w:rsid w:val="23A14B8F"/>
    <w:rsid w:val="23A35ADA"/>
    <w:rsid w:val="23A92D3F"/>
    <w:rsid w:val="23BF2D5B"/>
    <w:rsid w:val="23EA543D"/>
    <w:rsid w:val="24130F30"/>
    <w:rsid w:val="2419749E"/>
    <w:rsid w:val="24264B88"/>
    <w:rsid w:val="24280AC2"/>
    <w:rsid w:val="242816A1"/>
    <w:rsid w:val="24417351"/>
    <w:rsid w:val="249332E9"/>
    <w:rsid w:val="24C71835"/>
    <w:rsid w:val="24CB0A7B"/>
    <w:rsid w:val="24CD1C80"/>
    <w:rsid w:val="24EA2F32"/>
    <w:rsid w:val="24ED58EA"/>
    <w:rsid w:val="24F60456"/>
    <w:rsid w:val="250C6474"/>
    <w:rsid w:val="25135E7D"/>
    <w:rsid w:val="252B675E"/>
    <w:rsid w:val="253A4D8F"/>
    <w:rsid w:val="2542615B"/>
    <w:rsid w:val="257B6808"/>
    <w:rsid w:val="25AC5561"/>
    <w:rsid w:val="25AD5C17"/>
    <w:rsid w:val="25B51431"/>
    <w:rsid w:val="25C77FD9"/>
    <w:rsid w:val="25CA576B"/>
    <w:rsid w:val="26025895"/>
    <w:rsid w:val="261C6242"/>
    <w:rsid w:val="26217437"/>
    <w:rsid w:val="26236F65"/>
    <w:rsid w:val="26277119"/>
    <w:rsid w:val="263C6439"/>
    <w:rsid w:val="263E265D"/>
    <w:rsid w:val="26431502"/>
    <w:rsid w:val="265E5FD8"/>
    <w:rsid w:val="26657289"/>
    <w:rsid w:val="267B3BEE"/>
    <w:rsid w:val="26831924"/>
    <w:rsid w:val="268B714F"/>
    <w:rsid w:val="26963D4E"/>
    <w:rsid w:val="26AB309C"/>
    <w:rsid w:val="26B172D2"/>
    <w:rsid w:val="26B97F35"/>
    <w:rsid w:val="26C30DB4"/>
    <w:rsid w:val="26D50E6F"/>
    <w:rsid w:val="26E91ED0"/>
    <w:rsid w:val="27075144"/>
    <w:rsid w:val="27324588"/>
    <w:rsid w:val="27695032"/>
    <w:rsid w:val="278410A2"/>
    <w:rsid w:val="278905CA"/>
    <w:rsid w:val="278A76D1"/>
    <w:rsid w:val="27A02EA3"/>
    <w:rsid w:val="27B47AC1"/>
    <w:rsid w:val="27B801ED"/>
    <w:rsid w:val="27BF48CC"/>
    <w:rsid w:val="27C34276"/>
    <w:rsid w:val="27C43E56"/>
    <w:rsid w:val="27E15937"/>
    <w:rsid w:val="27E514A2"/>
    <w:rsid w:val="27FF406E"/>
    <w:rsid w:val="282615FA"/>
    <w:rsid w:val="28292E99"/>
    <w:rsid w:val="283877E5"/>
    <w:rsid w:val="283D2EB8"/>
    <w:rsid w:val="28514C57"/>
    <w:rsid w:val="28650375"/>
    <w:rsid w:val="286534D3"/>
    <w:rsid w:val="286949D5"/>
    <w:rsid w:val="28727B2D"/>
    <w:rsid w:val="28AF12F0"/>
    <w:rsid w:val="28BD6428"/>
    <w:rsid w:val="28FF1CE1"/>
    <w:rsid w:val="2909559A"/>
    <w:rsid w:val="29243865"/>
    <w:rsid w:val="29385A89"/>
    <w:rsid w:val="29613C02"/>
    <w:rsid w:val="29862BE8"/>
    <w:rsid w:val="29AF73CD"/>
    <w:rsid w:val="29BD1EA1"/>
    <w:rsid w:val="29CB4A61"/>
    <w:rsid w:val="29D8118E"/>
    <w:rsid w:val="29E11C7D"/>
    <w:rsid w:val="29E43F56"/>
    <w:rsid w:val="2A0C61C9"/>
    <w:rsid w:val="2A1C0F07"/>
    <w:rsid w:val="2A2B6C69"/>
    <w:rsid w:val="2A6B42DB"/>
    <w:rsid w:val="2A834AE2"/>
    <w:rsid w:val="2A900FAD"/>
    <w:rsid w:val="2AB0164F"/>
    <w:rsid w:val="2AC14F5E"/>
    <w:rsid w:val="2ACC29B2"/>
    <w:rsid w:val="2AE54CEB"/>
    <w:rsid w:val="2AEF41E1"/>
    <w:rsid w:val="2AF4778E"/>
    <w:rsid w:val="2B011EAB"/>
    <w:rsid w:val="2B2B244E"/>
    <w:rsid w:val="2B30530E"/>
    <w:rsid w:val="2B3B79BB"/>
    <w:rsid w:val="2B5D4DE1"/>
    <w:rsid w:val="2B781281"/>
    <w:rsid w:val="2B782338"/>
    <w:rsid w:val="2B8B4B02"/>
    <w:rsid w:val="2B9006F3"/>
    <w:rsid w:val="2BB76475"/>
    <w:rsid w:val="2BD01D76"/>
    <w:rsid w:val="2BDC25E9"/>
    <w:rsid w:val="2BE21384"/>
    <w:rsid w:val="2BF20AB6"/>
    <w:rsid w:val="2BFB4B4C"/>
    <w:rsid w:val="2BFF6A72"/>
    <w:rsid w:val="2C0C47CD"/>
    <w:rsid w:val="2C143315"/>
    <w:rsid w:val="2C17286B"/>
    <w:rsid w:val="2C293467"/>
    <w:rsid w:val="2C2E3173"/>
    <w:rsid w:val="2C493DA1"/>
    <w:rsid w:val="2C4A7A86"/>
    <w:rsid w:val="2C70365D"/>
    <w:rsid w:val="2C844FD4"/>
    <w:rsid w:val="2C942335"/>
    <w:rsid w:val="2CA9728E"/>
    <w:rsid w:val="2CAF637E"/>
    <w:rsid w:val="2CB64825"/>
    <w:rsid w:val="2CBA6F11"/>
    <w:rsid w:val="2CD035BD"/>
    <w:rsid w:val="2CD84EE6"/>
    <w:rsid w:val="2CF03E7E"/>
    <w:rsid w:val="2D034995"/>
    <w:rsid w:val="2D03596E"/>
    <w:rsid w:val="2D1F411F"/>
    <w:rsid w:val="2D346567"/>
    <w:rsid w:val="2D825575"/>
    <w:rsid w:val="2D917516"/>
    <w:rsid w:val="2DC014A5"/>
    <w:rsid w:val="2DC773DC"/>
    <w:rsid w:val="2DE81100"/>
    <w:rsid w:val="2DEB02D6"/>
    <w:rsid w:val="2DF33F91"/>
    <w:rsid w:val="2E385BE3"/>
    <w:rsid w:val="2E4505D3"/>
    <w:rsid w:val="2E4F419D"/>
    <w:rsid w:val="2E6764C9"/>
    <w:rsid w:val="2E8D3E61"/>
    <w:rsid w:val="2E9E2128"/>
    <w:rsid w:val="2EB8220D"/>
    <w:rsid w:val="2EBC01C1"/>
    <w:rsid w:val="2EE1673B"/>
    <w:rsid w:val="2EF23BC7"/>
    <w:rsid w:val="2EFC1EE9"/>
    <w:rsid w:val="2F063F34"/>
    <w:rsid w:val="2F0D4645"/>
    <w:rsid w:val="2F13166A"/>
    <w:rsid w:val="2F20736D"/>
    <w:rsid w:val="2F2C238D"/>
    <w:rsid w:val="2F3B456A"/>
    <w:rsid w:val="2F4D21B6"/>
    <w:rsid w:val="2F686427"/>
    <w:rsid w:val="2F8D5F83"/>
    <w:rsid w:val="2F972DAB"/>
    <w:rsid w:val="2FA86D99"/>
    <w:rsid w:val="2FB2141A"/>
    <w:rsid w:val="2FBB589F"/>
    <w:rsid w:val="2FD0763D"/>
    <w:rsid w:val="2FE36087"/>
    <w:rsid w:val="2FEF6142"/>
    <w:rsid w:val="2FF551CC"/>
    <w:rsid w:val="2FFD30D3"/>
    <w:rsid w:val="301220FC"/>
    <w:rsid w:val="301C39F0"/>
    <w:rsid w:val="305D5726"/>
    <w:rsid w:val="306320CE"/>
    <w:rsid w:val="3063661A"/>
    <w:rsid w:val="309A1671"/>
    <w:rsid w:val="30A32582"/>
    <w:rsid w:val="30C44DF9"/>
    <w:rsid w:val="30D42F89"/>
    <w:rsid w:val="30EC07C3"/>
    <w:rsid w:val="310145B8"/>
    <w:rsid w:val="3101555E"/>
    <w:rsid w:val="31064CB0"/>
    <w:rsid w:val="310A2999"/>
    <w:rsid w:val="312072CC"/>
    <w:rsid w:val="31236774"/>
    <w:rsid w:val="31262E3A"/>
    <w:rsid w:val="312D57A8"/>
    <w:rsid w:val="31546532"/>
    <w:rsid w:val="31590CD9"/>
    <w:rsid w:val="3165042F"/>
    <w:rsid w:val="31721090"/>
    <w:rsid w:val="318516C6"/>
    <w:rsid w:val="31904280"/>
    <w:rsid w:val="31981BBD"/>
    <w:rsid w:val="31A3656A"/>
    <w:rsid w:val="31B507A6"/>
    <w:rsid w:val="31B6490E"/>
    <w:rsid w:val="31CB6D6E"/>
    <w:rsid w:val="31D14A2C"/>
    <w:rsid w:val="31E049DE"/>
    <w:rsid w:val="31EB3A55"/>
    <w:rsid w:val="31EC7411"/>
    <w:rsid w:val="31F244A0"/>
    <w:rsid w:val="31FD5788"/>
    <w:rsid w:val="321921D0"/>
    <w:rsid w:val="322B54CA"/>
    <w:rsid w:val="32424561"/>
    <w:rsid w:val="325D3F2A"/>
    <w:rsid w:val="32634438"/>
    <w:rsid w:val="32B8116A"/>
    <w:rsid w:val="32E5673F"/>
    <w:rsid w:val="32F64C46"/>
    <w:rsid w:val="332647B5"/>
    <w:rsid w:val="332C2ACD"/>
    <w:rsid w:val="333C3823"/>
    <w:rsid w:val="33584833"/>
    <w:rsid w:val="33841FC9"/>
    <w:rsid w:val="33B11E0E"/>
    <w:rsid w:val="33B348A0"/>
    <w:rsid w:val="33C12B40"/>
    <w:rsid w:val="33D95773"/>
    <w:rsid w:val="33F04D86"/>
    <w:rsid w:val="33FE1FD6"/>
    <w:rsid w:val="341A099E"/>
    <w:rsid w:val="34534FDE"/>
    <w:rsid w:val="347E50D5"/>
    <w:rsid w:val="3491429F"/>
    <w:rsid w:val="349A383B"/>
    <w:rsid w:val="34A51AF9"/>
    <w:rsid w:val="34B866F6"/>
    <w:rsid w:val="34C67609"/>
    <w:rsid w:val="34EB15D8"/>
    <w:rsid w:val="34FB7939"/>
    <w:rsid w:val="350045CD"/>
    <w:rsid w:val="35071529"/>
    <w:rsid w:val="350E2FF9"/>
    <w:rsid w:val="351B1DBB"/>
    <w:rsid w:val="352E66C1"/>
    <w:rsid w:val="352F7B20"/>
    <w:rsid w:val="3533180D"/>
    <w:rsid w:val="354A2DCA"/>
    <w:rsid w:val="356878BD"/>
    <w:rsid w:val="357D1963"/>
    <w:rsid w:val="35901365"/>
    <w:rsid w:val="35957DBF"/>
    <w:rsid w:val="35AF2B33"/>
    <w:rsid w:val="35BC3E2C"/>
    <w:rsid w:val="35D22060"/>
    <w:rsid w:val="35D274DD"/>
    <w:rsid w:val="35E21E23"/>
    <w:rsid w:val="35ED0313"/>
    <w:rsid w:val="35F36590"/>
    <w:rsid w:val="36171944"/>
    <w:rsid w:val="365C7AAC"/>
    <w:rsid w:val="365E5CD9"/>
    <w:rsid w:val="366C6D72"/>
    <w:rsid w:val="367E6194"/>
    <w:rsid w:val="368B07DC"/>
    <w:rsid w:val="368C2F70"/>
    <w:rsid w:val="368F5027"/>
    <w:rsid w:val="369D20A2"/>
    <w:rsid w:val="369D517D"/>
    <w:rsid w:val="36A37D78"/>
    <w:rsid w:val="36AE767B"/>
    <w:rsid w:val="36BC0751"/>
    <w:rsid w:val="36CF10AF"/>
    <w:rsid w:val="36D05B61"/>
    <w:rsid w:val="36F83C6C"/>
    <w:rsid w:val="37046FAB"/>
    <w:rsid w:val="370E3F9C"/>
    <w:rsid w:val="372238D5"/>
    <w:rsid w:val="37374AAE"/>
    <w:rsid w:val="37450FBD"/>
    <w:rsid w:val="375F52D5"/>
    <w:rsid w:val="376E2D19"/>
    <w:rsid w:val="377A4E1F"/>
    <w:rsid w:val="37862283"/>
    <w:rsid w:val="379A03F2"/>
    <w:rsid w:val="37DB2C93"/>
    <w:rsid w:val="37E312B6"/>
    <w:rsid w:val="37EE63AC"/>
    <w:rsid w:val="37F45271"/>
    <w:rsid w:val="37FC250C"/>
    <w:rsid w:val="380B609C"/>
    <w:rsid w:val="38341B11"/>
    <w:rsid w:val="386D4D82"/>
    <w:rsid w:val="387210AA"/>
    <w:rsid w:val="3873755C"/>
    <w:rsid w:val="38B67857"/>
    <w:rsid w:val="38BE1258"/>
    <w:rsid w:val="38CE5AC2"/>
    <w:rsid w:val="38EC7440"/>
    <w:rsid w:val="38ED4F90"/>
    <w:rsid w:val="38FB6738"/>
    <w:rsid w:val="38FE4DFF"/>
    <w:rsid w:val="39100DB9"/>
    <w:rsid w:val="39262202"/>
    <w:rsid w:val="39426361"/>
    <w:rsid w:val="394542F1"/>
    <w:rsid w:val="39465A2D"/>
    <w:rsid w:val="394864C6"/>
    <w:rsid w:val="39663F4D"/>
    <w:rsid w:val="39671754"/>
    <w:rsid w:val="396F26D5"/>
    <w:rsid w:val="39A64751"/>
    <w:rsid w:val="39AD5439"/>
    <w:rsid w:val="39C23BC2"/>
    <w:rsid w:val="39F81784"/>
    <w:rsid w:val="3A137D0E"/>
    <w:rsid w:val="3A2B5993"/>
    <w:rsid w:val="3A333CC8"/>
    <w:rsid w:val="3A4B7DF5"/>
    <w:rsid w:val="3A4D2A17"/>
    <w:rsid w:val="3A540249"/>
    <w:rsid w:val="3A9A5DEB"/>
    <w:rsid w:val="3AB46F3A"/>
    <w:rsid w:val="3AC3064C"/>
    <w:rsid w:val="3AD803DE"/>
    <w:rsid w:val="3B0748DF"/>
    <w:rsid w:val="3B1E0D49"/>
    <w:rsid w:val="3B350B28"/>
    <w:rsid w:val="3B350B7D"/>
    <w:rsid w:val="3B3A743F"/>
    <w:rsid w:val="3B3C6995"/>
    <w:rsid w:val="3B472AC2"/>
    <w:rsid w:val="3B4C2CCE"/>
    <w:rsid w:val="3B620744"/>
    <w:rsid w:val="3B6305B2"/>
    <w:rsid w:val="3B6C0A39"/>
    <w:rsid w:val="3B752263"/>
    <w:rsid w:val="3B892174"/>
    <w:rsid w:val="3B9D352A"/>
    <w:rsid w:val="3BA85450"/>
    <w:rsid w:val="3BB05953"/>
    <w:rsid w:val="3BBA28F3"/>
    <w:rsid w:val="3BC74A4B"/>
    <w:rsid w:val="3BD038FF"/>
    <w:rsid w:val="3BD96144"/>
    <w:rsid w:val="3BE05AF2"/>
    <w:rsid w:val="3BF76D99"/>
    <w:rsid w:val="3BF868F0"/>
    <w:rsid w:val="3BFA0C4E"/>
    <w:rsid w:val="3C2E69FC"/>
    <w:rsid w:val="3C342025"/>
    <w:rsid w:val="3C365148"/>
    <w:rsid w:val="3C574085"/>
    <w:rsid w:val="3C6515B5"/>
    <w:rsid w:val="3C687118"/>
    <w:rsid w:val="3C7A1ABD"/>
    <w:rsid w:val="3C8208D0"/>
    <w:rsid w:val="3C89390F"/>
    <w:rsid w:val="3C940F2B"/>
    <w:rsid w:val="3C9B6925"/>
    <w:rsid w:val="3CA02A05"/>
    <w:rsid w:val="3CBD0B7D"/>
    <w:rsid w:val="3CBE7369"/>
    <w:rsid w:val="3CCD7E3F"/>
    <w:rsid w:val="3CE53060"/>
    <w:rsid w:val="3CEF267C"/>
    <w:rsid w:val="3CFB4ABD"/>
    <w:rsid w:val="3CFF1540"/>
    <w:rsid w:val="3D0A362A"/>
    <w:rsid w:val="3D166C5B"/>
    <w:rsid w:val="3D3814E9"/>
    <w:rsid w:val="3D6B054C"/>
    <w:rsid w:val="3D712EC0"/>
    <w:rsid w:val="3D7E4280"/>
    <w:rsid w:val="3D887BE6"/>
    <w:rsid w:val="3DA67DE4"/>
    <w:rsid w:val="3DB17760"/>
    <w:rsid w:val="3DC829D0"/>
    <w:rsid w:val="3DD50833"/>
    <w:rsid w:val="3DE02A1B"/>
    <w:rsid w:val="3DE12E7E"/>
    <w:rsid w:val="3DF96E3A"/>
    <w:rsid w:val="3DFC4E7F"/>
    <w:rsid w:val="3E0250F8"/>
    <w:rsid w:val="3E0252E8"/>
    <w:rsid w:val="3E0735FC"/>
    <w:rsid w:val="3E0820B0"/>
    <w:rsid w:val="3E0930F8"/>
    <w:rsid w:val="3E2B3E7E"/>
    <w:rsid w:val="3E46434D"/>
    <w:rsid w:val="3E557224"/>
    <w:rsid w:val="3E883383"/>
    <w:rsid w:val="3E8846F6"/>
    <w:rsid w:val="3E8D0CDB"/>
    <w:rsid w:val="3E9E2A75"/>
    <w:rsid w:val="3EC87851"/>
    <w:rsid w:val="3ECA2F19"/>
    <w:rsid w:val="3EF06B64"/>
    <w:rsid w:val="3F073ADC"/>
    <w:rsid w:val="3F116709"/>
    <w:rsid w:val="3F1F6800"/>
    <w:rsid w:val="3F2423E4"/>
    <w:rsid w:val="3F2E540A"/>
    <w:rsid w:val="3F3B3785"/>
    <w:rsid w:val="3F476A1F"/>
    <w:rsid w:val="3F6166C2"/>
    <w:rsid w:val="3F6B05DA"/>
    <w:rsid w:val="3F7A3BCE"/>
    <w:rsid w:val="3FA23805"/>
    <w:rsid w:val="3FCB599A"/>
    <w:rsid w:val="3FCF1B43"/>
    <w:rsid w:val="3FD138F1"/>
    <w:rsid w:val="3FE12463"/>
    <w:rsid w:val="3FFC1296"/>
    <w:rsid w:val="401F09B1"/>
    <w:rsid w:val="402D4162"/>
    <w:rsid w:val="40332F17"/>
    <w:rsid w:val="405409B1"/>
    <w:rsid w:val="40612462"/>
    <w:rsid w:val="4078442B"/>
    <w:rsid w:val="40A9324F"/>
    <w:rsid w:val="40C7386A"/>
    <w:rsid w:val="40E211A8"/>
    <w:rsid w:val="40F85255"/>
    <w:rsid w:val="41050E9C"/>
    <w:rsid w:val="410857BB"/>
    <w:rsid w:val="411417F0"/>
    <w:rsid w:val="41197F3A"/>
    <w:rsid w:val="41265D6F"/>
    <w:rsid w:val="414032D5"/>
    <w:rsid w:val="414D77A0"/>
    <w:rsid w:val="41557B13"/>
    <w:rsid w:val="41650DF3"/>
    <w:rsid w:val="418331C2"/>
    <w:rsid w:val="418A7604"/>
    <w:rsid w:val="419844BE"/>
    <w:rsid w:val="41984EBF"/>
    <w:rsid w:val="419D02E0"/>
    <w:rsid w:val="41AC2CC2"/>
    <w:rsid w:val="41F578D7"/>
    <w:rsid w:val="42045E56"/>
    <w:rsid w:val="42062EB6"/>
    <w:rsid w:val="420C2887"/>
    <w:rsid w:val="420D50CD"/>
    <w:rsid w:val="422E5823"/>
    <w:rsid w:val="42376819"/>
    <w:rsid w:val="42594816"/>
    <w:rsid w:val="426E2680"/>
    <w:rsid w:val="427621E8"/>
    <w:rsid w:val="428025FB"/>
    <w:rsid w:val="42A45DB9"/>
    <w:rsid w:val="42A844C2"/>
    <w:rsid w:val="42C47560"/>
    <w:rsid w:val="42C73254"/>
    <w:rsid w:val="42DD01B9"/>
    <w:rsid w:val="42EE5BEA"/>
    <w:rsid w:val="42F67E2A"/>
    <w:rsid w:val="43206920"/>
    <w:rsid w:val="433E7552"/>
    <w:rsid w:val="43460AC3"/>
    <w:rsid w:val="434779C4"/>
    <w:rsid w:val="434E584E"/>
    <w:rsid w:val="43695268"/>
    <w:rsid w:val="436C100F"/>
    <w:rsid w:val="438420EE"/>
    <w:rsid w:val="438A5168"/>
    <w:rsid w:val="43A24C15"/>
    <w:rsid w:val="43A966D6"/>
    <w:rsid w:val="43BE4985"/>
    <w:rsid w:val="43E716B6"/>
    <w:rsid w:val="43EB0505"/>
    <w:rsid w:val="43F37D46"/>
    <w:rsid w:val="43FD4C70"/>
    <w:rsid w:val="441F5424"/>
    <w:rsid w:val="442639EA"/>
    <w:rsid w:val="444A7FC7"/>
    <w:rsid w:val="44766E4A"/>
    <w:rsid w:val="448857D7"/>
    <w:rsid w:val="448B0D0B"/>
    <w:rsid w:val="449C211E"/>
    <w:rsid w:val="44DA57EF"/>
    <w:rsid w:val="44EE5887"/>
    <w:rsid w:val="44F86AD5"/>
    <w:rsid w:val="450811A5"/>
    <w:rsid w:val="45270809"/>
    <w:rsid w:val="45336CAD"/>
    <w:rsid w:val="45483A28"/>
    <w:rsid w:val="45695DA1"/>
    <w:rsid w:val="457C2D58"/>
    <w:rsid w:val="45BA2548"/>
    <w:rsid w:val="462D296E"/>
    <w:rsid w:val="464B69A4"/>
    <w:rsid w:val="465E2167"/>
    <w:rsid w:val="465F750A"/>
    <w:rsid w:val="46663A15"/>
    <w:rsid w:val="46674D6D"/>
    <w:rsid w:val="467D5B77"/>
    <w:rsid w:val="46C96055"/>
    <w:rsid w:val="46CF57F3"/>
    <w:rsid w:val="46E35212"/>
    <w:rsid w:val="46FB4BA7"/>
    <w:rsid w:val="470B7031"/>
    <w:rsid w:val="47110765"/>
    <w:rsid w:val="472075AE"/>
    <w:rsid w:val="47255D42"/>
    <w:rsid w:val="47370CD6"/>
    <w:rsid w:val="47477328"/>
    <w:rsid w:val="47543636"/>
    <w:rsid w:val="475B6270"/>
    <w:rsid w:val="477D2C64"/>
    <w:rsid w:val="47AB578A"/>
    <w:rsid w:val="47B8093D"/>
    <w:rsid w:val="47F06548"/>
    <w:rsid w:val="4809562C"/>
    <w:rsid w:val="48180B6E"/>
    <w:rsid w:val="482824B3"/>
    <w:rsid w:val="485C6CE8"/>
    <w:rsid w:val="486F61C1"/>
    <w:rsid w:val="488968B4"/>
    <w:rsid w:val="489A4D79"/>
    <w:rsid w:val="48A27727"/>
    <w:rsid w:val="48AC7699"/>
    <w:rsid w:val="48BB76E5"/>
    <w:rsid w:val="48D75B50"/>
    <w:rsid w:val="49237F53"/>
    <w:rsid w:val="492741B5"/>
    <w:rsid w:val="49357497"/>
    <w:rsid w:val="493F0316"/>
    <w:rsid w:val="49437E06"/>
    <w:rsid w:val="49610A27"/>
    <w:rsid w:val="49727F01"/>
    <w:rsid w:val="497A134E"/>
    <w:rsid w:val="49862135"/>
    <w:rsid w:val="49876F57"/>
    <w:rsid w:val="49A40D8E"/>
    <w:rsid w:val="49AC471D"/>
    <w:rsid w:val="49C01457"/>
    <w:rsid w:val="49F3514C"/>
    <w:rsid w:val="4A135680"/>
    <w:rsid w:val="4A233BEE"/>
    <w:rsid w:val="4A47033D"/>
    <w:rsid w:val="4A6F33F0"/>
    <w:rsid w:val="4A702317"/>
    <w:rsid w:val="4A9819C0"/>
    <w:rsid w:val="4AA96F31"/>
    <w:rsid w:val="4AB72E0A"/>
    <w:rsid w:val="4AC33BF5"/>
    <w:rsid w:val="4AC56436"/>
    <w:rsid w:val="4AEE5B50"/>
    <w:rsid w:val="4AF018C8"/>
    <w:rsid w:val="4AF21F89"/>
    <w:rsid w:val="4B091DD4"/>
    <w:rsid w:val="4B09556E"/>
    <w:rsid w:val="4B0B04B0"/>
    <w:rsid w:val="4B2B57CD"/>
    <w:rsid w:val="4B2C48CA"/>
    <w:rsid w:val="4B36505C"/>
    <w:rsid w:val="4B3A1C26"/>
    <w:rsid w:val="4B4A4EED"/>
    <w:rsid w:val="4B5F6A4E"/>
    <w:rsid w:val="4B654E1C"/>
    <w:rsid w:val="4B700702"/>
    <w:rsid w:val="4B7439EB"/>
    <w:rsid w:val="4B840262"/>
    <w:rsid w:val="4B8C1589"/>
    <w:rsid w:val="4BA02EFE"/>
    <w:rsid w:val="4BAD77B9"/>
    <w:rsid w:val="4BB264C7"/>
    <w:rsid w:val="4BBD78E4"/>
    <w:rsid w:val="4BCE5F0E"/>
    <w:rsid w:val="4BCF5981"/>
    <w:rsid w:val="4BF90A32"/>
    <w:rsid w:val="4C387D0F"/>
    <w:rsid w:val="4C3C4EF2"/>
    <w:rsid w:val="4C4E26AA"/>
    <w:rsid w:val="4C577725"/>
    <w:rsid w:val="4C673716"/>
    <w:rsid w:val="4C6873E8"/>
    <w:rsid w:val="4C737F16"/>
    <w:rsid w:val="4C8233F8"/>
    <w:rsid w:val="4C8E1403"/>
    <w:rsid w:val="4CA24E44"/>
    <w:rsid w:val="4CCB6971"/>
    <w:rsid w:val="4CCC23F0"/>
    <w:rsid w:val="4CCE157C"/>
    <w:rsid w:val="4CCF06CB"/>
    <w:rsid w:val="4CDA3815"/>
    <w:rsid w:val="4CE129D0"/>
    <w:rsid w:val="4CFB4B93"/>
    <w:rsid w:val="4D07114B"/>
    <w:rsid w:val="4D265A75"/>
    <w:rsid w:val="4D275B96"/>
    <w:rsid w:val="4D2F3D7F"/>
    <w:rsid w:val="4D3B4358"/>
    <w:rsid w:val="4D4A7DE6"/>
    <w:rsid w:val="4D4F2781"/>
    <w:rsid w:val="4D572BF9"/>
    <w:rsid w:val="4D802454"/>
    <w:rsid w:val="4D867F84"/>
    <w:rsid w:val="4D8D78A2"/>
    <w:rsid w:val="4DAE02CF"/>
    <w:rsid w:val="4DB9166B"/>
    <w:rsid w:val="4DBD673B"/>
    <w:rsid w:val="4DBF5E54"/>
    <w:rsid w:val="4DCD2C84"/>
    <w:rsid w:val="4DDC6134"/>
    <w:rsid w:val="4DE12C26"/>
    <w:rsid w:val="4DF254C4"/>
    <w:rsid w:val="4DFE6184"/>
    <w:rsid w:val="4E04568A"/>
    <w:rsid w:val="4E077B15"/>
    <w:rsid w:val="4E085D8E"/>
    <w:rsid w:val="4E187F34"/>
    <w:rsid w:val="4E1A4EAE"/>
    <w:rsid w:val="4E506848"/>
    <w:rsid w:val="4E5B72F3"/>
    <w:rsid w:val="4E716F2B"/>
    <w:rsid w:val="4E7A4166"/>
    <w:rsid w:val="4E8A09EF"/>
    <w:rsid w:val="4E920EE8"/>
    <w:rsid w:val="4E9C5364"/>
    <w:rsid w:val="4E9E788D"/>
    <w:rsid w:val="4EA06227"/>
    <w:rsid w:val="4EAD187E"/>
    <w:rsid w:val="4EB15812"/>
    <w:rsid w:val="4EB97668"/>
    <w:rsid w:val="4EBC57B2"/>
    <w:rsid w:val="4EC45115"/>
    <w:rsid w:val="4EDB083B"/>
    <w:rsid w:val="4EE23C1E"/>
    <w:rsid w:val="4EE8215B"/>
    <w:rsid w:val="4EF821D6"/>
    <w:rsid w:val="4F0771E0"/>
    <w:rsid w:val="4F086398"/>
    <w:rsid w:val="4F245FE4"/>
    <w:rsid w:val="4F2B33DD"/>
    <w:rsid w:val="4F6D1B25"/>
    <w:rsid w:val="4F7E524C"/>
    <w:rsid w:val="4F7F51A7"/>
    <w:rsid w:val="4FBF5D0D"/>
    <w:rsid w:val="4FD4178E"/>
    <w:rsid w:val="4FEB6B02"/>
    <w:rsid w:val="4FEE65F2"/>
    <w:rsid w:val="50152D3F"/>
    <w:rsid w:val="50296B12"/>
    <w:rsid w:val="5031058D"/>
    <w:rsid w:val="50355FCF"/>
    <w:rsid w:val="504B4937"/>
    <w:rsid w:val="50615DAF"/>
    <w:rsid w:val="506C2B20"/>
    <w:rsid w:val="5073769A"/>
    <w:rsid w:val="5076389B"/>
    <w:rsid w:val="507931D3"/>
    <w:rsid w:val="50E61077"/>
    <w:rsid w:val="51183927"/>
    <w:rsid w:val="51281690"/>
    <w:rsid w:val="512C73D2"/>
    <w:rsid w:val="51336CF6"/>
    <w:rsid w:val="513F5357"/>
    <w:rsid w:val="516369CA"/>
    <w:rsid w:val="518C7E21"/>
    <w:rsid w:val="519642C5"/>
    <w:rsid w:val="51A65EC1"/>
    <w:rsid w:val="51BA7FD1"/>
    <w:rsid w:val="51BE36D3"/>
    <w:rsid w:val="51BE4D72"/>
    <w:rsid w:val="51FB6D94"/>
    <w:rsid w:val="520B6FE7"/>
    <w:rsid w:val="520C1547"/>
    <w:rsid w:val="523708A8"/>
    <w:rsid w:val="524564B8"/>
    <w:rsid w:val="52524B9C"/>
    <w:rsid w:val="52665A0F"/>
    <w:rsid w:val="52667ECC"/>
    <w:rsid w:val="527C4BED"/>
    <w:rsid w:val="529F5414"/>
    <w:rsid w:val="52AC5E90"/>
    <w:rsid w:val="52C35B14"/>
    <w:rsid w:val="52C673B2"/>
    <w:rsid w:val="52E200B0"/>
    <w:rsid w:val="52E85B07"/>
    <w:rsid w:val="52E86893"/>
    <w:rsid w:val="52EF4CB5"/>
    <w:rsid w:val="52F932E4"/>
    <w:rsid w:val="53111F42"/>
    <w:rsid w:val="531B76FE"/>
    <w:rsid w:val="532C190B"/>
    <w:rsid w:val="53441590"/>
    <w:rsid w:val="53624075"/>
    <w:rsid w:val="53656722"/>
    <w:rsid w:val="536B0B11"/>
    <w:rsid w:val="53750207"/>
    <w:rsid w:val="53771FF7"/>
    <w:rsid w:val="537B2455"/>
    <w:rsid w:val="53886E5A"/>
    <w:rsid w:val="538C3A87"/>
    <w:rsid w:val="53967B1D"/>
    <w:rsid w:val="53BA0CC5"/>
    <w:rsid w:val="53C82B16"/>
    <w:rsid w:val="53D164F2"/>
    <w:rsid w:val="53E464B1"/>
    <w:rsid w:val="53F561A1"/>
    <w:rsid w:val="5417674E"/>
    <w:rsid w:val="541F1F10"/>
    <w:rsid w:val="542F6667"/>
    <w:rsid w:val="544A4F06"/>
    <w:rsid w:val="545F7ABE"/>
    <w:rsid w:val="54843081"/>
    <w:rsid w:val="549C0E0C"/>
    <w:rsid w:val="54AA5F5F"/>
    <w:rsid w:val="54D50392"/>
    <w:rsid w:val="54FE2E33"/>
    <w:rsid w:val="55253A96"/>
    <w:rsid w:val="55284354"/>
    <w:rsid w:val="55293E30"/>
    <w:rsid w:val="55314FB7"/>
    <w:rsid w:val="55785EBF"/>
    <w:rsid w:val="557D412A"/>
    <w:rsid w:val="55A77DD9"/>
    <w:rsid w:val="55C220B3"/>
    <w:rsid w:val="55D40A5D"/>
    <w:rsid w:val="55D6790C"/>
    <w:rsid w:val="55F04E72"/>
    <w:rsid w:val="55F73587"/>
    <w:rsid w:val="55FE3938"/>
    <w:rsid w:val="561A3C9D"/>
    <w:rsid w:val="561E2CDD"/>
    <w:rsid w:val="564D6C06"/>
    <w:rsid w:val="56576551"/>
    <w:rsid w:val="566C77BD"/>
    <w:rsid w:val="567053AF"/>
    <w:rsid w:val="56CF4A1A"/>
    <w:rsid w:val="57053B15"/>
    <w:rsid w:val="57155268"/>
    <w:rsid w:val="57371C3C"/>
    <w:rsid w:val="57671164"/>
    <w:rsid w:val="57792985"/>
    <w:rsid w:val="578A6C00"/>
    <w:rsid w:val="57A12545"/>
    <w:rsid w:val="57A31556"/>
    <w:rsid w:val="57AF48B9"/>
    <w:rsid w:val="57BE08B0"/>
    <w:rsid w:val="57BF59D4"/>
    <w:rsid w:val="57D414C7"/>
    <w:rsid w:val="57E11591"/>
    <w:rsid w:val="57F14ED1"/>
    <w:rsid w:val="58164FF4"/>
    <w:rsid w:val="582901C7"/>
    <w:rsid w:val="585F5AE0"/>
    <w:rsid w:val="58627B7D"/>
    <w:rsid w:val="588857A9"/>
    <w:rsid w:val="589C324F"/>
    <w:rsid w:val="589D0887"/>
    <w:rsid w:val="58A24662"/>
    <w:rsid w:val="58A957AC"/>
    <w:rsid w:val="58AF5419"/>
    <w:rsid w:val="58B303D9"/>
    <w:rsid w:val="58BC380B"/>
    <w:rsid w:val="58C00D60"/>
    <w:rsid w:val="58C11725"/>
    <w:rsid w:val="58C44A64"/>
    <w:rsid w:val="58E3499B"/>
    <w:rsid w:val="58F31BB8"/>
    <w:rsid w:val="59060509"/>
    <w:rsid w:val="591A2206"/>
    <w:rsid w:val="59276D58"/>
    <w:rsid w:val="594176E5"/>
    <w:rsid w:val="594B184B"/>
    <w:rsid w:val="595A2602"/>
    <w:rsid w:val="59865ED0"/>
    <w:rsid w:val="598A225B"/>
    <w:rsid w:val="59AD3652"/>
    <w:rsid w:val="59DD1A59"/>
    <w:rsid w:val="5A1A4AF5"/>
    <w:rsid w:val="5A3C017B"/>
    <w:rsid w:val="5A50503A"/>
    <w:rsid w:val="5A6B40CB"/>
    <w:rsid w:val="5A733976"/>
    <w:rsid w:val="5A7B0A82"/>
    <w:rsid w:val="5A80634F"/>
    <w:rsid w:val="5AAC3640"/>
    <w:rsid w:val="5AAE1B62"/>
    <w:rsid w:val="5ABA47A8"/>
    <w:rsid w:val="5ACB213C"/>
    <w:rsid w:val="5AE80486"/>
    <w:rsid w:val="5B1433B1"/>
    <w:rsid w:val="5B415047"/>
    <w:rsid w:val="5B836EDA"/>
    <w:rsid w:val="5B883A7F"/>
    <w:rsid w:val="5B9F282A"/>
    <w:rsid w:val="5BA65FD3"/>
    <w:rsid w:val="5BB83D76"/>
    <w:rsid w:val="5BC438C3"/>
    <w:rsid w:val="5C0B43A9"/>
    <w:rsid w:val="5C1949F7"/>
    <w:rsid w:val="5C6066F8"/>
    <w:rsid w:val="5C642305"/>
    <w:rsid w:val="5C6A6E49"/>
    <w:rsid w:val="5C6C0FCA"/>
    <w:rsid w:val="5CE15514"/>
    <w:rsid w:val="5CEA7657"/>
    <w:rsid w:val="5CED748E"/>
    <w:rsid w:val="5CEE378D"/>
    <w:rsid w:val="5CFB76F8"/>
    <w:rsid w:val="5D130A11"/>
    <w:rsid w:val="5D211DB5"/>
    <w:rsid w:val="5D230C5E"/>
    <w:rsid w:val="5D461432"/>
    <w:rsid w:val="5D4635C9"/>
    <w:rsid w:val="5D906E72"/>
    <w:rsid w:val="5D9102BF"/>
    <w:rsid w:val="5DB12BCF"/>
    <w:rsid w:val="5DBF0F87"/>
    <w:rsid w:val="5DC9374E"/>
    <w:rsid w:val="5DE00FF4"/>
    <w:rsid w:val="5DF0237D"/>
    <w:rsid w:val="5E064172"/>
    <w:rsid w:val="5E113BD7"/>
    <w:rsid w:val="5E231B5D"/>
    <w:rsid w:val="5E34399D"/>
    <w:rsid w:val="5E3644CA"/>
    <w:rsid w:val="5E475172"/>
    <w:rsid w:val="5E563CE0"/>
    <w:rsid w:val="5E601EC7"/>
    <w:rsid w:val="5E710B1A"/>
    <w:rsid w:val="5E7828C9"/>
    <w:rsid w:val="5E8B2015"/>
    <w:rsid w:val="5E95037E"/>
    <w:rsid w:val="5E9A67F6"/>
    <w:rsid w:val="5EAB6706"/>
    <w:rsid w:val="5EB52503"/>
    <w:rsid w:val="5EBA426F"/>
    <w:rsid w:val="5ED115B9"/>
    <w:rsid w:val="5EE12302"/>
    <w:rsid w:val="5EE46CBD"/>
    <w:rsid w:val="5F2913F5"/>
    <w:rsid w:val="5F295858"/>
    <w:rsid w:val="5F317B04"/>
    <w:rsid w:val="5F322057"/>
    <w:rsid w:val="5F37766E"/>
    <w:rsid w:val="5F3D2E08"/>
    <w:rsid w:val="5F4A4279"/>
    <w:rsid w:val="5F4E6765"/>
    <w:rsid w:val="5F5E109E"/>
    <w:rsid w:val="5F8B1768"/>
    <w:rsid w:val="5FB73766"/>
    <w:rsid w:val="5FB92779"/>
    <w:rsid w:val="5FC16303"/>
    <w:rsid w:val="5FD3019B"/>
    <w:rsid w:val="600E0450"/>
    <w:rsid w:val="602A617D"/>
    <w:rsid w:val="603F7916"/>
    <w:rsid w:val="60430294"/>
    <w:rsid w:val="606B27DB"/>
    <w:rsid w:val="606E3563"/>
    <w:rsid w:val="609B59DA"/>
    <w:rsid w:val="60B10E7E"/>
    <w:rsid w:val="60B35111"/>
    <w:rsid w:val="60C06560"/>
    <w:rsid w:val="60DE734B"/>
    <w:rsid w:val="60E37145"/>
    <w:rsid w:val="6101667A"/>
    <w:rsid w:val="610F0F4F"/>
    <w:rsid w:val="61382586"/>
    <w:rsid w:val="613B0F6B"/>
    <w:rsid w:val="613E6559"/>
    <w:rsid w:val="615B12C7"/>
    <w:rsid w:val="615F10FE"/>
    <w:rsid w:val="617701F5"/>
    <w:rsid w:val="61CC6485"/>
    <w:rsid w:val="61D36E77"/>
    <w:rsid w:val="61F359F2"/>
    <w:rsid w:val="61F54AB1"/>
    <w:rsid w:val="621C3E89"/>
    <w:rsid w:val="62275A19"/>
    <w:rsid w:val="625B4D27"/>
    <w:rsid w:val="626627ED"/>
    <w:rsid w:val="626C24D5"/>
    <w:rsid w:val="62782477"/>
    <w:rsid w:val="6279061C"/>
    <w:rsid w:val="62895A05"/>
    <w:rsid w:val="62A877A4"/>
    <w:rsid w:val="62DA4492"/>
    <w:rsid w:val="62DE4EFF"/>
    <w:rsid w:val="63161C90"/>
    <w:rsid w:val="631A2F39"/>
    <w:rsid w:val="631B6093"/>
    <w:rsid w:val="63322566"/>
    <w:rsid w:val="63546936"/>
    <w:rsid w:val="63AC2538"/>
    <w:rsid w:val="63E43B3C"/>
    <w:rsid w:val="63F024E1"/>
    <w:rsid w:val="63F17537"/>
    <w:rsid w:val="64017B8C"/>
    <w:rsid w:val="641A610A"/>
    <w:rsid w:val="64331175"/>
    <w:rsid w:val="64394B9A"/>
    <w:rsid w:val="644832A1"/>
    <w:rsid w:val="645B2050"/>
    <w:rsid w:val="6472739A"/>
    <w:rsid w:val="64965922"/>
    <w:rsid w:val="64A335CB"/>
    <w:rsid w:val="64A81E89"/>
    <w:rsid w:val="64AF3400"/>
    <w:rsid w:val="64B71F8B"/>
    <w:rsid w:val="64BB2AEF"/>
    <w:rsid w:val="64F16511"/>
    <w:rsid w:val="65077AE2"/>
    <w:rsid w:val="65106BA7"/>
    <w:rsid w:val="65524701"/>
    <w:rsid w:val="655A5E64"/>
    <w:rsid w:val="65607A7B"/>
    <w:rsid w:val="65643170"/>
    <w:rsid w:val="65646CE3"/>
    <w:rsid w:val="656F7435"/>
    <w:rsid w:val="65707B03"/>
    <w:rsid w:val="657A6506"/>
    <w:rsid w:val="65AE174B"/>
    <w:rsid w:val="65BE0CC6"/>
    <w:rsid w:val="65C634F9"/>
    <w:rsid w:val="664149C3"/>
    <w:rsid w:val="664C6C2D"/>
    <w:rsid w:val="665925BF"/>
    <w:rsid w:val="66832273"/>
    <w:rsid w:val="66AA4837"/>
    <w:rsid w:val="66D103A8"/>
    <w:rsid w:val="66F424EB"/>
    <w:rsid w:val="66F60FF1"/>
    <w:rsid w:val="67252F5F"/>
    <w:rsid w:val="67360615"/>
    <w:rsid w:val="674B3D08"/>
    <w:rsid w:val="675A5253"/>
    <w:rsid w:val="6774491C"/>
    <w:rsid w:val="67837F00"/>
    <w:rsid w:val="678C32D2"/>
    <w:rsid w:val="67A5445B"/>
    <w:rsid w:val="67BF28F6"/>
    <w:rsid w:val="67C127D5"/>
    <w:rsid w:val="67D746D4"/>
    <w:rsid w:val="67F36D5A"/>
    <w:rsid w:val="680253B8"/>
    <w:rsid w:val="684D4FFD"/>
    <w:rsid w:val="68647622"/>
    <w:rsid w:val="6879758B"/>
    <w:rsid w:val="68824424"/>
    <w:rsid w:val="68891DE6"/>
    <w:rsid w:val="68AF2EEE"/>
    <w:rsid w:val="68DF3DE6"/>
    <w:rsid w:val="68FB1243"/>
    <w:rsid w:val="69201162"/>
    <w:rsid w:val="69286279"/>
    <w:rsid w:val="695577FA"/>
    <w:rsid w:val="695B3F18"/>
    <w:rsid w:val="69676DA1"/>
    <w:rsid w:val="697D0373"/>
    <w:rsid w:val="69904ABD"/>
    <w:rsid w:val="6997298A"/>
    <w:rsid w:val="699A52AC"/>
    <w:rsid w:val="69A36037"/>
    <w:rsid w:val="69AA3132"/>
    <w:rsid w:val="69BA6C40"/>
    <w:rsid w:val="69BC373D"/>
    <w:rsid w:val="69C96E49"/>
    <w:rsid w:val="69D32689"/>
    <w:rsid w:val="69FA7C16"/>
    <w:rsid w:val="6A04054D"/>
    <w:rsid w:val="6A114303"/>
    <w:rsid w:val="6A220F1A"/>
    <w:rsid w:val="6A350C4E"/>
    <w:rsid w:val="6A9131F3"/>
    <w:rsid w:val="6AE54422"/>
    <w:rsid w:val="6AF6662F"/>
    <w:rsid w:val="6AFE54E3"/>
    <w:rsid w:val="6B0958D7"/>
    <w:rsid w:val="6B0B16E6"/>
    <w:rsid w:val="6B7C465A"/>
    <w:rsid w:val="6B926DE6"/>
    <w:rsid w:val="6B95531C"/>
    <w:rsid w:val="6B9C1D53"/>
    <w:rsid w:val="6BC30B0D"/>
    <w:rsid w:val="6BC93D43"/>
    <w:rsid w:val="6BDA3073"/>
    <w:rsid w:val="6BF14010"/>
    <w:rsid w:val="6C060AF4"/>
    <w:rsid w:val="6C1B20C5"/>
    <w:rsid w:val="6C3C4D5E"/>
    <w:rsid w:val="6C7D7342"/>
    <w:rsid w:val="6C8A5763"/>
    <w:rsid w:val="6CB30550"/>
    <w:rsid w:val="6CB542C8"/>
    <w:rsid w:val="6CC16C67"/>
    <w:rsid w:val="6CCB6146"/>
    <w:rsid w:val="6D06067F"/>
    <w:rsid w:val="6D092FC4"/>
    <w:rsid w:val="6D0C10ED"/>
    <w:rsid w:val="6D187E78"/>
    <w:rsid w:val="6D2A2569"/>
    <w:rsid w:val="6D372F2F"/>
    <w:rsid w:val="6D476E1E"/>
    <w:rsid w:val="6D853AE9"/>
    <w:rsid w:val="6DC740EE"/>
    <w:rsid w:val="6DD845E0"/>
    <w:rsid w:val="6DF344D4"/>
    <w:rsid w:val="6E23708D"/>
    <w:rsid w:val="6E4F046F"/>
    <w:rsid w:val="6E5901F1"/>
    <w:rsid w:val="6E592F78"/>
    <w:rsid w:val="6E6D2F89"/>
    <w:rsid w:val="6E8C2253"/>
    <w:rsid w:val="6EA55657"/>
    <w:rsid w:val="6EA8144D"/>
    <w:rsid w:val="6EA939B8"/>
    <w:rsid w:val="6EB74327"/>
    <w:rsid w:val="6EF37873"/>
    <w:rsid w:val="6F0C5947"/>
    <w:rsid w:val="6F406684"/>
    <w:rsid w:val="6F4364E0"/>
    <w:rsid w:val="6F451933"/>
    <w:rsid w:val="6F6504CE"/>
    <w:rsid w:val="6F6B01CD"/>
    <w:rsid w:val="6F6C3B1F"/>
    <w:rsid w:val="6F924815"/>
    <w:rsid w:val="6F975F07"/>
    <w:rsid w:val="6F9C351D"/>
    <w:rsid w:val="6F9E173E"/>
    <w:rsid w:val="6FA7614A"/>
    <w:rsid w:val="6FCA41C0"/>
    <w:rsid w:val="703765F8"/>
    <w:rsid w:val="705B725B"/>
    <w:rsid w:val="706E3C21"/>
    <w:rsid w:val="706F4F5E"/>
    <w:rsid w:val="708026AB"/>
    <w:rsid w:val="7089584F"/>
    <w:rsid w:val="708C19D7"/>
    <w:rsid w:val="70991948"/>
    <w:rsid w:val="709A5CAE"/>
    <w:rsid w:val="70AA54CB"/>
    <w:rsid w:val="70B14DA6"/>
    <w:rsid w:val="70CC7133"/>
    <w:rsid w:val="70D867D7"/>
    <w:rsid w:val="70F40F7B"/>
    <w:rsid w:val="70FC4273"/>
    <w:rsid w:val="710329F3"/>
    <w:rsid w:val="710D1A5A"/>
    <w:rsid w:val="71207824"/>
    <w:rsid w:val="7146353F"/>
    <w:rsid w:val="71504316"/>
    <w:rsid w:val="715440AF"/>
    <w:rsid w:val="715654F8"/>
    <w:rsid w:val="715D35E0"/>
    <w:rsid w:val="717B541E"/>
    <w:rsid w:val="71867B9D"/>
    <w:rsid w:val="719170B1"/>
    <w:rsid w:val="719F4F0C"/>
    <w:rsid w:val="71A7207D"/>
    <w:rsid w:val="71A843FB"/>
    <w:rsid w:val="71D22A66"/>
    <w:rsid w:val="71E116BB"/>
    <w:rsid w:val="71EE08B6"/>
    <w:rsid w:val="71FB49C3"/>
    <w:rsid w:val="721D0945"/>
    <w:rsid w:val="7234683B"/>
    <w:rsid w:val="723B362A"/>
    <w:rsid w:val="723E19F6"/>
    <w:rsid w:val="723F6B0D"/>
    <w:rsid w:val="72472554"/>
    <w:rsid w:val="724B21E2"/>
    <w:rsid w:val="72534367"/>
    <w:rsid w:val="726122F2"/>
    <w:rsid w:val="72700421"/>
    <w:rsid w:val="728E04A1"/>
    <w:rsid w:val="72A1300A"/>
    <w:rsid w:val="72B31154"/>
    <w:rsid w:val="72C56CEC"/>
    <w:rsid w:val="72C830E4"/>
    <w:rsid w:val="72D37256"/>
    <w:rsid w:val="72F52F5D"/>
    <w:rsid w:val="72F97C18"/>
    <w:rsid w:val="7318071B"/>
    <w:rsid w:val="73263829"/>
    <w:rsid w:val="73456F57"/>
    <w:rsid w:val="73583DBF"/>
    <w:rsid w:val="736A634B"/>
    <w:rsid w:val="73837C21"/>
    <w:rsid w:val="738F5872"/>
    <w:rsid w:val="739347FA"/>
    <w:rsid w:val="73A05E8D"/>
    <w:rsid w:val="73BC7ED5"/>
    <w:rsid w:val="73C51294"/>
    <w:rsid w:val="73D95C15"/>
    <w:rsid w:val="73E75662"/>
    <w:rsid w:val="74244545"/>
    <w:rsid w:val="74247C52"/>
    <w:rsid w:val="742E519E"/>
    <w:rsid w:val="744F0B5E"/>
    <w:rsid w:val="745B563F"/>
    <w:rsid w:val="74642F43"/>
    <w:rsid w:val="7469457D"/>
    <w:rsid w:val="746F1200"/>
    <w:rsid w:val="7482527F"/>
    <w:rsid w:val="74964030"/>
    <w:rsid w:val="74BE79C4"/>
    <w:rsid w:val="74DF37B8"/>
    <w:rsid w:val="74E120FE"/>
    <w:rsid w:val="74E14FF5"/>
    <w:rsid w:val="751A089D"/>
    <w:rsid w:val="75257952"/>
    <w:rsid w:val="7539676F"/>
    <w:rsid w:val="75474030"/>
    <w:rsid w:val="7550463C"/>
    <w:rsid w:val="75720FA8"/>
    <w:rsid w:val="758B3E54"/>
    <w:rsid w:val="758D74E1"/>
    <w:rsid w:val="758F66A2"/>
    <w:rsid w:val="75924466"/>
    <w:rsid w:val="75980F8C"/>
    <w:rsid w:val="75C17839"/>
    <w:rsid w:val="75C72C14"/>
    <w:rsid w:val="75CD1F8D"/>
    <w:rsid w:val="75D306EF"/>
    <w:rsid w:val="75EF6AF4"/>
    <w:rsid w:val="76021819"/>
    <w:rsid w:val="76240235"/>
    <w:rsid w:val="762B73F3"/>
    <w:rsid w:val="762D5A75"/>
    <w:rsid w:val="76320737"/>
    <w:rsid w:val="7650288C"/>
    <w:rsid w:val="76816B04"/>
    <w:rsid w:val="76923680"/>
    <w:rsid w:val="769C6D8B"/>
    <w:rsid w:val="76A11909"/>
    <w:rsid w:val="76A33784"/>
    <w:rsid w:val="76A809F9"/>
    <w:rsid w:val="76AE12A0"/>
    <w:rsid w:val="76B761B3"/>
    <w:rsid w:val="76B850E0"/>
    <w:rsid w:val="76BF6C3C"/>
    <w:rsid w:val="76F20EFC"/>
    <w:rsid w:val="76FA290F"/>
    <w:rsid w:val="77013609"/>
    <w:rsid w:val="770519A8"/>
    <w:rsid w:val="770A4363"/>
    <w:rsid w:val="77207261"/>
    <w:rsid w:val="772623A5"/>
    <w:rsid w:val="774B7D02"/>
    <w:rsid w:val="77751ACE"/>
    <w:rsid w:val="777827CD"/>
    <w:rsid w:val="779A662E"/>
    <w:rsid w:val="779E422C"/>
    <w:rsid w:val="779F004E"/>
    <w:rsid w:val="779F1DFC"/>
    <w:rsid w:val="77BE04D4"/>
    <w:rsid w:val="77FC1D1F"/>
    <w:rsid w:val="7802311A"/>
    <w:rsid w:val="7817585E"/>
    <w:rsid w:val="784140F1"/>
    <w:rsid w:val="78650950"/>
    <w:rsid w:val="7866457C"/>
    <w:rsid w:val="78681D27"/>
    <w:rsid w:val="78AF56BA"/>
    <w:rsid w:val="78BA7FB5"/>
    <w:rsid w:val="78E92AD9"/>
    <w:rsid w:val="78F8486E"/>
    <w:rsid w:val="79204906"/>
    <w:rsid w:val="792A6432"/>
    <w:rsid w:val="792E3438"/>
    <w:rsid w:val="793842B6"/>
    <w:rsid w:val="793D367B"/>
    <w:rsid w:val="794762A8"/>
    <w:rsid w:val="794E7636"/>
    <w:rsid w:val="795F6BDE"/>
    <w:rsid w:val="79855B88"/>
    <w:rsid w:val="79AC70C5"/>
    <w:rsid w:val="79B0209F"/>
    <w:rsid w:val="79B7167F"/>
    <w:rsid w:val="79C63D00"/>
    <w:rsid w:val="79DF5EBF"/>
    <w:rsid w:val="7A2F56B9"/>
    <w:rsid w:val="7A3F28F8"/>
    <w:rsid w:val="7A465B3B"/>
    <w:rsid w:val="7A545120"/>
    <w:rsid w:val="7A547DD4"/>
    <w:rsid w:val="7A747E9D"/>
    <w:rsid w:val="7A7A598A"/>
    <w:rsid w:val="7A861051"/>
    <w:rsid w:val="7A8D30A6"/>
    <w:rsid w:val="7AD4717D"/>
    <w:rsid w:val="7AD718AD"/>
    <w:rsid w:val="7AE57229"/>
    <w:rsid w:val="7AEC62FB"/>
    <w:rsid w:val="7AF70A7A"/>
    <w:rsid w:val="7AFB0DFE"/>
    <w:rsid w:val="7AFC20DD"/>
    <w:rsid w:val="7B1F572E"/>
    <w:rsid w:val="7B422442"/>
    <w:rsid w:val="7B45569B"/>
    <w:rsid w:val="7B48736D"/>
    <w:rsid w:val="7B5964B7"/>
    <w:rsid w:val="7B5B0730"/>
    <w:rsid w:val="7B5B61EC"/>
    <w:rsid w:val="7B601297"/>
    <w:rsid w:val="7B693591"/>
    <w:rsid w:val="7B7E61EE"/>
    <w:rsid w:val="7B9003DA"/>
    <w:rsid w:val="7BB57E40"/>
    <w:rsid w:val="7BD33813"/>
    <w:rsid w:val="7BE530CE"/>
    <w:rsid w:val="7BFA77F7"/>
    <w:rsid w:val="7C112C1A"/>
    <w:rsid w:val="7C29201E"/>
    <w:rsid w:val="7C301AE8"/>
    <w:rsid w:val="7C3A6597"/>
    <w:rsid w:val="7C6A5883"/>
    <w:rsid w:val="7C736D87"/>
    <w:rsid w:val="7C773348"/>
    <w:rsid w:val="7CC471D3"/>
    <w:rsid w:val="7CCF43A9"/>
    <w:rsid w:val="7CD95B4E"/>
    <w:rsid w:val="7CFF4EA7"/>
    <w:rsid w:val="7D44666A"/>
    <w:rsid w:val="7D4E154B"/>
    <w:rsid w:val="7D5A2422"/>
    <w:rsid w:val="7D5B67C5"/>
    <w:rsid w:val="7D6F1533"/>
    <w:rsid w:val="7D6F2271"/>
    <w:rsid w:val="7D6F560B"/>
    <w:rsid w:val="7D973C11"/>
    <w:rsid w:val="7DAA285D"/>
    <w:rsid w:val="7DBD122E"/>
    <w:rsid w:val="7DD56578"/>
    <w:rsid w:val="7DF73BBE"/>
    <w:rsid w:val="7DFA656C"/>
    <w:rsid w:val="7E016119"/>
    <w:rsid w:val="7E423066"/>
    <w:rsid w:val="7E464A92"/>
    <w:rsid w:val="7E5D2128"/>
    <w:rsid w:val="7E6873EC"/>
    <w:rsid w:val="7E8217E6"/>
    <w:rsid w:val="7E8B14C8"/>
    <w:rsid w:val="7EAA4108"/>
    <w:rsid w:val="7EAF0A65"/>
    <w:rsid w:val="7EED1C30"/>
    <w:rsid w:val="7F132EBC"/>
    <w:rsid w:val="7F6B1B39"/>
    <w:rsid w:val="7F6B2B03"/>
    <w:rsid w:val="7F76A3FF"/>
    <w:rsid w:val="7F8452AD"/>
    <w:rsid w:val="7FA2006A"/>
    <w:rsid w:val="7FB126CD"/>
    <w:rsid w:val="7FB9212F"/>
    <w:rsid w:val="7FD826DE"/>
    <w:rsid w:val="7FE24F7C"/>
    <w:rsid w:val="7FEB4145"/>
    <w:rsid w:val="7FF15577"/>
    <w:rsid w:val="7FFF4513"/>
    <w:rsid w:val="8E77554D"/>
    <w:rsid w:val="AED7A9C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Arial" w:hAnsi="Arial" w:eastAsia="宋体" w:cs="Arial"/>
      <w:kern w:val="2"/>
      <w:sz w:val="21"/>
      <w:szCs w:val="21"/>
      <w:lang w:val="en-US" w:eastAsia="zh-CN" w:bidi="ar-SA"/>
    </w:rPr>
  </w:style>
  <w:style w:type="paragraph" w:styleId="2">
    <w:name w:val="heading 1"/>
    <w:basedOn w:val="1"/>
    <w:next w:val="1"/>
    <w:link w:val="59"/>
    <w:autoRedefine/>
    <w:qFormat/>
    <w:uiPriority w:val="0"/>
    <w:pPr>
      <w:keepNext/>
      <w:keepLines/>
      <w:spacing w:before="340" w:beforeLines="0" w:after="330" w:afterLines="0" w:line="576" w:lineRule="auto"/>
      <w:jc w:val="center"/>
      <w:outlineLvl w:val="0"/>
    </w:pPr>
    <w:rPr>
      <w:b/>
      <w:spacing w:val="14"/>
      <w:kern w:val="44"/>
      <w:sz w:val="36"/>
      <w:szCs w:val="20"/>
    </w:rPr>
  </w:style>
  <w:style w:type="paragraph" w:styleId="3">
    <w:name w:val="heading 2"/>
    <w:basedOn w:val="1"/>
    <w:next w:val="1"/>
    <w:link w:val="60"/>
    <w:autoRedefine/>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3"/>
    <w:basedOn w:val="1"/>
    <w:next w:val="1"/>
    <w:link w:val="61"/>
    <w:autoRedefine/>
    <w:qFormat/>
    <w:uiPriority w:val="0"/>
    <w:pPr>
      <w:outlineLvl w:val="2"/>
    </w:pPr>
    <w:rPr>
      <w:b/>
      <w:bCs/>
      <w:spacing w:val="14"/>
      <w:kern w:val="24"/>
      <w:sz w:val="28"/>
      <w:szCs w:val="20"/>
    </w:rPr>
  </w:style>
  <w:style w:type="paragraph" w:styleId="5">
    <w:name w:val="heading 4"/>
    <w:basedOn w:val="1"/>
    <w:next w:val="1"/>
    <w:link w:val="62"/>
    <w:autoRedefine/>
    <w:qFormat/>
    <w:uiPriority w:val="0"/>
    <w:pPr>
      <w:keepNext/>
      <w:keepLines/>
      <w:spacing w:before="280" w:beforeLines="0" w:after="290" w:afterLines="0" w:line="372" w:lineRule="auto"/>
      <w:outlineLvl w:val="3"/>
    </w:pPr>
    <w:rPr>
      <w:rFonts w:eastAsia="黑体"/>
      <w:b/>
      <w:bCs/>
      <w:sz w:val="30"/>
      <w:szCs w:val="28"/>
    </w:rPr>
  </w:style>
  <w:style w:type="paragraph" w:styleId="6">
    <w:name w:val="heading 5"/>
    <w:basedOn w:val="1"/>
    <w:next w:val="7"/>
    <w:link w:val="63"/>
    <w:autoRedefine/>
    <w:qFormat/>
    <w:uiPriority w:val="0"/>
    <w:pPr>
      <w:keepNext/>
      <w:keepLines/>
      <w:tabs>
        <w:tab w:val="left" w:pos="1060"/>
      </w:tabs>
      <w:spacing w:before="280" w:beforeLines="0" w:after="290" w:afterLines="0"/>
      <w:ind w:left="425" w:hanging="85" w:firstLineChars="200"/>
      <w:jc w:val="left"/>
      <w:outlineLvl w:val="4"/>
    </w:pPr>
    <w:rPr>
      <w:rFonts w:eastAsia="黑体"/>
      <w:sz w:val="32"/>
      <w:szCs w:val="20"/>
    </w:rPr>
  </w:style>
  <w:style w:type="paragraph" w:styleId="8">
    <w:name w:val="heading 6"/>
    <w:basedOn w:val="1"/>
    <w:next w:val="7"/>
    <w:link w:val="65"/>
    <w:autoRedefine/>
    <w:qFormat/>
    <w:uiPriority w:val="0"/>
    <w:pPr>
      <w:keepNext/>
      <w:keepLines/>
      <w:tabs>
        <w:tab w:val="left" w:pos="1152"/>
      </w:tabs>
      <w:spacing w:before="240" w:beforeLines="0" w:after="64" w:afterLines="0" w:line="317" w:lineRule="auto"/>
      <w:ind w:left="1152" w:hanging="1152"/>
      <w:jc w:val="left"/>
      <w:outlineLvl w:val="5"/>
    </w:pPr>
    <w:rPr>
      <w:rFonts w:ascii="Arial" w:hAnsi="Arial" w:eastAsia="黑体"/>
      <w:b/>
      <w:bCs/>
      <w:spacing w:val="6"/>
      <w:sz w:val="24"/>
    </w:rPr>
  </w:style>
  <w:style w:type="paragraph" w:styleId="9">
    <w:name w:val="heading 7"/>
    <w:basedOn w:val="1"/>
    <w:next w:val="7"/>
    <w:link w:val="66"/>
    <w:autoRedefine/>
    <w:qFormat/>
    <w:uiPriority w:val="0"/>
    <w:pPr>
      <w:keepNext/>
      <w:keepLines/>
      <w:tabs>
        <w:tab w:val="left" w:pos="1296"/>
      </w:tabs>
      <w:spacing w:before="240" w:beforeLines="0" w:after="64" w:afterLines="0" w:line="317" w:lineRule="auto"/>
      <w:ind w:left="1296" w:hanging="1296"/>
      <w:jc w:val="left"/>
      <w:outlineLvl w:val="6"/>
    </w:pPr>
    <w:rPr>
      <w:b/>
      <w:bCs/>
      <w:spacing w:val="6"/>
      <w:sz w:val="24"/>
    </w:rPr>
  </w:style>
  <w:style w:type="paragraph" w:styleId="10">
    <w:name w:val="heading 8"/>
    <w:basedOn w:val="1"/>
    <w:next w:val="7"/>
    <w:link w:val="67"/>
    <w:autoRedefine/>
    <w:qFormat/>
    <w:uiPriority w:val="0"/>
    <w:pPr>
      <w:keepNext/>
      <w:keepLines/>
      <w:tabs>
        <w:tab w:val="left" w:pos="1440"/>
      </w:tabs>
      <w:spacing w:before="240" w:beforeLines="0" w:after="64" w:afterLines="0" w:line="317" w:lineRule="auto"/>
      <w:ind w:left="1440" w:hanging="1440"/>
      <w:jc w:val="left"/>
      <w:outlineLvl w:val="7"/>
    </w:pPr>
    <w:rPr>
      <w:rFonts w:ascii="Arial" w:hAnsi="Arial" w:eastAsia="黑体"/>
      <w:spacing w:val="6"/>
      <w:sz w:val="24"/>
    </w:rPr>
  </w:style>
  <w:style w:type="paragraph" w:styleId="11">
    <w:name w:val="heading 9"/>
    <w:basedOn w:val="1"/>
    <w:next w:val="7"/>
    <w:link w:val="68"/>
    <w:autoRedefine/>
    <w:qFormat/>
    <w:uiPriority w:val="0"/>
    <w:pPr>
      <w:keepNext/>
      <w:keepLines/>
      <w:tabs>
        <w:tab w:val="left" w:pos="1584"/>
      </w:tabs>
      <w:spacing w:before="240" w:beforeLines="0" w:after="64" w:afterLines="0" w:line="317" w:lineRule="auto"/>
      <w:ind w:left="1584" w:hanging="1584"/>
      <w:jc w:val="left"/>
      <w:outlineLvl w:val="8"/>
    </w:pPr>
    <w:rPr>
      <w:rFonts w:ascii="Arial" w:hAnsi="Arial" w:eastAsia="黑体"/>
      <w:spacing w:val="6"/>
      <w:sz w:val="24"/>
    </w:rPr>
  </w:style>
  <w:style w:type="character" w:default="1" w:styleId="51">
    <w:name w:val="Default Paragraph Font"/>
    <w:autoRedefine/>
    <w:qFormat/>
    <w:uiPriority w:val="0"/>
  </w:style>
  <w:style w:type="table" w:default="1" w:styleId="49">
    <w:name w:val="Normal Table"/>
    <w:autoRedefine/>
    <w:unhideWhenUsed/>
    <w:qFormat/>
    <w:uiPriority w:val="99"/>
    <w:tblPr>
      <w:tblCellMar>
        <w:top w:w="0" w:type="dxa"/>
        <w:left w:w="108" w:type="dxa"/>
        <w:bottom w:w="0" w:type="dxa"/>
        <w:right w:w="108" w:type="dxa"/>
      </w:tblCellMar>
    </w:tblPr>
  </w:style>
  <w:style w:type="paragraph" w:styleId="7">
    <w:name w:val="Normal Indent"/>
    <w:basedOn w:val="1"/>
    <w:link w:val="64"/>
    <w:autoRedefine/>
    <w:qFormat/>
    <w:uiPriority w:val="0"/>
    <w:pPr>
      <w:spacing w:line="460" w:lineRule="exact"/>
      <w:ind w:firstLine="420"/>
    </w:pPr>
    <w:rPr>
      <w:spacing w:val="14"/>
      <w:kern w:val="24"/>
      <w:sz w:val="24"/>
      <w:szCs w:val="20"/>
    </w:rPr>
  </w:style>
  <w:style w:type="paragraph" w:styleId="12">
    <w:name w:val="toc 7"/>
    <w:basedOn w:val="1"/>
    <w:next w:val="1"/>
    <w:autoRedefine/>
    <w:qFormat/>
    <w:uiPriority w:val="0"/>
    <w:pPr>
      <w:ind w:left="2520" w:leftChars="1200"/>
    </w:pPr>
  </w:style>
  <w:style w:type="paragraph" w:styleId="13">
    <w:name w:val="caption"/>
    <w:basedOn w:val="1"/>
    <w:next w:val="1"/>
    <w:autoRedefine/>
    <w:qFormat/>
    <w:uiPriority w:val="0"/>
    <w:rPr>
      <w:rFonts w:ascii="方正综艺简体" w:hAnsi="方正综艺简体" w:eastAsia="方正综艺简体" w:cs="方正综艺简体"/>
      <w:sz w:val="20"/>
      <w:szCs w:val="20"/>
    </w:rPr>
  </w:style>
  <w:style w:type="paragraph" w:styleId="14">
    <w:name w:val="Document Map"/>
    <w:basedOn w:val="1"/>
    <w:link w:val="69"/>
    <w:autoRedefine/>
    <w:qFormat/>
    <w:uiPriority w:val="0"/>
    <w:rPr>
      <w:rFonts w:ascii="宋体"/>
      <w:sz w:val="18"/>
      <w:szCs w:val="18"/>
    </w:rPr>
  </w:style>
  <w:style w:type="paragraph" w:styleId="15">
    <w:name w:val="toa heading"/>
    <w:basedOn w:val="1"/>
    <w:next w:val="1"/>
    <w:autoRedefine/>
    <w:qFormat/>
    <w:uiPriority w:val="0"/>
    <w:pPr>
      <w:spacing w:before="120"/>
    </w:pPr>
    <w:rPr>
      <w:rFonts w:ascii="Arial" w:hAnsi="Arial"/>
      <w:sz w:val="24"/>
    </w:rPr>
  </w:style>
  <w:style w:type="paragraph" w:styleId="16">
    <w:name w:val="annotation text"/>
    <w:basedOn w:val="1"/>
    <w:link w:val="70"/>
    <w:autoRedefine/>
    <w:qFormat/>
    <w:uiPriority w:val="0"/>
    <w:pPr>
      <w:jc w:val="left"/>
    </w:pPr>
  </w:style>
  <w:style w:type="paragraph" w:styleId="17">
    <w:name w:val="Salutation"/>
    <w:basedOn w:val="1"/>
    <w:next w:val="1"/>
    <w:autoRedefine/>
    <w:qFormat/>
    <w:uiPriority w:val="0"/>
    <w:rPr>
      <w:rFonts w:ascii="宋体" w:hAnsi="宋体"/>
      <w:spacing w:val="20"/>
      <w:sz w:val="24"/>
      <w:szCs w:val="20"/>
    </w:rPr>
  </w:style>
  <w:style w:type="paragraph" w:styleId="18">
    <w:name w:val="Body Text 3"/>
    <w:basedOn w:val="1"/>
    <w:link w:val="71"/>
    <w:autoRedefine/>
    <w:qFormat/>
    <w:uiPriority w:val="0"/>
    <w:pPr>
      <w:spacing w:before="312" w:beforeLines="100" w:after="312" w:afterLines="100" w:line="400" w:lineRule="exact"/>
    </w:pPr>
    <w:rPr>
      <w:rFonts w:ascii="宋体" w:hAnsi="宋体"/>
      <w:sz w:val="24"/>
    </w:rPr>
  </w:style>
  <w:style w:type="paragraph" w:styleId="19">
    <w:name w:val="Body Text"/>
    <w:basedOn w:val="1"/>
    <w:link w:val="72"/>
    <w:autoRedefine/>
    <w:qFormat/>
    <w:uiPriority w:val="0"/>
    <w:pPr>
      <w:spacing w:after="120" w:afterLines="0"/>
    </w:pPr>
  </w:style>
  <w:style w:type="paragraph" w:styleId="20">
    <w:name w:val="Body Text Indent"/>
    <w:basedOn w:val="1"/>
    <w:next w:val="1"/>
    <w:link w:val="74"/>
    <w:autoRedefine/>
    <w:qFormat/>
    <w:uiPriority w:val="0"/>
    <w:pPr>
      <w:spacing w:line="460" w:lineRule="exact"/>
      <w:ind w:firstLine="420"/>
    </w:pPr>
    <w:rPr>
      <w:rFonts w:ascii="宋体"/>
      <w:kern w:val="24"/>
      <w:sz w:val="28"/>
      <w:szCs w:val="20"/>
    </w:rPr>
  </w:style>
  <w:style w:type="paragraph" w:styleId="21">
    <w:name w:val="Block Text"/>
    <w:basedOn w:val="1"/>
    <w:autoRedefine/>
    <w:qFormat/>
    <w:uiPriority w:val="0"/>
    <w:pPr>
      <w:adjustRightInd w:val="0"/>
      <w:ind w:left="420" w:right="33"/>
      <w:jc w:val="left"/>
      <w:textAlignment w:val="baseline"/>
    </w:pPr>
    <w:rPr>
      <w:kern w:val="0"/>
      <w:sz w:val="24"/>
    </w:rPr>
  </w:style>
  <w:style w:type="paragraph" w:styleId="22">
    <w:name w:val="List Bullet 2"/>
    <w:basedOn w:val="1"/>
    <w:autoRedefine/>
    <w:qFormat/>
    <w:uiPriority w:val="0"/>
    <w:pPr>
      <w:tabs>
        <w:tab w:val="left" w:pos="780"/>
      </w:tabs>
      <w:spacing w:line="460" w:lineRule="exact"/>
      <w:ind w:left="780" w:leftChars="200" w:hanging="360" w:hangingChars="200"/>
    </w:pPr>
    <w:rPr>
      <w:spacing w:val="12"/>
      <w:sz w:val="24"/>
      <w:szCs w:val="20"/>
    </w:rPr>
  </w:style>
  <w:style w:type="paragraph" w:styleId="23">
    <w:name w:val="index 4"/>
    <w:basedOn w:val="1"/>
    <w:next w:val="1"/>
    <w:autoRedefine/>
    <w:qFormat/>
    <w:uiPriority w:val="0"/>
    <w:pPr>
      <w:ind w:left="600" w:leftChars="600"/>
    </w:pPr>
    <w:rPr>
      <w:rFonts w:ascii="方正综艺简体" w:hAnsi="方正综艺简体" w:eastAsia="方正综艺简体" w:cs="方正综艺简体"/>
    </w:rPr>
  </w:style>
  <w:style w:type="paragraph" w:styleId="24">
    <w:name w:val="toc 5"/>
    <w:basedOn w:val="1"/>
    <w:next w:val="1"/>
    <w:autoRedefine/>
    <w:qFormat/>
    <w:uiPriority w:val="0"/>
    <w:pPr>
      <w:ind w:left="1680" w:leftChars="800"/>
    </w:pPr>
  </w:style>
  <w:style w:type="paragraph" w:styleId="25">
    <w:name w:val="toc 3"/>
    <w:basedOn w:val="1"/>
    <w:next w:val="1"/>
    <w:autoRedefine/>
    <w:qFormat/>
    <w:uiPriority w:val="39"/>
    <w:pPr>
      <w:ind w:left="840" w:leftChars="400"/>
    </w:pPr>
  </w:style>
  <w:style w:type="paragraph" w:styleId="26">
    <w:name w:val="Plain Text"/>
    <w:basedOn w:val="1"/>
    <w:link w:val="75"/>
    <w:autoRedefine/>
    <w:qFormat/>
    <w:uiPriority w:val="0"/>
    <w:rPr>
      <w:rFonts w:ascii="宋体" w:hAnsi="Courier New"/>
      <w:szCs w:val="20"/>
    </w:rPr>
  </w:style>
  <w:style w:type="paragraph" w:styleId="27">
    <w:name w:val="toc 8"/>
    <w:basedOn w:val="1"/>
    <w:next w:val="1"/>
    <w:autoRedefine/>
    <w:qFormat/>
    <w:uiPriority w:val="0"/>
    <w:pPr>
      <w:ind w:left="2940" w:leftChars="1400"/>
    </w:pPr>
  </w:style>
  <w:style w:type="paragraph" w:styleId="28">
    <w:name w:val="Date"/>
    <w:basedOn w:val="1"/>
    <w:next w:val="1"/>
    <w:link w:val="76"/>
    <w:autoRedefine/>
    <w:qFormat/>
    <w:uiPriority w:val="0"/>
    <w:pPr>
      <w:ind w:left="100" w:leftChars="2500"/>
    </w:pPr>
    <w:rPr>
      <w:sz w:val="24"/>
    </w:rPr>
  </w:style>
  <w:style w:type="paragraph" w:styleId="29">
    <w:name w:val="Body Text Indent 2"/>
    <w:basedOn w:val="1"/>
    <w:link w:val="77"/>
    <w:autoRedefine/>
    <w:qFormat/>
    <w:uiPriority w:val="0"/>
    <w:pPr>
      <w:spacing w:line="460" w:lineRule="exact"/>
      <w:ind w:firstLine="510" w:firstLineChars="203"/>
    </w:pPr>
    <w:rPr>
      <w:spacing w:val="14"/>
      <w:kern w:val="24"/>
      <w:sz w:val="24"/>
      <w:szCs w:val="20"/>
    </w:rPr>
  </w:style>
  <w:style w:type="paragraph" w:styleId="30">
    <w:name w:val="Balloon Text"/>
    <w:basedOn w:val="1"/>
    <w:link w:val="78"/>
    <w:autoRedefine/>
    <w:qFormat/>
    <w:uiPriority w:val="0"/>
    <w:rPr>
      <w:sz w:val="18"/>
      <w:szCs w:val="18"/>
    </w:rPr>
  </w:style>
  <w:style w:type="paragraph" w:styleId="31">
    <w:name w:val="footer"/>
    <w:basedOn w:val="1"/>
    <w:link w:val="79"/>
    <w:autoRedefine/>
    <w:qFormat/>
    <w:uiPriority w:val="0"/>
    <w:pPr>
      <w:tabs>
        <w:tab w:val="center" w:pos="4153"/>
        <w:tab w:val="right" w:pos="8306"/>
      </w:tabs>
      <w:snapToGrid w:val="0"/>
      <w:jc w:val="left"/>
    </w:pPr>
    <w:rPr>
      <w:sz w:val="18"/>
      <w:szCs w:val="18"/>
    </w:rPr>
  </w:style>
  <w:style w:type="paragraph" w:styleId="32">
    <w:name w:val="header"/>
    <w:basedOn w:val="1"/>
    <w:link w:val="80"/>
    <w:autoRedefine/>
    <w:qFormat/>
    <w:uiPriority w:val="0"/>
    <w:pPr>
      <w:pBdr>
        <w:bottom w:val="single" w:color="auto" w:sz="6" w:space="1"/>
      </w:pBdr>
      <w:tabs>
        <w:tab w:val="center" w:pos="4153"/>
        <w:tab w:val="right" w:pos="8306"/>
      </w:tabs>
      <w:snapToGrid w:val="0"/>
      <w:jc w:val="center"/>
    </w:pPr>
    <w:rPr>
      <w:sz w:val="18"/>
      <w:szCs w:val="18"/>
    </w:rPr>
  </w:style>
  <w:style w:type="paragraph" w:styleId="33">
    <w:name w:val="Signature"/>
    <w:basedOn w:val="1"/>
    <w:autoRedefine/>
    <w:qFormat/>
    <w:uiPriority w:val="0"/>
    <w:pPr>
      <w:spacing w:line="460" w:lineRule="exact"/>
      <w:ind w:left="100" w:leftChars="2100" w:firstLine="200" w:firstLineChars="200"/>
    </w:pPr>
    <w:rPr>
      <w:spacing w:val="12"/>
      <w:sz w:val="24"/>
      <w:szCs w:val="20"/>
    </w:rPr>
  </w:style>
  <w:style w:type="paragraph" w:styleId="34">
    <w:name w:val="toc 1"/>
    <w:basedOn w:val="1"/>
    <w:next w:val="1"/>
    <w:autoRedefine/>
    <w:qFormat/>
    <w:uiPriority w:val="39"/>
    <w:rPr>
      <w:rFonts w:ascii="Arial" w:hAnsi="Arial" w:cs="Arial"/>
      <w:bCs/>
      <w:kern w:val="0"/>
    </w:rPr>
  </w:style>
  <w:style w:type="paragraph" w:styleId="35">
    <w:name w:val="toc 4"/>
    <w:basedOn w:val="1"/>
    <w:next w:val="1"/>
    <w:autoRedefine/>
    <w:qFormat/>
    <w:uiPriority w:val="0"/>
    <w:pPr>
      <w:ind w:left="1260" w:leftChars="600"/>
    </w:pPr>
  </w:style>
  <w:style w:type="paragraph" w:styleId="36">
    <w:name w:val="Subtitle"/>
    <w:basedOn w:val="1"/>
    <w:next w:val="1"/>
    <w:link w:val="81"/>
    <w:autoRedefine/>
    <w:qFormat/>
    <w:uiPriority w:val="0"/>
    <w:pPr>
      <w:spacing w:before="240" w:after="60" w:line="312" w:lineRule="auto"/>
      <w:jc w:val="center"/>
      <w:outlineLvl w:val="1"/>
    </w:pPr>
    <w:rPr>
      <w:rFonts w:ascii="Cambria" w:hAnsi="Cambria"/>
      <w:b/>
      <w:bCs/>
      <w:kern w:val="28"/>
      <w:sz w:val="32"/>
      <w:szCs w:val="32"/>
    </w:rPr>
  </w:style>
  <w:style w:type="paragraph" w:styleId="37">
    <w:name w:val="toc 6"/>
    <w:basedOn w:val="1"/>
    <w:next w:val="1"/>
    <w:autoRedefine/>
    <w:qFormat/>
    <w:uiPriority w:val="0"/>
    <w:pPr>
      <w:ind w:left="2100" w:leftChars="1000"/>
    </w:pPr>
  </w:style>
  <w:style w:type="paragraph" w:styleId="38">
    <w:name w:val="Body Text Indent 3"/>
    <w:basedOn w:val="1"/>
    <w:link w:val="82"/>
    <w:autoRedefine/>
    <w:qFormat/>
    <w:uiPriority w:val="0"/>
    <w:pPr>
      <w:spacing w:line="460" w:lineRule="exact"/>
      <w:ind w:firstLine="555" w:firstLineChars="221"/>
    </w:pPr>
    <w:rPr>
      <w:spacing w:val="14"/>
      <w:kern w:val="24"/>
      <w:sz w:val="24"/>
      <w:szCs w:val="20"/>
    </w:rPr>
  </w:style>
  <w:style w:type="paragraph" w:styleId="39">
    <w:name w:val="table of figures"/>
    <w:basedOn w:val="1"/>
    <w:next w:val="1"/>
    <w:autoRedefine/>
    <w:qFormat/>
    <w:uiPriority w:val="0"/>
    <w:pPr>
      <w:widowControl/>
      <w:ind w:left="840" w:leftChars="200" w:hanging="420" w:hangingChars="200"/>
      <w:jc w:val="left"/>
    </w:pPr>
    <w:rPr>
      <w:kern w:val="0"/>
      <w:szCs w:val="20"/>
    </w:rPr>
  </w:style>
  <w:style w:type="paragraph" w:styleId="40">
    <w:name w:val="toc 2"/>
    <w:basedOn w:val="1"/>
    <w:next w:val="1"/>
    <w:autoRedefine/>
    <w:qFormat/>
    <w:uiPriority w:val="39"/>
    <w:pPr>
      <w:ind w:left="420" w:leftChars="200"/>
    </w:pPr>
  </w:style>
  <w:style w:type="paragraph" w:styleId="41">
    <w:name w:val="toc 9"/>
    <w:basedOn w:val="1"/>
    <w:next w:val="1"/>
    <w:autoRedefine/>
    <w:qFormat/>
    <w:uiPriority w:val="0"/>
    <w:pPr>
      <w:ind w:left="3360" w:leftChars="1600"/>
    </w:pPr>
  </w:style>
  <w:style w:type="paragraph" w:styleId="42">
    <w:name w:val="Body Text 2"/>
    <w:basedOn w:val="1"/>
    <w:link w:val="83"/>
    <w:autoRedefine/>
    <w:qFormat/>
    <w:uiPriority w:val="0"/>
    <w:pPr>
      <w:jc w:val="center"/>
    </w:pPr>
    <w:rPr>
      <w:rFonts w:ascii="宋体" w:hAnsi="宋体"/>
      <w:sz w:val="44"/>
    </w:rPr>
  </w:style>
  <w:style w:type="paragraph" w:styleId="43">
    <w:name w:val="HTML Preformatted"/>
    <w:basedOn w:val="1"/>
    <w:autoRedefine/>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Times New Roman"/>
      <w:szCs w:val="22"/>
    </w:rPr>
  </w:style>
  <w:style w:type="paragraph" w:styleId="44">
    <w:name w:val="Normal (Web)"/>
    <w:basedOn w:val="1"/>
    <w:autoRedefine/>
    <w:qFormat/>
    <w:uiPriority w:val="99"/>
    <w:pPr>
      <w:widowControl/>
      <w:spacing w:before="100" w:beforeLines="0" w:beforeAutospacing="1" w:after="100" w:afterLines="0" w:afterAutospacing="1"/>
      <w:jc w:val="left"/>
    </w:pPr>
    <w:rPr>
      <w:rFonts w:ascii="Arial Unicode MS" w:hAnsi="Arial Unicode MS" w:eastAsia="Times New Roman"/>
      <w:color w:val="000000"/>
      <w:kern w:val="0"/>
      <w:sz w:val="24"/>
    </w:rPr>
  </w:style>
  <w:style w:type="paragraph" w:styleId="45">
    <w:name w:val="Title"/>
    <w:basedOn w:val="1"/>
    <w:next w:val="1"/>
    <w:link w:val="84"/>
    <w:autoRedefine/>
    <w:qFormat/>
    <w:uiPriority w:val="0"/>
    <w:pPr>
      <w:spacing w:before="240" w:after="60"/>
      <w:jc w:val="center"/>
      <w:outlineLvl w:val="0"/>
    </w:pPr>
    <w:rPr>
      <w:rFonts w:ascii="Cambria" w:hAnsi="Cambria"/>
      <w:b/>
      <w:bCs/>
      <w:sz w:val="32"/>
      <w:szCs w:val="32"/>
    </w:rPr>
  </w:style>
  <w:style w:type="paragraph" w:styleId="46">
    <w:name w:val="annotation subject"/>
    <w:basedOn w:val="16"/>
    <w:next w:val="16"/>
    <w:link w:val="85"/>
    <w:autoRedefine/>
    <w:qFormat/>
    <w:uiPriority w:val="0"/>
    <w:rPr>
      <w:b/>
      <w:bCs/>
    </w:rPr>
  </w:style>
  <w:style w:type="paragraph" w:styleId="47">
    <w:name w:val="Body Text First Indent"/>
    <w:basedOn w:val="19"/>
    <w:next w:val="37"/>
    <w:link w:val="73"/>
    <w:autoRedefine/>
    <w:qFormat/>
    <w:uiPriority w:val="0"/>
    <w:pPr>
      <w:tabs>
        <w:tab w:val="left" w:pos="482"/>
        <w:tab w:val="left" w:pos="2183"/>
        <w:tab w:val="left" w:pos="3884"/>
        <w:tab w:val="left" w:pos="5585"/>
      </w:tabs>
      <w:adjustRightInd w:val="0"/>
      <w:spacing w:after="0" w:afterLines="0"/>
      <w:ind w:firstLine="482"/>
      <w:textAlignment w:val="baseline"/>
    </w:pPr>
    <w:rPr>
      <w:kern w:val="0"/>
      <w:sz w:val="24"/>
      <w:szCs w:val="20"/>
    </w:rPr>
  </w:style>
  <w:style w:type="paragraph" w:styleId="48">
    <w:name w:val="Body Text First Indent 2"/>
    <w:basedOn w:val="20"/>
    <w:autoRedefine/>
    <w:qFormat/>
    <w:uiPriority w:val="0"/>
    <w:pPr>
      <w:tabs>
        <w:tab w:val="left" w:pos="482"/>
        <w:tab w:val="left" w:pos="2183"/>
        <w:tab w:val="left" w:pos="3884"/>
        <w:tab w:val="left" w:pos="5585"/>
      </w:tabs>
      <w:ind w:firstLine="210" w:firstLineChars="200"/>
    </w:pPr>
    <w:rPr>
      <w:rFonts w:ascii="宋体" w:hAnsi="宋体" w:eastAsia="宋体" w:cs="Times New Roman"/>
    </w:rPr>
  </w:style>
  <w:style w:type="table" w:styleId="50">
    <w:name w:val="Table Grid"/>
    <w:basedOn w:val="4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2">
    <w:name w:val="Strong"/>
    <w:autoRedefine/>
    <w:qFormat/>
    <w:uiPriority w:val="0"/>
    <w:rPr>
      <w:b/>
      <w:bCs/>
    </w:rPr>
  </w:style>
  <w:style w:type="character" w:styleId="53">
    <w:name w:val="page number"/>
    <w:basedOn w:val="51"/>
    <w:autoRedefine/>
    <w:qFormat/>
    <w:uiPriority w:val="0"/>
  </w:style>
  <w:style w:type="character" w:styleId="54">
    <w:name w:val="FollowedHyperlink"/>
    <w:autoRedefine/>
    <w:qFormat/>
    <w:uiPriority w:val="0"/>
    <w:rPr>
      <w:color w:val="2C4C78"/>
      <w:u w:val="none"/>
    </w:rPr>
  </w:style>
  <w:style w:type="character" w:styleId="55">
    <w:name w:val="Emphasis"/>
    <w:autoRedefine/>
    <w:qFormat/>
    <w:uiPriority w:val="0"/>
    <w:rPr>
      <w:rFonts w:ascii="Arial Black" w:hAnsi="Arial Black" w:eastAsia="黑体"/>
      <w:b/>
      <w:bCs/>
      <w:spacing w:val="0"/>
      <w:sz w:val="21"/>
      <w:lang w:eastAsia="zh-CN"/>
    </w:rPr>
  </w:style>
  <w:style w:type="character" w:styleId="56">
    <w:name w:val="line number"/>
    <w:basedOn w:val="51"/>
    <w:autoRedefine/>
    <w:qFormat/>
    <w:uiPriority w:val="0"/>
  </w:style>
  <w:style w:type="character" w:styleId="57">
    <w:name w:val="Hyperlink"/>
    <w:autoRedefine/>
    <w:qFormat/>
    <w:uiPriority w:val="99"/>
    <w:rPr>
      <w:color w:val="333333"/>
      <w:u w:val="none"/>
    </w:rPr>
  </w:style>
  <w:style w:type="character" w:styleId="58">
    <w:name w:val="annotation reference"/>
    <w:autoRedefine/>
    <w:qFormat/>
    <w:uiPriority w:val="0"/>
    <w:rPr>
      <w:sz w:val="21"/>
      <w:szCs w:val="21"/>
    </w:rPr>
  </w:style>
  <w:style w:type="character" w:customStyle="1" w:styleId="59">
    <w:name w:val="标题 1 Char"/>
    <w:link w:val="2"/>
    <w:autoRedefine/>
    <w:qFormat/>
    <w:uiPriority w:val="0"/>
    <w:rPr>
      <w:rFonts w:eastAsia="宋体"/>
      <w:b/>
      <w:spacing w:val="14"/>
      <w:kern w:val="44"/>
      <w:sz w:val="36"/>
      <w:lang w:val="en-US" w:eastAsia="zh-CN" w:bidi="ar-SA"/>
    </w:rPr>
  </w:style>
  <w:style w:type="character" w:customStyle="1" w:styleId="60">
    <w:name w:val="标题 2 Char"/>
    <w:link w:val="3"/>
    <w:autoRedefine/>
    <w:qFormat/>
    <w:uiPriority w:val="0"/>
    <w:rPr>
      <w:rFonts w:ascii="Arial" w:hAnsi="Arial" w:eastAsia="黑体"/>
      <w:b/>
      <w:bCs/>
      <w:kern w:val="2"/>
      <w:sz w:val="32"/>
      <w:szCs w:val="32"/>
      <w:lang w:val="en-US" w:eastAsia="zh-CN" w:bidi="ar-SA"/>
    </w:rPr>
  </w:style>
  <w:style w:type="character" w:customStyle="1" w:styleId="61">
    <w:name w:val="标题 3 Char"/>
    <w:link w:val="4"/>
    <w:autoRedefine/>
    <w:qFormat/>
    <w:uiPriority w:val="0"/>
    <w:rPr>
      <w:rFonts w:ascii="Arial" w:hAnsi="Arial" w:eastAsia="黑体"/>
      <w:spacing w:val="14"/>
      <w:kern w:val="24"/>
      <w:sz w:val="28"/>
    </w:rPr>
  </w:style>
  <w:style w:type="character" w:customStyle="1" w:styleId="62">
    <w:name w:val="标题 4 Char"/>
    <w:link w:val="5"/>
    <w:autoRedefine/>
    <w:qFormat/>
    <w:uiPriority w:val="0"/>
    <w:rPr>
      <w:rFonts w:eastAsia="黑体"/>
      <w:b/>
      <w:bCs/>
      <w:kern w:val="2"/>
      <w:sz w:val="30"/>
      <w:szCs w:val="28"/>
    </w:rPr>
  </w:style>
  <w:style w:type="character" w:customStyle="1" w:styleId="63">
    <w:name w:val="标题 5 Char"/>
    <w:link w:val="6"/>
    <w:autoRedefine/>
    <w:qFormat/>
    <w:uiPriority w:val="0"/>
    <w:rPr>
      <w:rFonts w:eastAsia="黑体"/>
      <w:kern w:val="2"/>
      <w:sz w:val="32"/>
    </w:rPr>
  </w:style>
  <w:style w:type="character" w:customStyle="1" w:styleId="64">
    <w:name w:val="正文缩进 Char"/>
    <w:link w:val="7"/>
    <w:autoRedefine/>
    <w:qFormat/>
    <w:uiPriority w:val="0"/>
    <w:rPr>
      <w:spacing w:val="14"/>
      <w:kern w:val="24"/>
      <w:sz w:val="24"/>
    </w:rPr>
  </w:style>
  <w:style w:type="character" w:customStyle="1" w:styleId="65">
    <w:name w:val="标题 6 Char"/>
    <w:link w:val="8"/>
    <w:autoRedefine/>
    <w:qFormat/>
    <w:uiPriority w:val="0"/>
    <w:rPr>
      <w:rFonts w:ascii="Arial" w:hAnsi="Arial" w:eastAsia="黑体"/>
      <w:b/>
      <w:bCs/>
      <w:spacing w:val="6"/>
      <w:kern w:val="2"/>
      <w:sz w:val="24"/>
      <w:szCs w:val="24"/>
    </w:rPr>
  </w:style>
  <w:style w:type="character" w:customStyle="1" w:styleId="66">
    <w:name w:val="标题 7 Char"/>
    <w:link w:val="9"/>
    <w:autoRedefine/>
    <w:qFormat/>
    <w:uiPriority w:val="0"/>
    <w:rPr>
      <w:b/>
      <w:bCs/>
      <w:spacing w:val="6"/>
      <w:kern w:val="2"/>
      <w:sz w:val="24"/>
      <w:szCs w:val="24"/>
    </w:rPr>
  </w:style>
  <w:style w:type="character" w:customStyle="1" w:styleId="67">
    <w:name w:val="标题 8 Char"/>
    <w:link w:val="10"/>
    <w:autoRedefine/>
    <w:qFormat/>
    <w:uiPriority w:val="0"/>
    <w:rPr>
      <w:rFonts w:ascii="Arial" w:hAnsi="Arial" w:eastAsia="黑体"/>
      <w:spacing w:val="6"/>
      <w:kern w:val="2"/>
      <w:sz w:val="24"/>
      <w:szCs w:val="24"/>
    </w:rPr>
  </w:style>
  <w:style w:type="character" w:customStyle="1" w:styleId="68">
    <w:name w:val="标题 9 Char"/>
    <w:link w:val="11"/>
    <w:autoRedefine/>
    <w:qFormat/>
    <w:uiPriority w:val="0"/>
    <w:rPr>
      <w:rFonts w:ascii="Arial" w:hAnsi="Arial" w:eastAsia="黑体"/>
      <w:spacing w:val="6"/>
      <w:kern w:val="2"/>
      <w:sz w:val="24"/>
      <w:szCs w:val="24"/>
    </w:rPr>
  </w:style>
  <w:style w:type="character" w:customStyle="1" w:styleId="69">
    <w:name w:val="文档结构图 Char"/>
    <w:link w:val="14"/>
    <w:autoRedefine/>
    <w:qFormat/>
    <w:uiPriority w:val="0"/>
    <w:rPr>
      <w:rFonts w:ascii="宋体"/>
      <w:kern w:val="2"/>
      <w:sz w:val="18"/>
      <w:szCs w:val="18"/>
    </w:rPr>
  </w:style>
  <w:style w:type="character" w:customStyle="1" w:styleId="70">
    <w:name w:val="批注文字 Char"/>
    <w:link w:val="16"/>
    <w:autoRedefine/>
    <w:qFormat/>
    <w:uiPriority w:val="0"/>
    <w:rPr>
      <w:kern w:val="2"/>
      <w:sz w:val="21"/>
      <w:szCs w:val="24"/>
    </w:rPr>
  </w:style>
  <w:style w:type="character" w:customStyle="1" w:styleId="71">
    <w:name w:val="正文文本 3 Char"/>
    <w:link w:val="18"/>
    <w:autoRedefine/>
    <w:qFormat/>
    <w:uiPriority w:val="0"/>
    <w:rPr>
      <w:rFonts w:ascii="宋体" w:hAnsi="宋体"/>
      <w:kern w:val="2"/>
      <w:sz w:val="24"/>
      <w:szCs w:val="24"/>
    </w:rPr>
  </w:style>
  <w:style w:type="character" w:customStyle="1" w:styleId="72">
    <w:name w:val="正文文本 Char"/>
    <w:link w:val="19"/>
    <w:autoRedefine/>
    <w:qFormat/>
    <w:uiPriority w:val="0"/>
    <w:rPr>
      <w:kern w:val="2"/>
      <w:sz w:val="21"/>
      <w:szCs w:val="24"/>
    </w:rPr>
  </w:style>
  <w:style w:type="character" w:customStyle="1" w:styleId="73">
    <w:name w:val="正文首行缩进 Char"/>
    <w:link w:val="47"/>
    <w:autoRedefine/>
    <w:qFormat/>
    <w:uiPriority w:val="0"/>
    <w:rPr>
      <w:sz w:val="24"/>
    </w:rPr>
  </w:style>
  <w:style w:type="character" w:customStyle="1" w:styleId="74">
    <w:name w:val="正文文本缩进 Char"/>
    <w:link w:val="20"/>
    <w:autoRedefine/>
    <w:qFormat/>
    <w:uiPriority w:val="0"/>
    <w:rPr>
      <w:rFonts w:ascii="宋体"/>
      <w:kern w:val="24"/>
      <w:sz w:val="28"/>
    </w:rPr>
  </w:style>
  <w:style w:type="character" w:customStyle="1" w:styleId="75">
    <w:name w:val="纯文本 Char"/>
    <w:link w:val="26"/>
    <w:autoRedefine/>
    <w:qFormat/>
    <w:uiPriority w:val="0"/>
    <w:rPr>
      <w:rFonts w:ascii="宋体" w:hAnsi="Courier New"/>
      <w:kern w:val="2"/>
      <w:sz w:val="21"/>
    </w:rPr>
  </w:style>
  <w:style w:type="character" w:customStyle="1" w:styleId="76">
    <w:name w:val="日期 Char"/>
    <w:link w:val="28"/>
    <w:autoRedefine/>
    <w:qFormat/>
    <w:uiPriority w:val="0"/>
    <w:rPr>
      <w:kern w:val="2"/>
      <w:sz w:val="24"/>
      <w:szCs w:val="24"/>
    </w:rPr>
  </w:style>
  <w:style w:type="character" w:customStyle="1" w:styleId="77">
    <w:name w:val="正文文本缩进 2 Char"/>
    <w:link w:val="29"/>
    <w:autoRedefine/>
    <w:qFormat/>
    <w:uiPriority w:val="0"/>
    <w:rPr>
      <w:spacing w:val="14"/>
      <w:kern w:val="24"/>
      <w:sz w:val="24"/>
    </w:rPr>
  </w:style>
  <w:style w:type="character" w:customStyle="1" w:styleId="78">
    <w:name w:val="批注框文本 Char"/>
    <w:link w:val="30"/>
    <w:autoRedefine/>
    <w:qFormat/>
    <w:uiPriority w:val="0"/>
    <w:rPr>
      <w:kern w:val="2"/>
      <w:sz w:val="18"/>
      <w:szCs w:val="18"/>
    </w:rPr>
  </w:style>
  <w:style w:type="character" w:customStyle="1" w:styleId="79">
    <w:name w:val="页脚 Char"/>
    <w:link w:val="31"/>
    <w:autoRedefine/>
    <w:qFormat/>
    <w:uiPriority w:val="0"/>
    <w:rPr>
      <w:kern w:val="2"/>
      <w:sz w:val="18"/>
      <w:szCs w:val="18"/>
    </w:rPr>
  </w:style>
  <w:style w:type="character" w:customStyle="1" w:styleId="80">
    <w:name w:val="页眉 Char"/>
    <w:link w:val="32"/>
    <w:autoRedefine/>
    <w:qFormat/>
    <w:uiPriority w:val="0"/>
    <w:rPr>
      <w:kern w:val="2"/>
      <w:sz w:val="18"/>
      <w:szCs w:val="18"/>
    </w:rPr>
  </w:style>
  <w:style w:type="character" w:customStyle="1" w:styleId="81">
    <w:name w:val="副标题 Char"/>
    <w:link w:val="36"/>
    <w:autoRedefine/>
    <w:qFormat/>
    <w:uiPriority w:val="0"/>
    <w:rPr>
      <w:rFonts w:ascii="Cambria" w:hAnsi="Cambria" w:cs="Times New Roman"/>
      <w:b/>
      <w:bCs/>
      <w:kern w:val="28"/>
      <w:sz w:val="32"/>
      <w:szCs w:val="32"/>
    </w:rPr>
  </w:style>
  <w:style w:type="character" w:customStyle="1" w:styleId="82">
    <w:name w:val="正文文本缩进 3 Char"/>
    <w:link w:val="38"/>
    <w:autoRedefine/>
    <w:qFormat/>
    <w:uiPriority w:val="0"/>
    <w:rPr>
      <w:spacing w:val="14"/>
      <w:kern w:val="24"/>
      <w:sz w:val="24"/>
    </w:rPr>
  </w:style>
  <w:style w:type="character" w:customStyle="1" w:styleId="83">
    <w:name w:val="正文文本 2 Char"/>
    <w:link w:val="42"/>
    <w:autoRedefine/>
    <w:qFormat/>
    <w:uiPriority w:val="0"/>
    <w:rPr>
      <w:rFonts w:ascii="宋体" w:hAnsi="宋体"/>
      <w:kern w:val="2"/>
      <w:sz w:val="44"/>
      <w:szCs w:val="24"/>
    </w:rPr>
  </w:style>
  <w:style w:type="character" w:customStyle="1" w:styleId="84">
    <w:name w:val="标题 Char"/>
    <w:link w:val="45"/>
    <w:autoRedefine/>
    <w:qFormat/>
    <w:uiPriority w:val="0"/>
    <w:rPr>
      <w:rFonts w:ascii="Cambria" w:hAnsi="Cambria" w:cs="Times New Roman"/>
      <w:b/>
      <w:bCs/>
      <w:kern w:val="2"/>
      <w:sz w:val="32"/>
      <w:szCs w:val="32"/>
    </w:rPr>
  </w:style>
  <w:style w:type="character" w:customStyle="1" w:styleId="85">
    <w:name w:val="批注主题 Char"/>
    <w:link w:val="46"/>
    <w:autoRedefine/>
    <w:qFormat/>
    <w:uiPriority w:val="0"/>
    <w:rPr>
      <w:b/>
      <w:bCs/>
      <w:kern w:val="2"/>
      <w:sz w:val="21"/>
      <w:szCs w:val="24"/>
    </w:rPr>
  </w:style>
  <w:style w:type="paragraph" w:customStyle="1" w:styleId="86">
    <w:name w:val="表格文字"/>
    <w:basedOn w:val="1"/>
    <w:next w:val="19"/>
    <w:autoRedefine/>
    <w:qFormat/>
    <w:uiPriority w:val="0"/>
    <w:pPr>
      <w:widowControl w:val="0"/>
      <w:adjustRightInd w:val="0"/>
      <w:spacing w:line="420" w:lineRule="atLeast"/>
      <w:textAlignment w:val="baseline"/>
    </w:pPr>
  </w:style>
  <w:style w:type="character" w:customStyle="1" w:styleId="87">
    <w:name w:val="明显引用 Char1"/>
    <w:autoRedefine/>
    <w:qFormat/>
    <w:uiPriority w:val="30"/>
    <w:rPr>
      <w:b/>
      <w:bCs/>
      <w:i/>
      <w:iCs/>
      <w:color w:val="4F81BD"/>
      <w:kern w:val="2"/>
      <w:sz w:val="21"/>
      <w:szCs w:val="24"/>
    </w:rPr>
  </w:style>
  <w:style w:type="character" w:customStyle="1" w:styleId="88">
    <w:name w:val="font61"/>
    <w:autoRedefine/>
    <w:qFormat/>
    <w:uiPriority w:val="0"/>
    <w:rPr>
      <w:rFonts w:hint="default" w:ascii="Times New Roman" w:hAnsi="Times New Roman" w:cs="Times New Roman"/>
      <w:color w:val="000000"/>
      <w:sz w:val="21"/>
      <w:szCs w:val="21"/>
      <w:u w:val="none"/>
    </w:rPr>
  </w:style>
  <w:style w:type="character" w:customStyle="1" w:styleId="89">
    <w:name w:val="font01"/>
    <w:basedOn w:val="51"/>
    <w:autoRedefine/>
    <w:qFormat/>
    <w:uiPriority w:val="0"/>
    <w:rPr>
      <w:rFonts w:hint="default" w:ascii="Times New Roman" w:hAnsi="Times New Roman" w:cs="Times New Roman"/>
      <w:color w:val="000000"/>
      <w:sz w:val="20"/>
      <w:szCs w:val="20"/>
      <w:u w:val="none"/>
    </w:rPr>
  </w:style>
  <w:style w:type="character" w:customStyle="1" w:styleId="90">
    <w:name w:val="_Style 89"/>
    <w:autoRedefine/>
    <w:qFormat/>
    <w:uiPriority w:val="0"/>
    <w:rPr>
      <w:i/>
      <w:iCs/>
      <w:color w:val="808080"/>
    </w:rPr>
  </w:style>
  <w:style w:type="character" w:customStyle="1" w:styleId="91">
    <w:name w:val="批注主题 Char2"/>
    <w:autoRedefine/>
    <w:qFormat/>
    <w:uiPriority w:val="99"/>
    <w:rPr>
      <w:b/>
      <w:bCs/>
      <w:kern w:val="2"/>
      <w:sz w:val="21"/>
      <w:szCs w:val="24"/>
    </w:rPr>
  </w:style>
  <w:style w:type="character" w:customStyle="1" w:styleId="92">
    <w:name w:val="副标题 Char1"/>
    <w:autoRedefine/>
    <w:qFormat/>
    <w:uiPriority w:val="0"/>
    <w:rPr>
      <w:rFonts w:ascii="方正综艺简体" w:hAnsi="方正综艺简体" w:cs="方正综艺简体"/>
      <w:b/>
      <w:bCs/>
      <w:kern w:val="28"/>
      <w:sz w:val="32"/>
      <w:szCs w:val="32"/>
    </w:rPr>
  </w:style>
  <w:style w:type="character" w:customStyle="1" w:styleId="93">
    <w:name w:val="样式2 Char"/>
    <w:link w:val="94"/>
    <w:autoRedefine/>
    <w:qFormat/>
    <w:uiPriority w:val="0"/>
    <w:rPr>
      <w:rFonts w:ascii="方正综艺简体" w:hAnsi="方正综艺简体" w:eastAsia="方正综艺简体" w:cs="方正综艺简体"/>
      <w:bCs/>
      <w:kern w:val="44"/>
      <w:sz w:val="44"/>
      <w:szCs w:val="44"/>
    </w:rPr>
  </w:style>
  <w:style w:type="paragraph" w:customStyle="1" w:styleId="94">
    <w:name w:val="样式2"/>
    <w:basedOn w:val="2"/>
    <w:link w:val="93"/>
    <w:autoRedefine/>
    <w:qFormat/>
    <w:uiPriority w:val="0"/>
    <w:pPr>
      <w:tabs>
        <w:tab w:val="left" w:pos="482"/>
        <w:tab w:val="left" w:pos="2183"/>
        <w:tab w:val="left" w:pos="3884"/>
        <w:tab w:val="left" w:pos="5585"/>
      </w:tabs>
      <w:adjustRightInd w:val="0"/>
      <w:spacing w:before="0" w:after="240" w:line="360" w:lineRule="auto"/>
      <w:textAlignment w:val="baseline"/>
    </w:pPr>
    <w:rPr>
      <w:rFonts w:ascii="方正综艺简体" w:hAnsi="方正综艺简体" w:eastAsia="方正综艺简体"/>
      <w:b w:val="0"/>
      <w:bCs/>
      <w:spacing w:val="0"/>
      <w:sz w:val="44"/>
      <w:szCs w:val="44"/>
    </w:rPr>
  </w:style>
  <w:style w:type="character" w:customStyle="1" w:styleId="95">
    <w:name w:val="标题 2 Char Char Char"/>
    <w:autoRedefine/>
    <w:qFormat/>
    <w:uiPriority w:val="0"/>
    <w:rPr>
      <w:rFonts w:ascii="方正综艺简体" w:hAnsi="方正综艺简体" w:eastAsia="方正综艺简体" w:cs="方正综艺简体"/>
      <w:sz w:val="32"/>
      <w:szCs w:val="32"/>
      <w:lang w:val="en-US" w:eastAsia="zh-CN" w:bidi="ar-SA"/>
    </w:rPr>
  </w:style>
  <w:style w:type="character" w:customStyle="1" w:styleId="96">
    <w:name w:val="批注文字 Char Char"/>
    <w:autoRedefine/>
    <w:qFormat/>
    <w:uiPriority w:val="0"/>
    <w:rPr>
      <w:rFonts w:ascii="方正综艺简体" w:hAnsi="方正综艺简体" w:eastAsia="方正综艺简体" w:cs="方正综艺简体"/>
      <w:sz w:val="28"/>
      <w:szCs w:val="20"/>
    </w:rPr>
  </w:style>
  <w:style w:type="character" w:customStyle="1" w:styleId="97">
    <w:name w:val="表格内文字 Char"/>
    <w:link w:val="98"/>
    <w:autoRedefine/>
    <w:qFormat/>
    <w:uiPriority w:val="0"/>
    <w:rPr>
      <w:rFonts w:ascii="宋体"/>
      <w:kern w:val="2"/>
      <w:sz w:val="21"/>
      <w:szCs w:val="32"/>
    </w:rPr>
  </w:style>
  <w:style w:type="paragraph" w:customStyle="1" w:styleId="98">
    <w:name w:val="表格内文字"/>
    <w:basedOn w:val="1"/>
    <w:link w:val="97"/>
    <w:autoRedefine/>
    <w:qFormat/>
    <w:uiPriority w:val="0"/>
    <w:pPr>
      <w:spacing w:line="0" w:lineRule="atLeast"/>
      <w:jc w:val="center"/>
    </w:pPr>
    <w:rPr>
      <w:rFonts w:ascii="宋体"/>
      <w:szCs w:val="32"/>
    </w:rPr>
  </w:style>
  <w:style w:type="character" w:customStyle="1" w:styleId="99">
    <w:name w:val="标题5 Char Char"/>
    <w:link w:val="100"/>
    <w:autoRedefine/>
    <w:qFormat/>
    <w:uiPriority w:val="0"/>
    <w:rPr>
      <w:rFonts w:eastAsia="宋体"/>
      <w:b/>
      <w:bCs/>
      <w:sz w:val="24"/>
      <w:szCs w:val="32"/>
      <w:lang w:bidi="ar-SA"/>
    </w:rPr>
  </w:style>
  <w:style w:type="paragraph" w:customStyle="1" w:styleId="100">
    <w:name w:val="标题5"/>
    <w:basedOn w:val="4"/>
    <w:link w:val="99"/>
    <w:autoRedefine/>
    <w:qFormat/>
    <w:uiPriority w:val="0"/>
    <w:pPr>
      <w:numPr>
        <w:ilvl w:val="2"/>
        <w:numId w:val="1"/>
      </w:numPr>
      <w:tabs>
        <w:tab w:val="left" w:pos="1903"/>
      </w:tabs>
      <w:ind w:left="1903"/>
    </w:pPr>
    <w:rPr>
      <w:rFonts w:ascii="Times New Roman" w:hAnsi="Times New Roman" w:eastAsia="宋体"/>
      <w:b w:val="0"/>
      <w:bCs w:val="0"/>
      <w:spacing w:val="0"/>
      <w:kern w:val="0"/>
      <w:sz w:val="24"/>
      <w:szCs w:val="32"/>
    </w:rPr>
  </w:style>
  <w:style w:type="character" w:customStyle="1" w:styleId="101">
    <w:name w:val=" Char Char9"/>
    <w:autoRedefine/>
    <w:qFormat/>
    <w:uiPriority w:val="0"/>
    <w:rPr>
      <w:kern w:val="2"/>
      <w:sz w:val="21"/>
      <w:szCs w:val="22"/>
    </w:rPr>
  </w:style>
  <w:style w:type="character" w:customStyle="1" w:styleId="102">
    <w:name w:val="页眉 Char Char"/>
    <w:autoRedefine/>
    <w:qFormat/>
    <w:uiPriority w:val="0"/>
    <w:rPr>
      <w:rFonts w:eastAsia="宋体"/>
      <w:kern w:val="2"/>
      <w:sz w:val="18"/>
      <w:lang w:val="en-US" w:eastAsia="zh-CN" w:bidi="ar-SA"/>
    </w:rPr>
  </w:style>
  <w:style w:type="character" w:customStyle="1" w:styleId="103">
    <w:name w:val="font51"/>
    <w:autoRedefine/>
    <w:qFormat/>
    <w:uiPriority w:val="0"/>
    <w:rPr>
      <w:rFonts w:hint="eastAsia" w:ascii="宋体" w:hAnsi="宋体" w:eastAsia="宋体" w:cs="宋体"/>
      <w:color w:val="000000"/>
      <w:sz w:val="21"/>
      <w:szCs w:val="21"/>
      <w:u w:val="none"/>
      <w:vertAlign w:val="superscript"/>
    </w:rPr>
  </w:style>
  <w:style w:type="character" w:customStyle="1" w:styleId="104">
    <w:name w:val="文档结构图 Char1"/>
    <w:autoRedefine/>
    <w:qFormat/>
    <w:uiPriority w:val="0"/>
    <w:rPr>
      <w:rFonts w:ascii="方正综艺简体"/>
      <w:kern w:val="2"/>
      <w:sz w:val="18"/>
      <w:szCs w:val="18"/>
    </w:rPr>
  </w:style>
  <w:style w:type="character" w:customStyle="1" w:styleId="105">
    <w:name w:val="正文文本 Char1"/>
    <w:autoRedefine/>
    <w:qFormat/>
    <w:uiPriority w:val="0"/>
    <w:rPr>
      <w:kern w:val="2"/>
      <w:sz w:val="21"/>
      <w:szCs w:val="22"/>
    </w:rPr>
  </w:style>
  <w:style w:type="character" w:customStyle="1" w:styleId="106">
    <w:name w:val="批注框文本 Char2"/>
    <w:autoRedefine/>
    <w:semiHidden/>
    <w:qFormat/>
    <w:uiPriority w:val="99"/>
    <w:rPr>
      <w:kern w:val="2"/>
      <w:sz w:val="18"/>
      <w:szCs w:val="18"/>
    </w:rPr>
  </w:style>
  <w:style w:type="character" w:customStyle="1" w:styleId="107">
    <w:name w:val="明显引用 Char"/>
    <w:link w:val="108"/>
    <w:autoRedefine/>
    <w:qFormat/>
    <w:uiPriority w:val="0"/>
    <w:rPr>
      <w:b/>
      <w:bCs/>
      <w:i/>
      <w:iCs/>
      <w:color w:val="4F81BD"/>
      <w:kern w:val="2"/>
      <w:sz w:val="21"/>
      <w:szCs w:val="22"/>
    </w:rPr>
  </w:style>
  <w:style w:type="paragraph" w:styleId="108">
    <w:name w:val="Intense Quote"/>
    <w:basedOn w:val="1"/>
    <w:next w:val="1"/>
    <w:link w:val="107"/>
    <w:autoRedefine/>
    <w:qFormat/>
    <w:uiPriority w:val="0"/>
    <w:pPr>
      <w:pBdr>
        <w:bottom w:val="single" w:color="4F81BD" w:sz="4" w:space="4"/>
      </w:pBdr>
      <w:spacing w:before="200" w:after="280"/>
      <w:ind w:left="936" w:right="936"/>
    </w:pPr>
    <w:rPr>
      <w:b/>
      <w:bCs/>
      <w:i/>
      <w:iCs/>
      <w:color w:val="4F81BD"/>
      <w:szCs w:val="22"/>
    </w:rPr>
  </w:style>
  <w:style w:type="character" w:customStyle="1" w:styleId="109">
    <w:name w:val="_Style 108"/>
    <w:autoRedefine/>
    <w:qFormat/>
    <w:uiPriority w:val="0"/>
    <w:rPr>
      <w:b/>
      <w:bCs/>
      <w:i/>
      <w:iCs/>
      <w:color w:val="4F81BD"/>
    </w:rPr>
  </w:style>
  <w:style w:type="character" w:customStyle="1" w:styleId="110">
    <w:name w:val="引用 Char2"/>
    <w:autoRedefine/>
    <w:qFormat/>
    <w:uiPriority w:val="29"/>
    <w:rPr>
      <w:i/>
      <w:iCs/>
      <w:color w:val="404040"/>
      <w:kern w:val="2"/>
      <w:sz w:val="21"/>
      <w:szCs w:val="24"/>
    </w:rPr>
  </w:style>
  <w:style w:type="character" w:customStyle="1" w:styleId="111">
    <w:name w:val="明显引用 Char2"/>
    <w:autoRedefine/>
    <w:qFormat/>
    <w:uiPriority w:val="30"/>
    <w:rPr>
      <w:b/>
      <w:bCs/>
      <w:i/>
      <w:iCs/>
      <w:color w:val="4F81BD"/>
      <w:kern w:val="2"/>
      <w:sz w:val="21"/>
      <w:szCs w:val="24"/>
    </w:rPr>
  </w:style>
  <w:style w:type="character" w:customStyle="1" w:styleId="112">
    <w:name w:val="unnamed51"/>
    <w:autoRedefine/>
    <w:qFormat/>
    <w:uiPriority w:val="0"/>
    <w:rPr>
      <w:sz w:val="22"/>
      <w:szCs w:val="22"/>
    </w:rPr>
  </w:style>
  <w:style w:type="character" w:customStyle="1" w:styleId="113">
    <w:name w:val="_Style 112"/>
    <w:autoRedefine/>
    <w:qFormat/>
    <w:uiPriority w:val="0"/>
    <w:rPr>
      <w:smallCaps/>
      <w:color w:val="C0504D"/>
      <w:u w:val="single"/>
    </w:rPr>
  </w:style>
  <w:style w:type="character" w:customStyle="1" w:styleId="114">
    <w:name w:val="页脚 Char Char"/>
    <w:autoRedefine/>
    <w:qFormat/>
    <w:uiPriority w:val="0"/>
    <w:rPr>
      <w:rFonts w:eastAsia="宋体"/>
      <w:kern w:val="2"/>
      <w:sz w:val="18"/>
      <w:lang w:val="en-US" w:eastAsia="zh-CN" w:bidi="ar-SA"/>
    </w:rPr>
  </w:style>
  <w:style w:type="character" w:customStyle="1" w:styleId="115">
    <w:name w:val="textcontents"/>
    <w:autoRedefine/>
    <w:qFormat/>
    <w:uiPriority w:val="0"/>
    <w:rPr>
      <w:rFonts w:cs="方正综艺简体"/>
    </w:rPr>
  </w:style>
  <w:style w:type="character" w:customStyle="1" w:styleId="116">
    <w:name w:val="_Style 115"/>
    <w:autoRedefine/>
    <w:qFormat/>
    <w:uiPriority w:val="0"/>
    <w:rPr>
      <w:b/>
      <w:bCs/>
      <w:smallCaps/>
      <w:spacing w:val="5"/>
    </w:rPr>
  </w:style>
  <w:style w:type="character" w:customStyle="1" w:styleId="117">
    <w:name w:val="批注主题 Char1"/>
    <w:autoRedefine/>
    <w:qFormat/>
    <w:uiPriority w:val="0"/>
    <w:rPr>
      <w:b/>
      <w:bCs/>
      <w:kern w:val="2"/>
      <w:sz w:val="21"/>
      <w:szCs w:val="22"/>
    </w:rPr>
  </w:style>
  <w:style w:type="character" w:customStyle="1" w:styleId="118">
    <w:name w:val="_Style 117"/>
    <w:autoRedefine/>
    <w:qFormat/>
    <w:uiPriority w:val="0"/>
    <w:rPr>
      <w:b/>
      <w:bCs/>
      <w:smallCaps/>
      <w:color w:val="C0504D"/>
      <w:spacing w:val="5"/>
      <w:u w:val="single"/>
    </w:rPr>
  </w:style>
  <w:style w:type="character" w:customStyle="1" w:styleId="119">
    <w:name w:val="标题4 Char Char"/>
    <w:link w:val="120"/>
    <w:autoRedefine/>
    <w:qFormat/>
    <w:uiPriority w:val="0"/>
    <w:rPr>
      <w:rFonts w:eastAsia="宋体"/>
      <w:b/>
      <w:bCs/>
      <w:sz w:val="24"/>
      <w:szCs w:val="32"/>
      <w:lang w:bidi="ar-SA"/>
    </w:rPr>
  </w:style>
  <w:style w:type="paragraph" w:customStyle="1" w:styleId="120">
    <w:name w:val="标题4"/>
    <w:basedOn w:val="3"/>
    <w:next w:val="23"/>
    <w:link w:val="119"/>
    <w:autoRedefine/>
    <w:qFormat/>
    <w:uiPriority w:val="0"/>
    <w:pPr>
      <w:numPr>
        <w:ilvl w:val="1"/>
        <w:numId w:val="1"/>
      </w:numPr>
      <w:tabs>
        <w:tab w:val="left" w:pos="1483"/>
      </w:tabs>
    </w:pPr>
    <w:rPr>
      <w:rFonts w:ascii="Times New Roman" w:hAnsi="Times New Roman" w:eastAsia="宋体"/>
      <w:kern w:val="0"/>
      <w:sz w:val="24"/>
    </w:rPr>
  </w:style>
  <w:style w:type="character" w:customStyle="1" w:styleId="121">
    <w:name w:val="普通(网站) Char Char"/>
    <w:autoRedefine/>
    <w:qFormat/>
    <w:uiPriority w:val="0"/>
    <w:rPr>
      <w:rFonts w:ascii="宋体" w:hAnsi="宋体" w:eastAsia="宋体"/>
      <w:sz w:val="24"/>
      <w:lang w:val="en-US" w:eastAsia="zh-CN" w:bidi="ar-SA"/>
    </w:rPr>
  </w:style>
  <w:style w:type="character" w:customStyle="1" w:styleId="122">
    <w:name w:val="引用 Char"/>
    <w:link w:val="123"/>
    <w:autoRedefine/>
    <w:qFormat/>
    <w:uiPriority w:val="0"/>
    <w:rPr>
      <w:i/>
      <w:iCs/>
      <w:color w:val="000000"/>
      <w:kern w:val="2"/>
      <w:sz w:val="21"/>
      <w:szCs w:val="24"/>
    </w:rPr>
  </w:style>
  <w:style w:type="paragraph" w:styleId="123">
    <w:name w:val="Quote"/>
    <w:basedOn w:val="1"/>
    <w:next w:val="1"/>
    <w:link w:val="122"/>
    <w:autoRedefine/>
    <w:qFormat/>
    <w:uiPriority w:val="0"/>
    <w:rPr>
      <w:i/>
      <w:iCs/>
      <w:color w:val="000000"/>
    </w:rPr>
  </w:style>
  <w:style w:type="character" w:customStyle="1" w:styleId="124">
    <w:name w:val="Para head"/>
    <w:autoRedefine/>
    <w:qFormat/>
    <w:uiPriority w:val="0"/>
    <w:rPr>
      <w:rFonts w:ascii="Arial" w:hAnsi="Arial" w:eastAsia="Times New Roman"/>
      <w:sz w:val="20"/>
    </w:rPr>
  </w:style>
  <w:style w:type="character" w:customStyle="1" w:styleId="125">
    <w:name w:val="样式 行距: 1.5 倍行距 Char Char"/>
    <w:link w:val="126"/>
    <w:autoRedefine/>
    <w:qFormat/>
    <w:uiPriority w:val="0"/>
    <w:rPr>
      <w:kern w:val="2"/>
      <w:sz w:val="24"/>
    </w:rPr>
  </w:style>
  <w:style w:type="paragraph" w:customStyle="1" w:styleId="126">
    <w:name w:val="样式 行距: 1.5 倍行距"/>
    <w:basedOn w:val="1"/>
    <w:link w:val="125"/>
    <w:autoRedefine/>
    <w:qFormat/>
    <w:uiPriority w:val="0"/>
    <w:pPr>
      <w:spacing w:line="360" w:lineRule="auto"/>
      <w:ind w:firstLine="480" w:firstLineChars="200"/>
    </w:pPr>
    <w:rPr>
      <w:sz w:val="24"/>
      <w:szCs w:val="20"/>
    </w:rPr>
  </w:style>
  <w:style w:type="character" w:customStyle="1" w:styleId="127">
    <w:name w:val="引用 Char1"/>
    <w:autoRedefine/>
    <w:qFormat/>
    <w:uiPriority w:val="29"/>
    <w:rPr>
      <w:i/>
      <w:iCs/>
      <w:color w:val="000000"/>
      <w:kern w:val="2"/>
      <w:sz w:val="21"/>
      <w:szCs w:val="24"/>
    </w:rPr>
  </w:style>
  <w:style w:type="character" w:customStyle="1" w:styleId="128">
    <w:name w:val="标题 Char1"/>
    <w:autoRedefine/>
    <w:qFormat/>
    <w:uiPriority w:val="10"/>
    <w:rPr>
      <w:rFonts w:ascii="Calibri Light" w:hAnsi="Calibri Light" w:cs="Times New Roman"/>
      <w:b/>
      <w:bCs/>
      <w:kern w:val="2"/>
      <w:sz w:val="32"/>
      <w:szCs w:val="32"/>
    </w:rPr>
  </w:style>
  <w:style w:type="character" w:customStyle="1" w:styleId="129">
    <w:name w:val="alert2"/>
    <w:basedOn w:val="51"/>
    <w:autoRedefine/>
    <w:qFormat/>
    <w:uiPriority w:val="0"/>
  </w:style>
  <w:style w:type="character" w:customStyle="1" w:styleId="130">
    <w:name w:val="样式 表格内文字 + (符号) 宋体 Char"/>
    <w:basedOn w:val="97"/>
    <w:link w:val="131"/>
    <w:autoRedefine/>
    <w:qFormat/>
    <w:uiPriority w:val="0"/>
  </w:style>
  <w:style w:type="paragraph" w:customStyle="1" w:styleId="131">
    <w:name w:val="样式 表格内文字 + (符号) 宋体"/>
    <w:basedOn w:val="98"/>
    <w:link w:val="130"/>
    <w:autoRedefine/>
    <w:qFormat/>
    <w:uiPriority w:val="0"/>
  </w:style>
  <w:style w:type="character" w:customStyle="1" w:styleId="132">
    <w:name w:val="a011"/>
    <w:autoRedefine/>
    <w:qFormat/>
    <w:uiPriority w:val="0"/>
    <w:rPr>
      <w:sz w:val="21"/>
      <w:szCs w:val="21"/>
      <w:u w:val="none"/>
    </w:rPr>
  </w:style>
  <w:style w:type="character" w:customStyle="1" w:styleId="133">
    <w:name w:val="Blockquote Char Char"/>
    <w:autoRedefine/>
    <w:qFormat/>
    <w:uiPriority w:val="0"/>
    <w:rPr>
      <w:rFonts w:eastAsia="宋体"/>
      <w:sz w:val="24"/>
      <w:lang w:val="en-US" w:eastAsia="zh-CN" w:bidi="ar-SA"/>
    </w:rPr>
  </w:style>
  <w:style w:type="character" w:customStyle="1" w:styleId="134">
    <w:name w:val="small"/>
    <w:basedOn w:val="51"/>
    <w:autoRedefine/>
    <w:qFormat/>
    <w:uiPriority w:val="0"/>
  </w:style>
  <w:style w:type="character" w:customStyle="1" w:styleId="135">
    <w:name w:val="表正文 Char2"/>
    <w:autoRedefine/>
    <w:qFormat/>
    <w:uiPriority w:val="0"/>
    <w:rPr>
      <w:rFonts w:eastAsia="宋体"/>
      <w:spacing w:val="14"/>
      <w:kern w:val="24"/>
      <w:sz w:val="24"/>
      <w:lang w:val="en-US" w:eastAsia="zh-CN" w:bidi="ar-SA"/>
    </w:rPr>
  </w:style>
  <w:style w:type="character" w:customStyle="1" w:styleId="136">
    <w:name w:val="日期 Char1"/>
    <w:autoRedefine/>
    <w:qFormat/>
    <w:uiPriority w:val="0"/>
    <w:rPr>
      <w:kern w:val="2"/>
      <w:sz w:val="21"/>
      <w:szCs w:val="22"/>
    </w:rPr>
  </w:style>
  <w:style w:type="character" w:customStyle="1" w:styleId="137">
    <w:name w:val="font21"/>
    <w:basedOn w:val="51"/>
    <w:autoRedefine/>
    <w:qFormat/>
    <w:uiPriority w:val="0"/>
    <w:rPr>
      <w:rFonts w:hint="eastAsia" w:ascii="宋体" w:hAnsi="宋体" w:eastAsia="宋体" w:cs="宋体"/>
      <w:color w:val="000000"/>
      <w:sz w:val="20"/>
      <w:szCs w:val="20"/>
      <w:u w:val="none"/>
    </w:rPr>
  </w:style>
  <w:style w:type="character" w:customStyle="1" w:styleId="138">
    <w:name w:val="批注框文本 Char1"/>
    <w:autoRedefine/>
    <w:qFormat/>
    <w:uiPriority w:val="0"/>
    <w:rPr>
      <w:kern w:val="2"/>
      <w:sz w:val="18"/>
      <w:szCs w:val="18"/>
    </w:rPr>
  </w:style>
  <w:style w:type="character" w:customStyle="1" w:styleId="139">
    <w:name w:val="正文 + (中文) 仿宋_GB2312 Char Char"/>
    <w:link w:val="140"/>
    <w:autoRedefine/>
    <w:qFormat/>
    <w:uiPriority w:val="0"/>
    <w:rPr>
      <w:sz w:val="24"/>
      <w:szCs w:val="24"/>
    </w:rPr>
  </w:style>
  <w:style w:type="paragraph" w:customStyle="1" w:styleId="140">
    <w:name w:val="正文 + (中文) 仿宋_GB2312"/>
    <w:basedOn w:val="1"/>
    <w:link w:val="139"/>
    <w:autoRedefine/>
    <w:qFormat/>
    <w:uiPriority w:val="0"/>
    <w:pPr>
      <w:adjustRightInd w:val="0"/>
      <w:snapToGrid w:val="0"/>
      <w:spacing w:line="360" w:lineRule="exact"/>
      <w:ind w:firstLine="408" w:firstLineChars="170"/>
      <w:textAlignment w:val="baseline"/>
    </w:pPr>
    <w:rPr>
      <w:kern w:val="0"/>
      <w:sz w:val="24"/>
    </w:rPr>
  </w:style>
  <w:style w:type="character" w:customStyle="1" w:styleId="141">
    <w:name w:val="正文文本 Char2"/>
    <w:autoRedefine/>
    <w:qFormat/>
    <w:uiPriority w:val="0"/>
    <w:rPr>
      <w:kern w:val="2"/>
      <w:sz w:val="30"/>
    </w:rPr>
  </w:style>
  <w:style w:type="character" w:customStyle="1" w:styleId="142">
    <w:name w:val="副标题 Char2"/>
    <w:autoRedefine/>
    <w:qFormat/>
    <w:uiPriority w:val="11"/>
    <w:rPr>
      <w:rFonts w:ascii="Calibri Light" w:hAnsi="Calibri Light" w:cs="Times New Roman"/>
      <w:b/>
      <w:bCs/>
      <w:kern w:val="28"/>
      <w:sz w:val="32"/>
      <w:szCs w:val="32"/>
    </w:rPr>
  </w:style>
  <w:style w:type="character" w:customStyle="1" w:styleId="143">
    <w:name w:val="批注文字 Char1"/>
    <w:autoRedefine/>
    <w:qFormat/>
    <w:uiPriority w:val="0"/>
    <w:rPr>
      <w:kern w:val="2"/>
      <w:sz w:val="21"/>
    </w:rPr>
  </w:style>
  <w:style w:type="character" w:customStyle="1" w:styleId="144">
    <w:name w:val="apple-converted-space"/>
    <w:autoRedefine/>
    <w:qFormat/>
    <w:uiPriority w:val="0"/>
  </w:style>
  <w:style w:type="paragraph" w:customStyle="1" w:styleId="145">
    <w:name w:val="font5"/>
    <w:basedOn w:val="1"/>
    <w:autoRedefine/>
    <w:qFormat/>
    <w:uiPriority w:val="0"/>
    <w:pPr>
      <w:widowControl/>
      <w:spacing w:before="100" w:beforeLines="0" w:beforeAutospacing="1" w:after="100" w:afterLines="0" w:afterAutospacing="1"/>
      <w:jc w:val="left"/>
    </w:pPr>
    <w:rPr>
      <w:rFonts w:hint="eastAsia" w:ascii="宋体" w:hAnsi="宋体" w:cs="Courier New"/>
      <w:kern w:val="0"/>
      <w:sz w:val="18"/>
      <w:szCs w:val="18"/>
      <w:lang w:eastAsia="en-US"/>
    </w:rPr>
  </w:style>
  <w:style w:type="paragraph" w:customStyle="1" w:styleId="146">
    <w:name w:val="目录"/>
    <w:basedOn w:val="1"/>
    <w:autoRedefine/>
    <w:qFormat/>
    <w:uiPriority w:val="0"/>
    <w:pPr>
      <w:widowControl/>
      <w:jc w:val="center"/>
    </w:pPr>
    <w:rPr>
      <w:rFonts w:hint="eastAsia" w:ascii="宋体"/>
      <w:b/>
      <w:kern w:val="0"/>
      <w:sz w:val="36"/>
      <w:szCs w:val="20"/>
    </w:rPr>
  </w:style>
  <w:style w:type="paragraph" w:customStyle="1" w:styleId="147">
    <w:name w:val="此正文"/>
    <w:basedOn w:val="1"/>
    <w:autoRedefine/>
    <w:qFormat/>
    <w:uiPriority w:val="0"/>
    <w:pPr>
      <w:spacing w:line="360" w:lineRule="auto"/>
      <w:ind w:firstLine="480" w:firstLineChars="200"/>
    </w:pPr>
    <w:rPr>
      <w:sz w:val="24"/>
    </w:rPr>
  </w:style>
  <w:style w:type="paragraph" w:customStyle="1" w:styleId="148">
    <w:name w:val="标书标题4"/>
    <w:basedOn w:val="5"/>
    <w:autoRedefine/>
    <w:qFormat/>
    <w:uiPriority w:val="0"/>
    <w:pPr>
      <w:keepLines w:val="0"/>
      <w:adjustRightInd w:val="0"/>
      <w:snapToGrid w:val="0"/>
      <w:spacing w:before="0" w:beforeLines="0" w:after="0" w:afterLines="0" w:line="300" w:lineRule="auto"/>
    </w:pPr>
    <w:rPr>
      <w:rFonts w:ascii="Arial Narrow" w:hAnsi="Arial Narrow" w:eastAsia="仿宋_GB2312"/>
      <w:bCs w:val="0"/>
      <w:color w:val="000000"/>
      <w:kern w:val="0"/>
      <w:sz w:val="28"/>
      <w:szCs w:val="32"/>
    </w:rPr>
  </w:style>
  <w:style w:type="paragraph" w:customStyle="1" w:styleId="149">
    <w:name w:val="标书标题3"/>
    <w:basedOn w:val="4"/>
    <w:autoRedefine/>
    <w:qFormat/>
    <w:uiPriority w:val="0"/>
    <w:pPr>
      <w:keepLines w:val="0"/>
      <w:widowControl/>
      <w:adjustRightInd w:val="0"/>
      <w:snapToGrid w:val="0"/>
      <w:spacing w:before="120" w:beforeLines="0" w:after="60" w:afterLines="0" w:line="300" w:lineRule="auto"/>
      <w:jc w:val="left"/>
    </w:pPr>
    <w:rPr>
      <w:rFonts w:ascii="Arial Narrow" w:hAnsi="Arial Narrow" w:eastAsia="仿宋_GB2312"/>
      <w:color w:val="000000"/>
      <w:spacing w:val="0"/>
      <w:kern w:val="0"/>
      <w:szCs w:val="32"/>
    </w:rPr>
  </w:style>
  <w:style w:type="paragraph" w:customStyle="1" w:styleId="150">
    <w:name w:val="样式 标题 3 + (中文) 黑体 小四 非加粗 段前: 7.8 磅 段后: 0 磅 行距: 固定值 20 磅"/>
    <w:basedOn w:val="4"/>
    <w:autoRedefine/>
    <w:qFormat/>
    <w:uiPriority w:val="0"/>
    <w:pPr>
      <w:numPr>
        <w:ilvl w:val="2"/>
        <w:numId w:val="1"/>
      </w:numPr>
      <w:tabs>
        <w:tab w:val="left" w:pos="1903"/>
      </w:tabs>
      <w:spacing w:before="0" w:after="0" w:line="400" w:lineRule="exact"/>
      <w:ind w:left="1903"/>
    </w:pPr>
    <w:rPr>
      <w:rFonts w:ascii="方正综艺简体" w:hAnsi="方正综艺简体" w:eastAsia="方正综艺简体" w:cs="方正综艺简体"/>
      <w:spacing w:val="0"/>
      <w:kern w:val="2"/>
      <w:sz w:val="24"/>
    </w:rPr>
  </w:style>
  <w:style w:type="paragraph" w:customStyle="1" w:styleId="151">
    <w:name w:val="xl35"/>
    <w:basedOn w:val="1"/>
    <w:autoRedefine/>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textAlignment w:val="center"/>
    </w:pPr>
    <w:rPr>
      <w:rFonts w:ascii="Arial Unicode MS" w:hAnsi="Arial Unicode MS" w:eastAsia="Arial Unicode MS"/>
      <w:kern w:val="0"/>
      <w:sz w:val="24"/>
    </w:rPr>
  </w:style>
  <w:style w:type="paragraph" w:customStyle="1" w:styleId="152">
    <w:name w:val="样式1"/>
    <w:basedOn w:val="1"/>
    <w:autoRedefine/>
    <w:qFormat/>
    <w:uiPriority w:val="0"/>
    <w:pPr>
      <w:spacing w:before="120" w:beforeLines="0" w:after="120" w:afterLines="0" w:line="300" w:lineRule="auto"/>
    </w:pPr>
    <w:rPr>
      <w:rFonts w:ascii="宋体" w:hAnsi="宋体"/>
      <w:b/>
      <w:sz w:val="24"/>
      <w:szCs w:val="20"/>
    </w:rPr>
  </w:style>
  <w:style w:type="paragraph" w:customStyle="1" w:styleId="153">
    <w:name w:val="节"/>
    <w:basedOn w:val="3"/>
    <w:autoRedefine/>
    <w:qFormat/>
    <w:uiPriority w:val="0"/>
    <w:pPr>
      <w:spacing w:before="160" w:beforeLines="0" w:after="160" w:afterLines="0" w:line="720" w:lineRule="exact"/>
      <w:jc w:val="center"/>
    </w:pPr>
    <w:rPr>
      <w:b w:val="0"/>
      <w:bCs w:val="0"/>
      <w:spacing w:val="14"/>
      <w:kern w:val="24"/>
      <w:szCs w:val="20"/>
    </w:rPr>
  </w:style>
  <w:style w:type="paragraph" w:customStyle="1" w:styleId="154">
    <w:name w:val="zbzw"/>
    <w:basedOn w:val="1"/>
    <w:autoRedefine/>
    <w:qFormat/>
    <w:uiPriority w:val="0"/>
    <w:pPr>
      <w:tabs>
        <w:tab w:val="left" w:pos="720"/>
      </w:tabs>
      <w:spacing w:line="430" w:lineRule="exact"/>
      <w:ind w:right="-76"/>
    </w:pPr>
    <w:rPr>
      <w:szCs w:val="21"/>
    </w:rPr>
  </w:style>
  <w:style w:type="paragraph" w:customStyle="1" w:styleId="155">
    <w:name w:val="Char Char Char2 Char"/>
    <w:basedOn w:val="1"/>
    <w:autoRedefine/>
    <w:qFormat/>
    <w:uiPriority w:val="0"/>
    <w:pPr>
      <w:tabs>
        <w:tab w:val="left" w:pos="360"/>
      </w:tabs>
      <w:ind w:left="360" w:hanging="360"/>
    </w:pPr>
    <w:rPr>
      <w:rFonts w:ascii="方正综艺简体" w:hAnsi="方正综艺简体" w:eastAsia="方正综艺简体" w:cs="方正综艺简体"/>
    </w:rPr>
  </w:style>
  <w:style w:type="paragraph" w:customStyle="1" w:styleId="156">
    <w:name w:val="样式4"/>
    <w:basedOn w:val="1"/>
    <w:autoRedefine/>
    <w:qFormat/>
    <w:uiPriority w:val="0"/>
    <w:pPr>
      <w:widowControl/>
      <w:numPr>
        <w:ilvl w:val="3"/>
        <w:numId w:val="0"/>
      </w:numPr>
      <w:tabs>
        <w:tab w:val="left" w:pos="567"/>
      </w:tabs>
      <w:spacing w:before="120" w:after="120" w:line="360" w:lineRule="auto"/>
      <w:ind w:left="851" w:hanging="851"/>
      <w:jc w:val="left"/>
      <w:outlineLvl w:val="3"/>
    </w:pPr>
    <w:rPr>
      <w:rFonts w:eastAsia="黑体"/>
      <w:b/>
      <w:sz w:val="24"/>
    </w:rPr>
  </w:style>
  <w:style w:type="paragraph" w:customStyle="1" w:styleId="157">
    <w:name w:val="TOC 标题1"/>
    <w:basedOn w:val="2"/>
    <w:next w:val="1"/>
    <w:autoRedefine/>
    <w:qFormat/>
    <w:uiPriority w:val="39"/>
    <w:pPr>
      <w:widowControl/>
      <w:spacing w:before="480" w:after="0" w:line="276" w:lineRule="auto"/>
      <w:jc w:val="left"/>
      <w:outlineLvl w:val="9"/>
    </w:pPr>
    <w:rPr>
      <w:rFonts w:ascii="Cambria" w:hAnsi="Cambria"/>
      <w:bCs/>
      <w:color w:val="365F91"/>
      <w:spacing w:val="0"/>
      <w:kern w:val="0"/>
      <w:sz w:val="28"/>
      <w:szCs w:val="28"/>
    </w:rPr>
  </w:style>
  <w:style w:type="paragraph" w:customStyle="1" w:styleId="15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eastAsia="Arial Unicode MS"/>
      <w:kern w:val="0"/>
      <w:szCs w:val="21"/>
      <w:lang w:eastAsia="en-US"/>
    </w:rPr>
  </w:style>
  <w:style w:type="paragraph" w:customStyle="1" w:styleId="159">
    <w:name w:val="xl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Arial Unicode MS" w:hAnsi="Arial Unicode MS"/>
      <w:kern w:val="0"/>
      <w:sz w:val="22"/>
      <w:szCs w:val="22"/>
    </w:rPr>
  </w:style>
  <w:style w:type="paragraph" w:customStyle="1" w:styleId="160">
    <w:name w:val="空半行"/>
    <w:basedOn w:val="1"/>
    <w:autoRedefine/>
    <w:qFormat/>
    <w:uiPriority w:val="0"/>
    <w:pPr>
      <w:adjustRightInd w:val="0"/>
      <w:spacing w:line="120" w:lineRule="exact"/>
      <w:textAlignment w:val="baseline"/>
    </w:pPr>
    <w:rPr>
      <w:rFonts w:ascii="方正综艺简体" w:hAnsi="方正综艺简体" w:eastAsia="方正综艺简体" w:cs="方正综艺简体"/>
      <w:color w:val="FFFFFF"/>
      <w:kern w:val="0"/>
      <w:sz w:val="30"/>
      <w:szCs w:val="20"/>
    </w:rPr>
  </w:style>
  <w:style w:type="paragraph" w:customStyle="1" w:styleId="161">
    <w:name w:val="菲页2"/>
    <w:basedOn w:val="4"/>
    <w:autoRedefine/>
    <w:qFormat/>
    <w:uiPriority w:val="0"/>
    <w:pPr>
      <w:widowControl/>
      <w:tabs>
        <w:tab w:val="left" w:pos="1595"/>
      </w:tabs>
      <w:spacing w:before="120" w:beforeLines="0" w:after="120" w:afterLines="0" w:line="360" w:lineRule="auto"/>
      <w:ind w:left="1595" w:hanging="425"/>
      <w:jc w:val="center"/>
    </w:pPr>
    <w:rPr>
      <w:rFonts w:ascii="黑体" w:hAnsi="宋体"/>
      <w:spacing w:val="0"/>
      <w:kern w:val="0"/>
      <w:sz w:val="44"/>
    </w:rPr>
  </w:style>
  <w:style w:type="paragraph" w:customStyle="1" w:styleId="162">
    <w:name w:val="xl32"/>
    <w:basedOn w:val="1"/>
    <w:autoRedefine/>
    <w:qFormat/>
    <w:uiPriority w:val="0"/>
    <w:pPr>
      <w:widowControl/>
      <w:spacing w:before="100" w:beforeLines="0" w:beforeAutospacing="1" w:after="100" w:afterLines="0" w:afterAutospacing="1"/>
      <w:jc w:val="left"/>
      <w:textAlignment w:val="center"/>
    </w:pPr>
    <w:rPr>
      <w:rFonts w:ascii="宋体" w:hAnsi="宋体"/>
      <w:kern w:val="0"/>
      <w:szCs w:val="21"/>
    </w:rPr>
  </w:style>
  <w:style w:type="paragraph" w:customStyle="1" w:styleId="163">
    <w:name w:val="标书标题2"/>
    <w:basedOn w:val="3"/>
    <w:autoRedefine/>
    <w:qFormat/>
    <w:uiPriority w:val="0"/>
    <w:pPr>
      <w:keepLines w:val="0"/>
      <w:widowControl/>
      <w:tabs>
        <w:tab w:val="left" w:pos="567"/>
      </w:tabs>
      <w:adjustRightInd w:val="0"/>
      <w:snapToGrid w:val="0"/>
      <w:spacing w:before="156" w:beforeLines="50" w:after="60" w:afterLines="0" w:line="300" w:lineRule="auto"/>
      <w:ind w:left="567" w:hanging="567"/>
      <w:jc w:val="left"/>
    </w:pPr>
    <w:rPr>
      <w:rFonts w:ascii="Arial Narrow" w:hAnsi="Arial Narrow" w:eastAsia="仿宋_GB2312"/>
      <w:bCs w:val="0"/>
      <w:kern w:val="0"/>
      <w:sz w:val="28"/>
      <w:szCs w:val="20"/>
    </w:rPr>
  </w:style>
  <w:style w:type="paragraph" w:customStyle="1" w:styleId="164">
    <w:name w:val="Char Char Char Char1"/>
    <w:basedOn w:val="1"/>
    <w:autoRedefine/>
    <w:qFormat/>
    <w:uiPriority w:val="0"/>
    <w:rPr>
      <w:rFonts w:ascii="方正综艺简体" w:hAnsi="方正综艺简体" w:eastAsia="方正综艺简体" w:cs="方正综艺简体"/>
    </w:rPr>
  </w:style>
  <w:style w:type="paragraph" w:customStyle="1" w:styleId="165">
    <w:name w:val="样式 标题 3 + 非加粗 自动设置"/>
    <w:basedOn w:val="4"/>
    <w:autoRedefine/>
    <w:qFormat/>
    <w:uiPriority w:val="0"/>
    <w:pPr>
      <w:spacing w:before="120" w:beforeLines="0" w:after="120" w:afterLines="0" w:line="700" w:lineRule="exact"/>
      <w:jc w:val="left"/>
    </w:pPr>
    <w:rPr>
      <w:rFonts w:ascii="宋体" w:hAnsi="宋体" w:eastAsia="宋体"/>
      <w:spacing w:val="10"/>
      <w:szCs w:val="32"/>
    </w:rPr>
  </w:style>
  <w:style w:type="paragraph" w:customStyle="1" w:styleId="166">
    <w:name w:val="Blockquote"/>
    <w:basedOn w:val="1"/>
    <w:autoRedefine/>
    <w:qFormat/>
    <w:uiPriority w:val="0"/>
    <w:pPr>
      <w:autoSpaceDE w:val="0"/>
      <w:autoSpaceDN w:val="0"/>
      <w:adjustRightInd w:val="0"/>
      <w:spacing w:before="100" w:beforeLines="0" w:after="100" w:afterLines="0"/>
      <w:ind w:left="360" w:right="360"/>
      <w:jc w:val="left"/>
    </w:pPr>
    <w:rPr>
      <w:kern w:val="0"/>
      <w:sz w:val="24"/>
      <w:szCs w:val="20"/>
    </w:rPr>
  </w:style>
  <w:style w:type="paragraph" w:customStyle="1" w:styleId="167">
    <w:name w:val=" Char2"/>
    <w:basedOn w:val="1"/>
    <w:autoRedefine/>
    <w:qFormat/>
    <w:uiPriority w:val="0"/>
    <w:rPr>
      <w:rFonts w:ascii="仿宋_GB2312" w:eastAsia="仿宋_GB2312"/>
      <w:b/>
      <w:sz w:val="32"/>
      <w:szCs w:val="32"/>
    </w:rPr>
  </w:style>
  <w:style w:type="paragraph" w:customStyle="1" w:styleId="168">
    <w:name w:val="列出段落1"/>
    <w:basedOn w:val="1"/>
    <w:autoRedefine/>
    <w:qFormat/>
    <w:uiPriority w:val="34"/>
    <w:pPr>
      <w:ind w:firstLine="420" w:firstLineChars="200"/>
    </w:pPr>
  </w:style>
  <w:style w:type="paragraph" w:customStyle="1" w:styleId="169">
    <w:name w:val="简单回函地址"/>
    <w:basedOn w:val="1"/>
    <w:autoRedefine/>
    <w:qFormat/>
    <w:uiPriority w:val="0"/>
    <w:pPr>
      <w:spacing w:line="460" w:lineRule="exact"/>
      <w:ind w:firstLine="200" w:firstLineChars="200"/>
    </w:pPr>
    <w:rPr>
      <w:spacing w:val="12"/>
      <w:sz w:val="24"/>
      <w:szCs w:val="20"/>
    </w:rPr>
  </w:style>
  <w:style w:type="paragraph" w:customStyle="1" w:styleId="170">
    <w:name w:val="小节"/>
    <w:basedOn w:val="4"/>
    <w:autoRedefine/>
    <w:qFormat/>
    <w:uiPriority w:val="0"/>
    <w:pPr>
      <w:spacing w:before="200" w:beforeLines="0" w:after="200" w:afterLines="0" w:line="560" w:lineRule="exact"/>
      <w:jc w:val="left"/>
    </w:pPr>
    <w:rPr>
      <w:rFonts w:ascii="宋体" w:hAnsi="宋体" w:eastAsia="宋体"/>
      <w:b w:val="0"/>
      <w:color w:val="000000"/>
      <w:spacing w:val="10"/>
      <w:szCs w:val="32"/>
    </w:rPr>
  </w:style>
  <w:style w:type="paragraph" w:customStyle="1" w:styleId="171">
    <w:name w:val="样式 标题 2 + Times New Roman 四号 非加粗 段前: 5 磅 段后: 0 磅 行距: 固定值 20..."/>
    <w:basedOn w:val="3"/>
    <w:autoRedefine/>
    <w:qFormat/>
    <w:uiPriority w:val="0"/>
    <w:pPr>
      <w:numPr>
        <w:ilvl w:val="1"/>
        <w:numId w:val="1"/>
      </w:numPr>
      <w:tabs>
        <w:tab w:val="left" w:pos="1483"/>
      </w:tabs>
      <w:spacing w:before="100" w:after="0" w:line="400" w:lineRule="exact"/>
    </w:pPr>
    <w:rPr>
      <w:rFonts w:ascii="方正综艺简体" w:hAnsi="方正综艺简体" w:eastAsia="方正综艺简体" w:cs="方正综艺简体"/>
      <w:b w:val="0"/>
      <w:bCs w:val="0"/>
      <w:kern w:val="0"/>
      <w:sz w:val="28"/>
      <w:szCs w:val="20"/>
    </w:rPr>
  </w:style>
  <w:style w:type="paragraph" w:customStyle="1" w:styleId="172">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 w:val="24"/>
      <w:lang w:eastAsia="en-US"/>
    </w:rPr>
  </w:style>
  <w:style w:type="paragraph" w:customStyle="1" w:styleId="173">
    <w:name w:val=" Char"/>
    <w:basedOn w:val="1"/>
    <w:autoRedefine/>
    <w:qFormat/>
    <w:uiPriority w:val="0"/>
    <w:pPr>
      <w:widowControl/>
      <w:spacing w:after="160" w:afterLines="0" w:line="240" w:lineRule="exact"/>
      <w:jc w:val="left"/>
    </w:pPr>
    <w:rPr>
      <w:rFonts w:ascii="Verdana" w:hAnsi="Verdana"/>
      <w:kern w:val="0"/>
      <w:sz w:val="20"/>
      <w:szCs w:val="20"/>
      <w:lang w:eastAsia="en-US"/>
    </w:rPr>
  </w:style>
  <w:style w:type="paragraph" w:customStyle="1" w:styleId="174">
    <w:name w:val="bullets (T)"/>
    <w:basedOn w:val="1"/>
    <w:autoRedefine/>
    <w:qFormat/>
    <w:uiPriority w:val="0"/>
    <w:pPr>
      <w:tabs>
        <w:tab w:val="left" w:pos="360"/>
      </w:tabs>
      <w:spacing w:after="100" w:afterLines="0" w:line="240" w:lineRule="exact"/>
      <w:ind w:left="360" w:hanging="360"/>
    </w:pPr>
    <w:rPr>
      <w:snapToGrid w:val="0"/>
      <w:color w:val="000000"/>
      <w:sz w:val="20"/>
      <w:szCs w:val="20"/>
    </w:rPr>
  </w:style>
  <w:style w:type="paragraph" w:customStyle="1" w:styleId="175">
    <w:name w:val="正文内容"/>
    <w:basedOn w:val="1"/>
    <w:autoRedefine/>
    <w:qFormat/>
    <w:uiPriority w:val="0"/>
    <w:pPr>
      <w:ind w:firstLine="200" w:firstLineChars="200"/>
    </w:pPr>
    <w:rPr>
      <w:rFonts w:ascii="仿宋_GB2312" w:hAnsi="Calibri" w:eastAsia="仿宋_GB2312" w:cs="Times New Roman"/>
      <w:sz w:val="24"/>
      <w:szCs w:val="28"/>
    </w:rPr>
  </w:style>
  <w:style w:type="paragraph" w:customStyle="1" w:styleId="176">
    <w:name w:val="表格文字1"/>
    <w:basedOn w:val="1"/>
    <w:autoRedefine/>
    <w:qFormat/>
    <w:uiPriority w:val="0"/>
    <w:pPr>
      <w:spacing w:line="320" w:lineRule="exact"/>
    </w:pPr>
    <w:rPr>
      <w:rFonts w:ascii="宋体" w:hAnsi="宋体"/>
      <w:spacing w:val="12"/>
      <w:szCs w:val="20"/>
    </w:rPr>
  </w:style>
  <w:style w:type="paragraph" w:customStyle="1" w:styleId="177">
    <w:name w:val="PP 行"/>
    <w:basedOn w:val="33"/>
    <w:autoRedefine/>
    <w:qFormat/>
    <w:uiPriority w:val="0"/>
  </w:style>
  <w:style w:type="paragraph" w:customStyle="1" w:styleId="178">
    <w:name w:val=" Char1"/>
    <w:basedOn w:val="7"/>
    <w:autoRedefine/>
    <w:qFormat/>
    <w:uiPriority w:val="0"/>
    <w:pPr>
      <w:spacing w:line="360" w:lineRule="auto"/>
      <w:ind w:firstLine="200" w:firstLineChars="200"/>
    </w:pPr>
    <w:rPr>
      <w:spacing w:val="0"/>
      <w:kern w:val="2"/>
      <w:szCs w:val="24"/>
    </w:rPr>
  </w:style>
  <w:style w:type="paragraph" w:customStyle="1" w:styleId="179">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eastAsia="Arial Unicode MS" w:cs="Courier New"/>
      <w:kern w:val="0"/>
      <w:sz w:val="24"/>
      <w:lang w:eastAsia="en-US"/>
    </w:rPr>
  </w:style>
  <w:style w:type="paragraph" w:customStyle="1" w:styleId="180">
    <w:name w:val="正文文字格式"/>
    <w:basedOn w:val="1"/>
    <w:autoRedefine/>
    <w:qFormat/>
    <w:uiPriority w:val="0"/>
    <w:pPr>
      <w:spacing w:line="460" w:lineRule="exact"/>
      <w:ind w:firstLine="505"/>
      <w:jc w:val="left"/>
    </w:pPr>
    <w:rPr>
      <w:rFonts w:ascii="宋体"/>
      <w:kern w:val="24"/>
      <w:sz w:val="24"/>
      <w:szCs w:val="20"/>
    </w:rPr>
  </w:style>
  <w:style w:type="paragraph" w:customStyle="1" w:styleId="181">
    <w:name w:val="菲页1"/>
    <w:basedOn w:val="3"/>
    <w:autoRedefine/>
    <w:qFormat/>
    <w:uiPriority w:val="0"/>
    <w:pPr>
      <w:keepNext w:val="0"/>
      <w:widowControl/>
      <w:jc w:val="center"/>
    </w:pPr>
    <w:rPr>
      <w:rFonts w:ascii="黑体" w:hAnsi="宋体"/>
      <w:b w:val="0"/>
      <w:bCs w:val="0"/>
      <w:color w:val="000000"/>
      <w:kern w:val="0"/>
      <w:sz w:val="52"/>
      <w:szCs w:val="20"/>
    </w:rPr>
  </w:style>
  <w:style w:type="paragraph" w:customStyle="1" w:styleId="182">
    <w:name w:val="_Style 181"/>
    <w:autoRedefine/>
    <w:qFormat/>
    <w:uiPriority w:val="0"/>
    <w:rPr>
      <w:rFonts w:ascii="方正综艺简体" w:hAnsi="方正综艺简体" w:eastAsia="方正综艺简体" w:cs="方正综艺简体"/>
      <w:kern w:val="2"/>
      <w:sz w:val="21"/>
      <w:szCs w:val="24"/>
      <w:lang w:val="en-US" w:eastAsia="zh-CN" w:bidi="ar-SA"/>
    </w:rPr>
  </w:style>
  <w:style w:type="paragraph" w:styleId="183">
    <w:name w:val="List Paragraph"/>
    <w:basedOn w:val="1"/>
    <w:autoRedefine/>
    <w:qFormat/>
    <w:uiPriority w:val="0"/>
    <w:pPr>
      <w:widowControl/>
      <w:ind w:firstLine="420" w:firstLineChars="200"/>
      <w:jc w:val="left"/>
    </w:pPr>
    <w:rPr>
      <w:kern w:val="0"/>
      <w:szCs w:val="20"/>
    </w:rPr>
  </w:style>
  <w:style w:type="paragraph" w:customStyle="1" w:styleId="184">
    <w:name w:val="Char Char Char"/>
    <w:basedOn w:val="1"/>
    <w:autoRedefine/>
    <w:qFormat/>
    <w:uiPriority w:val="0"/>
    <w:rPr>
      <w:szCs w:val="20"/>
    </w:rPr>
  </w:style>
  <w:style w:type="paragraph" w:customStyle="1" w:styleId="185">
    <w:name w:val="xl77"/>
    <w:basedOn w:val="1"/>
    <w:autoRedefine/>
    <w:qFormat/>
    <w:uiPriority w:val="0"/>
    <w:pPr>
      <w:widowControl/>
      <w:pBdr>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b/>
      <w:bCs/>
      <w:kern w:val="0"/>
      <w:sz w:val="28"/>
      <w:szCs w:val="28"/>
    </w:rPr>
  </w:style>
  <w:style w:type="paragraph" w:customStyle="1" w:styleId="186">
    <w:name w:val="正文 + 仿宋_GB2312"/>
    <w:basedOn w:val="1"/>
    <w:autoRedefine/>
    <w:qFormat/>
    <w:uiPriority w:val="0"/>
    <w:pPr>
      <w:widowControl/>
      <w:adjustRightInd w:val="0"/>
      <w:snapToGrid w:val="0"/>
      <w:spacing w:line="360" w:lineRule="exact"/>
      <w:ind w:left="480"/>
      <w:textAlignment w:val="baseline"/>
    </w:pPr>
    <w:rPr>
      <w:rFonts w:ascii="仿宋_GB2312" w:eastAsia="仿宋_GB2312" w:cs="仿宋_GB2312"/>
      <w:kern w:val="0"/>
      <w:szCs w:val="21"/>
    </w:rPr>
  </w:style>
  <w:style w:type="paragraph" w:customStyle="1" w:styleId="187">
    <w:name w:val="样式3"/>
    <w:basedOn w:val="26"/>
    <w:autoRedefine/>
    <w:qFormat/>
    <w:uiPriority w:val="0"/>
    <w:pPr>
      <w:spacing w:line="0" w:lineRule="atLeast"/>
      <w:outlineLvl w:val="0"/>
    </w:pPr>
    <w:rPr>
      <w:sz w:val="28"/>
    </w:rPr>
  </w:style>
  <w:style w:type="paragraph" w:customStyle="1" w:styleId="188">
    <w:name w:val="目录文字"/>
    <w:basedOn w:val="1"/>
    <w:autoRedefine/>
    <w:qFormat/>
    <w:uiPriority w:val="0"/>
    <w:pPr>
      <w:widowControl/>
      <w:spacing w:line="480" w:lineRule="auto"/>
      <w:jc w:val="left"/>
    </w:pPr>
    <w:rPr>
      <w:rFonts w:ascii="宋体" w:hAnsi="宋体"/>
      <w:kern w:val="0"/>
      <w:sz w:val="24"/>
      <w:szCs w:val="20"/>
    </w:rPr>
  </w:style>
  <w:style w:type="paragraph" w:customStyle="1" w:styleId="189">
    <w:name w:val="pbj1"/>
    <w:basedOn w:val="1"/>
    <w:autoRedefine/>
    <w:qFormat/>
    <w:uiPriority w:val="0"/>
    <w:pPr>
      <w:widowControl/>
      <w:jc w:val="left"/>
    </w:pPr>
    <w:rPr>
      <w:rFonts w:ascii="方正综艺简体" w:hAnsi="方正综艺简体" w:eastAsia="方正综艺简体" w:cs="方正综艺简体"/>
      <w:kern w:val="0"/>
      <w:sz w:val="24"/>
    </w:rPr>
  </w:style>
  <w:style w:type="paragraph" w:customStyle="1" w:styleId="190">
    <w:name w:val="正文文字表格居中"/>
    <w:basedOn w:val="1"/>
    <w:next w:val="42"/>
    <w:autoRedefine/>
    <w:qFormat/>
    <w:uiPriority w:val="0"/>
    <w:pPr>
      <w:spacing w:line="400" w:lineRule="exact"/>
      <w:jc w:val="center"/>
    </w:pPr>
    <w:rPr>
      <w:b/>
      <w:bCs/>
      <w:sz w:val="24"/>
    </w:rPr>
  </w:style>
  <w:style w:type="paragraph" w:customStyle="1" w:styleId="191">
    <w:name w:val="样式 标题 3 + 红色"/>
    <w:basedOn w:val="4"/>
    <w:autoRedefine/>
    <w:qFormat/>
    <w:uiPriority w:val="0"/>
    <w:pPr>
      <w:spacing w:before="120" w:beforeLines="0" w:after="120" w:afterLines="0" w:line="700" w:lineRule="exact"/>
      <w:jc w:val="left"/>
    </w:pPr>
    <w:rPr>
      <w:rFonts w:ascii="宋体" w:hAnsi="宋体" w:eastAsia="宋体"/>
      <w:b w:val="0"/>
      <w:bCs w:val="0"/>
      <w:color w:val="FF0000"/>
      <w:spacing w:val="10"/>
      <w:szCs w:val="32"/>
    </w:rPr>
  </w:style>
  <w:style w:type="paragraph" w:customStyle="1" w:styleId="192">
    <w:name w:val=" Char Char"/>
    <w:basedOn w:val="1"/>
    <w:autoRedefine/>
    <w:qFormat/>
    <w:uiPriority w:val="0"/>
    <w:rPr>
      <w:rFonts w:ascii="Tahoma" w:hAnsi="Tahoma"/>
      <w:sz w:val="24"/>
      <w:szCs w:val="20"/>
    </w:rPr>
  </w:style>
  <w:style w:type="paragraph" w:customStyle="1" w:styleId="193">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ascii="Arial Unicode MS" w:hAnsi="Arial Unicode MS" w:eastAsia="Arial Unicode MS" w:cs="Courier New"/>
      <w:kern w:val="0"/>
      <w:szCs w:val="21"/>
      <w:lang w:eastAsia="en-US"/>
    </w:rPr>
  </w:style>
  <w:style w:type="paragraph" w:customStyle="1" w:styleId="194">
    <w:name w:val="font7"/>
    <w:basedOn w:val="1"/>
    <w:autoRedefine/>
    <w:qFormat/>
    <w:uiPriority w:val="0"/>
    <w:pPr>
      <w:widowControl/>
      <w:spacing w:before="100" w:beforeLines="0" w:beforeAutospacing="1" w:after="100" w:afterLines="0" w:afterAutospacing="1"/>
      <w:jc w:val="left"/>
    </w:pPr>
    <w:rPr>
      <w:rFonts w:hint="eastAsia" w:ascii="宋体" w:hAnsi="宋体" w:cs="Courier New"/>
      <w:kern w:val="0"/>
      <w:szCs w:val="21"/>
      <w:lang w:eastAsia="en-US"/>
    </w:rPr>
  </w:style>
  <w:style w:type="paragraph" w:customStyle="1" w:styleId="195">
    <w:name w:val=" Char1 Char Char Char"/>
    <w:basedOn w:val="7"/>
    <w:autoRedefine/>
    <w:qFormat/>
    <w:uiPriority w:val="0"/>
    <w:pPr>
      <w:spacing w:line="360" w:lineRule="auto"/>
      <w:ind w:firstLine="200" w:firstLineChars="200"/>
    </w:pPr>
    <w:rPr>
      <w:spacing w:val="0"/>
      <w:kern w:val="2"/>
      <w:szCs w:val="24"/>
    </w:rPr>
  </w:style>
  <w:style w:type="paragraph" w:customStyle="1" w:styleId="196">
    <w:name w:val="my title2"/>
    <w:basedOn w:val="1"/>
    <w:autoRedefine/>
    <w:qFormat/>
    <w:uiPriority w:val="0"/>
    <w:pPr>
      <w:widowControl/>
    </w:pPr>
    <w:rPr>
      <w:rFonts w:eastAsia="仿宋_GB2312"/>
      <w:kern w:val="0"/>
      <w:sz w:val="24"/>
      <w:szCs w:val="20"/>
    </w:rPr>
  </w:style>
  <w:style w:type="paragraph" w:customStyle="1" w:styleId="197">
    <w:name w:val="zbzw2"/>
    <w:basedOn w:val="152"/>
    <w:autoRedefine/>
    <w:qFormat/>
    <w:uiPriority w:val="0"/>
    <w:pPr>
      <w:tabs>
        <w:tab w:val="left" w:pos="720"/>
      </w:tabs>
      <w:spacing w:before="0" w:after="0" w:line="380" w:lineRule="exact"/>
      <w:ind w:right="-76" w:firstLine="420" w:firstLineChars="200"/>
    </w:pPr>
    <w:rPr>
      <w:b w:val="0"/>
      <w:sz w:val="21"/>
      <w:szCs w:val="21"/>
    </w:rPr>
  </w:style>
  <w:style w:type="paragraph" w:customStyle="1" w:styleId="198">
    <w:name w:val="Normal"/>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99">
    <w:name w:val="正文－恩普"/>
    <w:basedOn w:val="7"/>
    <w:autoRedefine/>
    <w:qFormat/>
    <w:uiPriority w:val="0"/>
    <w:pPr>
      <w:spacing w:line="360" w:lineRule="auto"/>
      <w:ind w:firstLine="200" w:firstLineChars="200"/>
    </w:pPr>
    <w:rPr>
      <w:spacing w:val="0"/>
      <w:kern w:val="2"/>
      <w:szCs w:val="24"/>
    </w:rPr>
  </w:style>
  <w:style w:type="paragraph" w:customStyle="1" w:styleId="200">
    <w:name w:val="zbzw1"/>
    <w:autoRedefine/>
    <w:qFormat/>
    <w:uiPriority w:val="0"/>
    <w:pPr>
      <w:tabs>
        <w:tab w:val="left" w:pos="720"/>
      </w:tabs>
      <w:spacing w:line="360" w:lineRule="exact"/>
      <w:ind w:firstLine="414" w:firstLineChars="200"/>
    </w:pPr>
    <w:rPr>
      <w:rFonts w:ascii="Times New Roman" w:hAnsi="Times New Roman" w:eastAsia="宋体" w:cs="Times New Roman"/>
      <w:spacing w:val="-2"/>
      <w:sz w:val="21"/>
      <w:szCs w:val="24"/>
      <w:lang w:val="en-US" w:eastAsia="zh-CN" w:bidi="ar-SA"/>
    </w:rPr>
  </w:style>
  <w:style w:type="paragraph" w:customStyle="1" w:styleId="201">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eastAsia="Arial Unicode MS"/>
      <w:kern w:val="0"/>
      <w:sz w:val="16"/>
      <w:szCs w:val="16"/>
      <w:lang w:eastAsia="en-US"/>
    </w:rPr>
  </w:style>
  <w:style w:type="paragraph" w:customStyle="1" w:styleId="202">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paragraph" w:customStyle="1" w:styleId="203">
    <w:name w:val="重正文"/>
    <w:basedOn w:val="1"/>
    <w:autoRedefine/>
    <w:qFormat/>
    <w:uiPriority w:val="0"/>
    <w:pPr>
      <w:numPr>
        <w:ilvl w:val="1"/>
        <w:numId w:val="2"/>
      </w:numPr>
      <w:spacing w:before="5" w:after="200" w:afterLines="50" w:line="390" w:lineRule="atLeast"/>
      <w:ind w:left="0" w:firstLine="480"/>
    </w:pPr>
    <w:rPr>
      <w:rFonts w:ascii="宋体" w:hAnsi="宋体"/>
      <w:sz w:val="24"/>
    </w:rPr>
  </w:style>
  <w:style w:type="paragraph" w:customStyle="1" w:styleId="204">
    <w:name w:val="菲页(卷)"/>
    <w:basedOn w:val="2"/>
    <w:next w:val="198"/>
    <w:autoRedefine/>
    <w:qFormat/>
    <w:uiPriority w:val="0"/>
    <w:pPr>
      <w:keepLines w:val="0"/>
      <w:widowControl/>
      <w:tabs>
        <w:tab w:val="left" w:pos="1595"/>
      </w:tabs>
      <w:spacing w:before="0" w:beforeLines="0" w:after="0" w:afterLines="0" w:line="240" w:lineRule="auto"/>
      <w:ind w:left="1595" w:hanging="425"/>
      <w:outlineLvl w:val="1"/>
    </w:pPr>
    <w:rPr>
      <w:rFonts w:ascii="黑体" w:eastAsia="黑体"/>
      <w:b w:val="0"/>
      <w:spacing w:val="0"/>
      <w:kern w:val="0"/>
      <w:sz w:val="52"/>
    </w:rPr>
  </w:style>
  <w:style w:type="paragraph" w:customStyle="1" w:styleId="205">
    <w:name w:val="表内文字"/>
    <w:basedOn w:val="1"/>
    <w:autoRedefine/>
    <w:qFormat/>
    <w:uiPriority w:val="0"/>
    <w:pPr>
      <w:spacing w:line="240" w:lineRule="atLeast"/>
      <w:jc w:val="center"/>
    </w:pPr>
    <w:rPr>
      <w:rFonts w:ascii="Arial" w:hAnsi="Arial" w:cs="Arial"/>
      <w:b/>
      <w:bCs/>
    </w:rPr>
  </w:style>
  <w:style w:type="paragraph" w:customStyle="1" w:styleId="206">
    <w:name w:val="p0"/>
    <w:basedOn w:val="1"/>
    <w:autoRedefine/>
    <w:qFormat/>
    <w:uiPriority w:val="0"/>
    <w:pPr>
      <w:widowControl/>
    </w:pPr>
    <w:rPr>
      <w:kern w:val="0"/>
      <w:szCs w:val="21"/>
    </w:rPr>
  </w:style>
  <w:style w:type="paragraph" w:customStyle="1" w:styleId="207">
    <w:name w:val="Indent a)"/>
    <w:basedOn w:val="1"/>
    <w:autoRedefine/>
    <w:qFormat/>
    <w:uiPriority w:val="0"/>
    <w:pPr>
      <w:widowControl/>
      <w:tabs>
        <w:tab w:val="left" w:pos="1843"/>
        <w:tab w:val="right" w:pos="9072"/>
      </w:tabs>
      <w:suppressAutoHyphens/>
      <w:spacing w:line="360" w:lineRule="auto"/>
      <w:ind w:right="-21" w:rightChars="-10" w:firstLine="420" w:firstLineChars="200"/>
    </w:pPr>
    <w:rPr>
      <w:rFonts w:ascii="宋体" w:hAnsi="宋体"/>
      <w:color w:val="000000"/>
      <w:szCs w:val="20"/>
    </w:rPr>
  </w:style>
  <w:style w:type="paragraph" w:customStyle="1" w:styleId="208">
    <w:name w:val="font8"/>
    <w:basedOn w:val="1"/>
    <w:autoRedefine/>
    <w:qFormat/>
    <w:uiPriority w:val="0"/>
    <w:pPr>
      <w:widowControl/>
      <w:spacing w:before="100" w:beforeLines="0" w:beforeAutospacing="1" w:after="100" w:afterLines="0" w:afterAutospacing="1"/>
      <w:jc w:val="left"/>
    </w:pPr>
    <w:rPr>
      <w:rFonts w:eastAsia="Arial Unicode MS"/>
      <w:kern w:val="0"/>
      <w:sz w:val="24"/>
      <w:lang w:eastAsia="en-US"/>
    </w:rPr>
  </w:style>
  <w:style w:type="paragraph" w:customStyle="1" w:styleId="209">
    <w:name w:val="正文（项目编号）"/>
    <w:basedOn w:val="1"/>
    <w:autoRedefine/>
    <w:qFormat/>
    <w:uiPriority w:val="0"/>
    <w:pPr>
      <w:tabs>
        <w:tab w:val="left" w:pos="980"/>
      </w:tabs>
      <w:spacing w:line="480" w:lineRule="exact"/>
      <w:ind w:left="980" w:hanging="420"/>
    </w:pPr>
    <w:rPr>
      <w:bCs/>
      <w:sz w:val="28"/>
      <w:szCs w:val="20"/>
    </w:rPr>
  </w:style>
  <w:style w:type="paragraph" w:customStyle="1" w:styleId="210">
    <w:name w:val="font6"/>
    <w:basedOn w:val="1"/>
    <w:autoRedefine/>
    <w:qFormat/>
    <w:uiPriority w:val="0"/>
    <w:pPr>
      <w:widowControl/>
      <w:spacing w:before="100" w:beforeLines="0" w:beforeAutospacing="1" w:after="100" w:afterLines="0" w:afterAutospacing="1"/>
      <w:jc w:val="left"/>
    </w:pPr>
    <w:rPr>
      <w:rFonts w:eastAsia="Arial Unicode MS"/>
      <w:kern w:val="0"/>
      <w:szCs w:val="21"/>
      <w:lang w:eastAsia="en-US"/>
    </w:rPr>
  </w:style>
  <w:style w:type="paragraph" w:customStyle="1" w:styleId="21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 w:val="14"/>
      <w:szCs w:val="14"/>
      <w:lang w:eastAsia="en-US"/>
    </w:rPr>
  </w:style>
  <w:style w:type="paragraph" w:customStyle="1" w:styleId="212">
    <w:name w:val="_Style 211"/>
    <w:basedOn w:val="2"/>
    <w:next w:val="1"/>
    <w:autoRedefine/>
    <w:qFormat/>
    <w:uiPriority w:val="39"/>
    <w:pPr>
      <w:widowControl/>
      <w:spacing w:before="480" w:after="0" w:line="276" w:lineRule="auto"/>
      <w:jc w:val="left"/>
      <w:outlineLvl w:val="9"/>
    </w:pPr>
    <w:rPr>
      <w:rFonts w:ascii="Cambria" w:hAnsi="Cambria" w:eastAsia="宋体" w:cs="Times New Roman"/>
      <w:bCs/>
      <w:color w:val="365F91"/>
      <w:spacing w:val="0"/>
      <w:kern w:val="0"/>
      <w:sz w:val="28"/>
      <w:szCs w:val="28"/>
    </w:rPr>
  </w:style>
  <w:style w:type="paragraph" w:customStyle="1" w:styleId="213">
    <w:name w:val=" Char Char Char Char1"/>
    <w:basedOn w:val="1"/>
    <w:autoRedefine/>
    <w:qFormat/>
    <w:uiPriority w:val="0"/>
  </w:style>
  <w:style w:type="paragraph" w:customStyle="1" w:styleId="214">
    <w:name w:val="flNote"/>
    <w:basedOn w:val="1"/>
    <w:autoRedefine/>
    <w:qFormat/>
    <w:uiPriority w:val="0"/>
    <w:pPr>
      <w:adjustRightInd w:val="0"/>
      <w:spacing w:before="320" w:after="160" w:line="360" w:lineRule="atLeast"/>
      <w:jc w:val="center"/>
      <w:textAlignment w:val="baseline"/>
    </w:pPr>
    <w:rPr>
      <w:rFonts w:ascii="方正综艺简体" w:hAnsi="方正综艺简体" w:eastAsia="方正综艺简体" w:cs="方正综艺简体"/>
      <w:kern w:val="0"/>
      <w:sz w:val="30"/>
      <w:szCs w:val="20"/>
    </w:rPr>
  </w:style>
  <w:style w:type="paragraph" w:customStyle="1" w:styleId="215">
    <w:name w:val="table_1stline"/>
    <w:basedOn w:val="1"/>
    <w:autoRedefine/>
    <w:qFormat/>
    <w:uiPriority w:val="0"/>
    <w:pPr>
      <w:widowControl/>
      <w:spacing w:before="120" w:beforeLines="0"/>
      <w:jc w:val="left"/>
    </w:pPr>
    <w:rPr>
      <w:bCs/>
      <w:kern w:val="0"/>
      <w:sz w:val="20"/>
      <w:szCs w:val="20"/>
      <w:lang w:val="de-DE" w:eastAsia="de-DE"/>
    </w:rPr>
  </w:style>
  <w:style w:type="paragraph" w:customStyle="1" w:styleId="216">
    <w:name w:val="font0"/>
    <w:basedOn w:val="1"/>
    <w:autoRedefine/>
    <w:qFormat/>
    <w:uiPriority w:val="0"/>
    <w:pPr>
      <w:widowControl/>
      <w:spacing w:before="100" w:beforeLines="0" w:beforeAutospacing="1" w:after="100" w:afterLines="0" w:afterAutospacing="1"/>
      <w:jc w:val="left"/>
    </w:pPr>
    <w:rPr>
      <w:rFonts w:hint="eastAsia" w:ascii="宋体" w:hAnsi="宋体" w:cs="Courier New"/>
      <w:kern w:val="0"/>
      <w:sz w:val="24"/>
      <w:lang w:eastAsia="en-US"/>
    </w:rPr>
  </w:style>
  <w:style w:type="paragraph" w:customStyle="1" w:styleId="217">
    <w:name w:val=" Char Char Char Char"/>
    <w:basedOn w:val="7"/>
    <w:autoRedefine/>
    <w:qFormat/>
    <w:uiPriority w:val="0"/>
    <w:pPr>
      <w:spacing w:line="360" w:lineRule="auto"/>
      <w:ind w:firstLine="200" w:firstLineChars="200"/>
    </w:pPr>
    <w:rPr>
      <w:spacing w:val="0"/>
      <w:kern w:val="2"/>
      <w:szCs w:val="24"/>
    </w:rPr>
  </w:style>
  <w:style w:type="paragraph" w:customStyle="1" w:styleId="218">
    <w:name w:val="Char Char"/>
    <w:basedOn w:val="1"/>
    <w:autoRedefine/>
    <w:qFormat/>
    <w:uiPriority w:val="0"/>
    <w:rPr>
      <w:rFonts w:ascii="仿宋_GB2312" w:eastAsia="仿宋_GB2312"/>
      <w:b/>
      <w:sz w:val="32"/>
      <w:szCs w:val="32"/>
    </w:rPr>
  </w:style>
  <w:style w:type="paragraph" w:customStyle="1" w:styleId="219">
    <w:name w:val="xl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pPr>
    <w:rPr>
      <w:rFonts w:ascii="Arial Unicode MS" w:hAnsi="Arial Unicode MS"/>
      <w:kern w:val="0"/>
      <w:sz w:val="18"/>
      <w:szCs w:val="18"/>
    </w:rPr>
  </w:style>
  <w:style w:type="paragraph" w:customStyle="1" w:styleId="220">
    <w:name w:val="标书正文"/>
    <w:basedOn w:val="19"/>
    <w:autoRedefine/>
    <w:qFormat/>
    <w:uiPriority w:val="0"/>
    <w:pPr>
      <w:adjustRightInd w:val="0"/>
      <w:snapToGrid w:val="0"/>
      <w:spacing w:after="0" w:afterLines="0" w:line="400" w:lineRule="exact"/>
      <w:ind w:firstLine="1276"/>
    </w:pPr>
    <w:rPr>
      <w:rFonts w:ascii="宋体" w:hAnsi="宋体" w:eastAsia="黑体"/>
      <w:kern w:val="0"/>
      <w:sz w:val="24"/>
      <w:szCs w:val="20"/>
    </w:rPr>
  </w:style>
  <w:style w:type="paragraph" w:customStyle="1" w:styleId="221">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22">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 w:val="20"/>
      <w:szCs w:val="20"/>
      <w:lang w:eastAsia="en-US"/>
    </w:rPr>
  </w:style>
  <w:style w:type="paragraph" w:styleId="223">
    <w:name w:val="No Spacing"/>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
    <w:name w:val="xl55"/>
    <w:basedOn w:val="1"/>
    <w:autoRedefine/>
    <w:qFormat/>
    <w:uiPriority w:val="0"/>
    <w:pPr>
      <w:widowControl/>
      <w:spacing w:before="100" w:beforeLines="0" w:beforeAutospacing="1" w:after="100" w:afterLines="0" w:afterAutospacing="1"/>
      <w:jc w:val="center"/>
      <w:textAlignment w:val="center"/>
    </w:pPr>
    <w:rPr>
      <w:rFonts w:ascii="Arial Unicode MS" w:hAnsi="Arial Unicode MS"/>
      <w:kern w:val="0"/>
      <w:sz w:val="24"/>
    </w:rPr>
  </w:style>
  <w:style w:type="paragraph" w:customStyle="1" w:styleId="225">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eastAsia="Arial Unicode MS"/>
      <w:kern w:val="0"/>
      <w:sz w:val="24"/>
      <w:lang w:eastAsia="en-US"/>
    </w:rPr>
  </w:style>
  <w:style w:type="paragraph" w:customStyle="1" w:styleId="226">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ascii="Arial Unicode MS" w:hAnsi="Arial Unicode MS" w:eastAsia="Arial Unicode MS" w:cs="Courier New"/>
      <w:kern w:val="0"/>
      <w:szCs w:val="21"/>
      <w:lang w:eastAsia="en-US"/>
    </w:rPr>
  </w:style>
  <w:style w:type="paragraph" w:customStyle="1" w:styleId="227">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left"/>
      <w:textAlignment w:val="center"/>
    </w:pPr>
    <w:rPr>
      <w:rFonts w:eastAsia="Arial Unicode MS"/>
      <w:kern w:val="0"/>
      <w:sz w:val="14"/>
      <w:szCs w:val="14"/>
      <w:lang w:eastAsia="en-US"/>
    </w:rPr>
  </w:style>
  <w:style w:type="paragraph" w:customStyle="1" w:styleId="228">
    <w:name w:val="(一)"/>
    <w:basedOn w:val="1"/>
    <w:autoRedefine/>
    <w:qFormat/>
    <w:uiPriority w:val="0"/>
    <w:pPr>
      <w:jc w:val="left"/>
    </w:pPr>
    <w:rPr>
      <w:rFonts w:hAnsi="Times New Roman"/>
    </w:rPr>
  </w:style>
  <w:style w:type="paragraph" w:customStyle="1" w:styleId="229">
    <w:name w:val="1、"/>
    <w:basedOn w:val="1"/>
    <w:autoRedefine/>
    <w:qFormat/>
    <w:uiPriority w:val="0"/>
    <w:pPr>
      <w:jc w:val="left"/>
    </w:pPr>
    <w:rPr>
      <w:rFonts w:hAnsi="Times New Roman"/>
    </w:rPr>
  </w:style>
  <w:style w:type="paragraph" w:customStyle="1" w:styleId="230">
    <w:name w:val="第一章"/>
    <w:basedOn w:val="1"/>
    <w:next w:val="1"/>
    <w:autoRedefine/>
    <w:qFormat/>
    <w:uiPriority w:val="0"/>
    <w:pPr>
      <w:numPr>
        <w:ilvl w:val="0"/>
        <w:numId w:val="3"/>
      </w:numPr>
      <w:jc w:val="center"/>
    </w:pPr>
    <w:rPr>
      <w:rFonts w:eastAsia="仿宋_GB2312"/>
      <w:b/>
      <w:szCs w:val="32"/>
    </w:rPr>
  </w:style>
  <w:style w:type="paragraph" w:customStyle="1" w:styleId="231">
    <w:name w:val="List Paragraph1"/>
    <w:basedOn w:val="1"/>
    <w:autoRedefine/>
    <w:qFormat/>
    <w:uiPriority w:val="0"/>
    <w:pPr>
      <w:widowControl w:val="0"/>
      <w:ind w:firstLine="420" w:firstLineChars="200"/>
      <w:jc w:val="both"/>
    </w:pPr>
    <w:rPr>
      <w:kern w:val="2"/>
      <w:szCs w:val="21"/>
    </w:rPr>
  </w:style>
  <w:style w:type="character" w:customStyle="1" w:styleId="232">
    <w:name w:val="NormalCharacter"/>
    <w:autoRedefine/>
    <w:qFormat/>
    <w:uiPriority w:val="0"/>
  </w:style>
  <w:style w:type="character" w:customStyle="1" w:styleId="233">
    <w:name w:val="font31"/>
    <w:basedOn w:val="51"/>
    <w:autoRedefine/>
    <w:qFormat/>
    <w:uiPriority w:val="0"/>
    <w:rPr>
      <w:rFonts w:hint="eastAsia" w:ascii="宋体" w:hAnsi="宋体" w:eastAsia="宋体" w:cs="宋体"/>
      <w:color w:val="000000"/>
      <w:sz w:val="20"/>
      <w:szCs w:val="20"/>
      <w:u w:val="none"/>
    </w:rPr>
  </w:style>
  <w:style w:type="character" w:customStyle="1" w:styleId="234">
    <w:name w:val="font41"/>
    <w:basedOn w:val="51"/>
    <w:autoRedefine/>
    <w:qFormat/>
    <w:uiPriority w:val="0"/>
    <w:rPr>
      <w:rFonts w:hint="eastAsia" w:ascii="宋体" w:hAnsi="宋体" w:eastAsia="宋体" w:cs="宋体"/>
      <w:color w:val="000000"/>
      <w:sz w:val="20"/>
      <w:szCs w:val="20"/>
      <w:u w:val="none"/>
      <w:vertAlign w:val="superscript"/>
    </w:rPr>
  </w:style>
  <w:style w:type="character" w:customStyle="1" w:styleId="235">
    <w:name w:val="font11"/>
    <w:basedOn w:val="51"/>
    <w:autoRedefine/>
    <w:qFormat/>
    <w:uiPriority w:val="0"/>
    <w:rPr>
      <w:rFonts w:hint="eastAsia" w:ascii="宋体" w:hAnsi="宋体" w:eastAsia="宋体" w:cs="宋体"/>
      <w:color w:val="000000"/>
      <w:sz w:val="21"/>
      <w:szCs w:val="21"/>
      <w:u w:val="none"/>
    </w:rPr>
  </w:style>
  <w:style w:type="paragraph" w:customStyle="1" w:styleId="236">
    <w:name w:val="Plain Text"/>
    <w:basedOn w:val="198"/>
    <w:autoRedefine/>
    <w:qFormat/>
    <w:uiPriority w:val="0"/>
    <w:pPr>
      <w:widowControl/>
      <w:jc w:val="left"/>
    </w:pPr>
    <w:rPr>
      <w:rFonts w:ascii="宋体" w:hAnsi="Courier New"/>
    </w:rPr>
  </w:style>
  <w:style w:type="table" w:customStyle="1" w:styleId="237">
    <w:name w:val="Table Normal"/>
    <w:autoRedefine/>
    <w:unhideWhenUsed/>
    <w:qFormat/>
    <w:uiPriority w:val="0"/>
    <w:tblPr>
      <w:tblCellMar>
        <w:top w:w="0" w:type="dxa"/>
        <w:left w:w="0" w:type="dxa"/>
        <w:bottom w:w="0" w:type="dxa"/>
        <w:right w:w="0" w:type="dxa"/>
      </w:tblCellMar>
    </w:tblPr>
  </w:style>
  <w:style w:type="character" w:customStyle="1" w:styleId="238">
    <w:name w:val="font91"/>
    <w:basedOn w:val="51"/>
    <w:autoRedefine/>
    <w:qFormat/>
    <w:uiPriority w:val="0"/>
    <w:rPr>
      <w:rFonts w:hint="default" w:ascii="Arial" w:hAnsi="Arial" w:cs="Arial"/>
      <w:color w:val="000000"/>
      <w:sz w:val="20"/>
      <w:szCs w:val="20"/>
      <w:u w:val="none"/>
    </w:rPr>
  </w:style>
  <w:style w:type="paragraph" w:customStyle="1" w:styleId="239">
    <w:name w:val="Table Text"/>
    <w:basedOn w:val="1"/>
    <w:autoRedefine/>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67</Pages>
  <Words>11184</Words>
  <Characters>12049</Characters>
  <Lines>403</Lines>
  <Paragraphs>113</Paragraphs>
  <TotalTime>59</TotalTime>
  <ScaleCrop>false</ScaleCrop>
  <LinksUpToDate>false</LinksUpToDate>
  <CharactersWithSpaces>12464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2021-02-08T19:55:00Z</dcterms:created>
  <dc:creator>ZJRY</dc:creator>
  <cp:keywords>招标文件</cp:keywords>
  <cp:lastModifiedBy>Mieko</cp:lastModifiedBy>
  <cp:lastPrinted>2025-11-06T08:14:00Z</cp:lastPrinted>
  <dcterms:modified xsi:type="dcterms:W3CDTF">2025-11-07T09:18:09Z</dcterms:modified>
  <dc:title>2015年度瑞安市天然气工程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CAAFA8F613654564A536EBBF4E8E65A2_13</vt:lpwstr>
  </property>
  <property fmtid="{D5CDD505-2E9C-101B-9397-08002B2CF9AE}" pid="4" name="KSOTemplateDocerSaveRecord">
    <vt:lpwstr>eyJoZGlkIjoiNTQzZGE1N2Q1N2U5M2JmY2JlMzMwMGZmM2U2MWFhZDciLCJ1c2VySWQiOiIyMzU2MzQ2NDAifQ==</vt:lpwstr>
  </property>
</Properties>
</file>