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pPr w:leftFromText="180" w:rightFromText="180" w:vertAnchor="text" w:horzAnchor="page" w:tblpX="1308" w:tblpY="-36"/>
        <w:tblOverlap w:val="never"/>
        <w:tblW w:w="0" w:type="auto"/>
        <w:tblInd w:w="0" w:type="dxa"/>
        <w:tblBorders>
          <w:top w:val="thickThinSmallGap" w:color="auto" w:sz="24" w:space="0"/>
          <w:left w:val="thickThinSmallGap" w:color="auto" w:sz="24" w:space="0"/>
          <w:bottom w:val="thickThinSmallGap" w:color="auto" w:sz="24" w:space="0"/>
          <w:right w:val="thickThinSmallGap" w:color="auto" w:sz="24" w:space="0"/>
          <w:insideH w:val="thickThinSmallGap" w:color="auto" w:sz="24" w:space="0"/>
          <w:insideV w:val="thickThinSmallGap" w:color="auto" w:sz="24" w:space="0"/>
        </w:tblBorders>
        <w:tblLayout w:type="fixed"/>
        <w:tblCellMar>
          <w:top w:w="0" w:type="dxa"/>
          <w:left w:w="108" w:type="dxa"/>
          <w:bottom w:w="0" w:type="dxa"/>
          <w:right w:w="108" w:type="dxa"/>
        </w:tblCellMar>
      </w:tblPr>
      <w:tblGrid>
        <w:gridCol w:w="9525"/>
      </w:tblGrid>
      <w:tr w14:paraId="2EFB19B7">
        <w:tblPrEx>
          <w:tblBorders>
            <w:top w:val="thickThinSmallGap" w:color="auto" w:sz="24" w:space="0"/>
            <w:left w:val="thickThinSmallGap" w:color="auto" w:sz="24" w:space="0"/>
            <w:bottom w:val="thickThinSmallGap" w:color="auto" w:sz="24" w:space="0"/>
            <w:right w:val="thickThinSmallGap" w:color="auto" w:sz="24" w:space="0"/>
            <w:insideH w:val="thickThinSmallGap" w:color="auto" w:sz="24" w:space="0"/>
            <w:insideV w:val="thickThinSmallGap" w:color="auto" w:sz="24" w:space="0"/>
          </w:tblBorders>
          <w:tblCellMar>
            <w:top w:w="0" w:type="dxa"/>
            <w:left w:w="108" w:type="dxa"/>
            <w:bottom w:w="0" w:type="dxa"/>
            <w:right w:w="108" w:type="dxa"/>
          </w:tblCellMar>
        </w:tblPrEx>
        <w:trPr>
          <w:trHeight w:val="14070" w:hRule="atLeast"/>
        </w:trPr>
        <w:tc>
          <w:tcPr>
            <w:tcW w:w="9525" w:type="dxa"/>
          </w:tcPr>
          <w:p w14:paraId="1C0E43B3">
            <w:pPr>
              <w:overflowPunct w:val="0"/>
              <w:autoSpaceDE w:val="0"/>
              <w:autoSpaceDN w:val="0"/>
              <w:spacing w:line="500" w:lineRule="atLeast"/>
              <w:jc w:val="center"/>
              <w:textAlignment w:val="bottom"/>
              <w:rPr>
                <w:color w:val="auto"/>
                <w:spacing w:val="120"/>
                <w:sz w:val="72"/>
                <w:szCs w:val="72"/>
                <w:highlight w:val="none"/>
              </w:rPr>
            </w:pPr>
          </w:p>
          <w:p w14:paraId="7408CE2E">
            <w:pPr>
              <w:overflowPunct w:val="0"/>
              <w:autoSpaceDE w:val="0"/>
              <w:autoSpaceDN w:val="0"/>
              <w:spacing w:line="500" w:lineRule="atLeast"/>
              <w:jc w:val="center"/>
              <w:textAlignment w:val="bottom"/>
              <w:rPr>
                <w:b/>
                <w:bCs/>
                <w:color w:val="auto"/>
                <w:sz w:val="72"/>
                <w:szCs w:val="72"/>
                <w:highlight w:val="none"/>
              </w:rPr>
            </w:pPr>
            <w:r>
              <w:rPr>
                <w:b/>
                <w:bCs/>
                <w:color w:val="auto"/>
                <w:spacing w:val="120"/>
                <w:sz w:val="72"/>
                <w:szCs w:val="72"/>
                <w:highlight w:val="none"/>
              </w:rPr>
              <w:t>温州市国企采购</w:t>
            </w:r>
          </w:p>
          <w:p w14:paraId="3F8A9C63">
            <w:pPr>
              <w:overflowPunct w:val="0"/>
              <w:spacing w:line="400" w:lineRule="atLeast"/>
              <w:rPr>
                <w:b/>
                <w:bCs/>
                <w:color w:val="auto"/>
                <w:sz w:val="52"/>
                <w:highlight w:val="none"/>
              </w:rPr>
            </w:pPr>
          </w:p>
          <w:p w14:paraId="7C38961D">
            <w:pPr>
              <w:overflowPunct w:val="0"/>
              <w:autoSpaceDE w:val="0"/>
              <w:autoSpaceDN w:val="0"/>
              <w:spacing w:line="500" w:lineRule="atLeast"/>
              <w:jc w:val="center"/>
              <w:textAlignment w:val="bottom"/>
              <w:rPr>
                <w:b/>
                <w:bCs/>
                <w:color w:val="auto"/>
                <w:sz w:val="72"/>
                <w:szCs w:val="72"/>
                <w:highlight w:val="none"/>
              </w:rPr>
            </w:pPr>
            <w:r>
              <w:rPr>
                <w:b/>
                <w:bCs/>
                <w:color w:val="auto"/>
                <w:sz w:val="72"/>
                <w:szCs w:val="72"/>
                <w:highlight w:val="none"/>
              </w:rPr>
              <w:t>采 购 文 件</w:t>
            </w:r>
          </w:p>
          <w:p w14:paraId="72721357">
            <w:pPr>
              <w:overflowPunct w:val="0"/>
              <w:spacing w:line="400" w:lineRule="atLeast"/>
              <w:jc w:val="center"/>
              <w:rPr>
                <w:b/>
                <w:color w:val="auto"/>
                <w:sz w:val="32"/>
                <w:highlight w:val="none"/>
              </w:rPr>
            </w:pPr>
          </w:p>
          <w:p w14:paraId="5EC7606D">
            <w:pPr>
              <w:overflowPunct w:val="0"/>
              <w:spacing w:line="400" w:lineRule="exact"/>
              <w:jc w:val="center"/>
              <w:rPr>
                <w:b/>
                <w:bCs/>
                <w:color w:val="auto"/>
                <w:sz w:val="32"/>
                <w:szCs w:val="32"/>
                <w:highlight w:val="none"/>
              </w:rPr>
            </w:pPr>
          </w:p>
          <w:p w14:paraId="7D06C46C">
            <w:pPr>
              <w:overflowPunct w:val="0"/>
              <w:jc w:val="center"/>
              <w:rPr>
                <w:b/>
                <w:bCs/>
                <w:color w:val="auto"/>
                <w:sz w:val="32"/>
                <w:szCs w:val="32"/>
                <w:highlight w:val="none"/>
              </w:rPr>
            </w:pPr>
            <w:r>
              <w:rPr>
                <w:b/>
                <w:color w:val="auto"/>
                <w:sz w:val="52"/>
                <w:highlight w:val="none"/>
              </w:rPr>
              <w:drawing>
                <wp:inline distT="0" distB="0" distL="114300" distR="114300">
                  <wp:extent cx="4042410" cy="1932940"/>
                  <wp:effectExtent l="0" t="0" r="8890" b="10160"/>
                  <wp:docPr id="1" name="图片 2" descr="1697790842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1697790842306"/>
                          <pic:cNvPicPr>
                            <a:picLocks noChangeAspect="1"/>
                          </pic:cNvPicPr>
                        </pic:nvPicPr>
                        <pic:blipFill>
                          <a:blip r:embed="rId13"/>
                          <a:stretch>
                            <a:fillRect/>
                          </a:stretch>
                        </pic:blipFill>
                        <pic:spPr>
                          <a:xfrm>
                            <a:off x="0" y="0"/>
                            <a:ext cx="4042410" cy="1932940"/>
                          </a:xfrm>
                          <a:prstGeom prst="rect">
                            <a:avLst/>
                          </a:prstGeom>
                          <a:noFill/>
                          <a:ln>
                            <a:noFill/>
                          </a:ln>
                        </pic:spPr>
                      </pic:pic>
                    </a:graphicData>
                  </a:graphic>
                </wp:inline>
              </w:drawing>
            </w:r>
          </w:p>
          <w:p w14:paraId="144052AA">
            <w:pPr>
              <w:tabs>
                <w:tab w:val="left" w:pos="4860"/>
              </w:tabs>
              <w:overflowPunct w:val="0"/>
              <w:spacing w:line="600" w:lineRule="exact"/>
              <w:ind w:right="1143"/>
              <w:jc w:val="left"/>
              <w:rPr>
                <w:b/>
                <w:color w:val="auto"/>
                <w:spacing w:val="40"/>
                <w:sz w:val="30"/>
                <w:szCs w:val="30"/>
                <w:highlight w:val="none"/>
              </w:rPr>
            </w:pPr>
          </w:p>
          <w:tbl>
            <w:tblPr>
              <w:tblStyle w:val="29"/>
              <w:tblW w:w="6090" w:type="dxa"/>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1983"/>
              <w:gridCol w:w="4107"/>
            </w:tblGrid>
            <w:tr w14:paraId="637C756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792" w:hRule="atLeast"/>
                <w:jc w:val="center"/>
              </w:trPr>
              <w:tc>
                <w:tcPr>
                  <w:tcW w:w="1983" w:type="dxa"/>
                  <w:vAlign w:val="center"/>
                </w:tcPr>
                <w:p w14:paraId="2650BE85">
                  <w:pPr>
                    <w:tabs>
                      <w:tab w:val="left" w:pos="4860"/>
                    </w:tabs>
                    <w:overflowPunct w:val="0"/>
                    <w:ind w:right="19"/>
                    <w:rPr>
                      <w:bCs/>
                      <w:color w:val="auto"/>
                      <w:spacing w:val="40"/>
                      <w:sz w:val="30"/>
                      <w:szCs w:val="30"/>
                      <w:highlight w:val="none"/>
                    </w:rPr>
                  </w:pPr>
                  <w:r>
                    <w:rPr>
                      <w:bCs/>
                      <w:color w:val="auto"/>
                      <w:spacing w:val="40"/>
                      <w:sz w:val="30"/>
                      <w:szCs w:val="30"/>
                      <w:highlight w:val="none"/>
                    </w:rPr>
                    <w:t>采购编号：</w:t>
                  </w:r>
                </w:p>
              </w:tc>
              <w:tc>
                <w:tcPr>
                  <w:tcW w:w="4107" w:type="dxa"/>
                  <w:vAlign w:val="center"/>
                </w:tcPr>
                <w:p w14:paraId="3631F248">
                  <w:pPr>
                    <w:tabs>
                      <w:tab w:val="left" w:pos="4860"/>
                    </w:tabs>
                    <w:overflowPunct w:val="0"/>
                    <w:ind w:right="-85"/>
                    <w:rPr>
                      <w:bCs/>
                      <w:color w:val="auto"/>
                      <w:spacing w:val="40"/>
                      <w:sz w:val="30"/>
                      <w:szCs w:val="30"/>
                      <w:highlight w:val="none"/>
                    </w:rPr>
                  </w:pPr>
                  <w:r>
                    <w:rPr>
                      <w:rFonts w:ascii="微软雅黑" w:hAnsi="微软雅黑" w:eastAsia="微软雅黑" w:cs="微软雅黑"/>
                      <w:i w:val="0"/>
                      <w:iCs w:val="0"/>
                      <w:caps w:val="0"/>
                      <w:color w:val="333333"/>
                      <w:spacing w:val="0"/>
                      <w:sz w:val="21"/>
                      <w:szCs w:val="21"/>
                      <w:shd w:val="clear" w:fill="FFFFFF"/>
                    </w:rPr>
                    <w:t>WGSS-GYNY-Z-2025020</w:t>
                  </w:r>
                </w:p>
              </w:tc>
            </w:tr>
            <w:tr w14:paraId="2237281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730" w:hRule="atLeast"/>
                <w:jc w:val="center"/>
              </w:trPr>
              <w:tc>
                <w:tcPr>
                  <w:tcW w:w="1983" w:type="dxa"/>
                  <w:vAlign w:val="center"/>
                </w:tcPr>
                <w:p w14:paraId="4E35B712">
                  <w:pPr>
                    <w:tabs>
                      <w:tab w:val="left" w:pos="4860"/>
                    </w:tabs>
                    <w:overflowPunct w:val="0"/>
                    <w:ind w:right="-85"/>
                    <w:rPr>
                      <w:bCs/>
                      <w:color w:val="auto"/>
                      <w:spacing w:val="40"/>
                      <w:sz w:val="30"/>
                      <w:szCs w:val="30"/>
                      <w:highlight w:val="none"/>
                    </w:rPr>
                  </w:pPr>
                  <w:r>
                    <w:rPr>
                      <w:bCs/>
                      <w:color w:val="auto"/>
                      <w:spacing w:val="40"/>
                      <w:sz w:val="30"/>
                      <w:szCs w:val="30"/>
                      <w:highlight w:val="none"/>
                    </w:rPr>
                    <w:t>采购项目：</w:t>
                  </w:r>
                </w:p>
              </w:tc>
              <w:tc>
                <w:tcPr>
                  <w:tcW w:w="4107" w:type="dxa"/>
                  <w:vAlign w:val="center"/>
                </w:tcPr>
                <w:p w14:paraId="3783E423">
                  <w:pPr>
                    <w:tabs>
                      <w:tab w:val="left" w:pos="4860"/>
                    </w:tabs>
                    <w:overflowPunct w:val="0"/>
                    <w:ind w:right="-85"/>
                    <w:rPr>
                      <w:rFonts w:hint="eastAsia" w:eastAsia="宋体"/>
                      <w:bCs/>
                      <w:color w:val="auto"/>
                      <w:spacing w:val="40"/>
                      <w:sz w:val="30"/>
                      <w:szCs w:val="30"/>
                      <w:highlight w:val="none"/>
                      <w:lang w:eastAsia="zh-CN"/>
                    </w:rPr>
                  </w:pPr>
                  <w:r>
                    <w:rPr>
                      <w:rFonts w:hint="eastAsia"/>
                      <w:bCs/>
                      <w:color w:val="auto"/>
                      <w:spacing w:val="40"/>
                      <w:sz w:val="30"/>
                      <w:szCs w:val="30"/>
                      <w:highlight w:val="none"/>
                      <w:lang w:eastAsia="zh-CN"/>
                    </w:rPr>
                    <w:t>温州城市数据空间项目监理服务</w:t>
                  </w:r>
                </w:p>
              </w:tc>
            </w:tr>
            <w:tr w14:paraId="7C49CB0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36" w:hRule="atLeast"/>
                <w:jc w:val="center"/>
              </w:trPr>
              <w:tc>
                <w:tcPr>
                  <w:tcW w:w="1983" w:type="dxa"/>
                  <w:vAlign w:val="center"/>
                </w:tcPr>
                <w:p w14:paraId="6FCF7926">
                  <w:pPr>
                    <w:tabs>
                      <w:tab w:val="left" w:pos="4860"/>
                    </w:tabs>
                    <w:overflowPunct w:val="0"/>
                    <w:ind w:right="-85"/>
                    <w:rPr>
                      <w:bCs/>
                      <w:color w:val="auto"/>
                      <w:spacing w:val="40"/>
                      <w:sz w:val="30"/>
                      <w:szCs w:val="30"/>
                      <w:highlight w:val="none"/>
                    </w:rPr>
                  </w:pPr>
                  <w:r>
                    <w:rPr>
                      <w:bCs/>
                      <w:color w:val="auto"/>
                      <w:spacing w:val="40"/>
                      <w:sz w:val="30"/>
                      <w:szCs w:val="30"/>
                      <w:highlight w:val="none"/>
                    </w:rPr>
                    <w:t>采购方式：</w:t>
                  </w:r>
                </w:p>
              </w:tc>
              <w:tc>
                <w:tcPr>
                  <w:tcW w:w="4107" w:type="dxa"/>
                  <w:vAlign w:val="center"/>
                </w:tcPr>
                <w:p w14:paraId="664EEA22">
                  <w:pPr>
                    <w:tabs>
                      <w:tab w:val="left" w:pos="4860"/>
                    </w:tabs>
                    <w:overflowPunct w:val="0"/>
                    <w:ind w:right="17"/>
                    <w:rPr>
                      <w:bCs/>
                      <w:color w:val="auto"/>
                      <w:spacing w:val="40"/>
                      <w:sz w:val="30"/>
                      <w:szCs w:val="30"/>
                      <w:highlight w:val="none"/>
                    </w:rPr>
                  </w:pPr>
                  <w:r>
                    <w:rPr>
                      <w:bCs/>
                      <w:color w:val="auto"/>
                      <w:spacing w:val="40"/>
                      <w:sz w:val="30"/>
                      <w:szCs w:val="30"/>
                      <w:highlight w:val="none"/>
                    </w:rPr>
                    <w:t>公开招标</w:t>
                  </w:r>
                </w:p>
              </w:tc>
            </w:tr>
          </w:tbl>
          <w:p w14:paraId="71F828A6">
            <w:pPr>
              <w:tabs>
                <w:tab w:val="left" w:pos="4860"/>
              </w:tabs>
              <w:overflowPunct w:val="0"/>
              <w:spacing w:line="600" w:lineRule="exact"/>
              <w:ind w:right="1143" w:firstLine="1706" w:firstLineChars="449"/>
              <w:jc w:val="left"/>
              <w:rPr>
                <w:bCs/>
                <w:color w:val="auto"/>
                <w:spacing w:val="40"/>
                <w:sz w:val="30"/>
                <w:szCs w:val="30"/>
                <w:highlight w:val="none"/>
              </w:rPr>
            </w:pPr>
          </w:p>
          <w:p w14:paraId="44851F92">
            <w:pPr>
              <w:overflowPunct w:val="0"/>
              <w:jc w:val="center"/>
              <w:rPr>
                <w:bCs/>
                <w:color w:val="auto"/>
                <w:sz w:val="24"/>
                <w:highlight w:val="none"/>
              </w:rPr>
            </w:pPr>
          </w:p>
          <w:p w14:paraId="18C9DE3A">
            <w:pPr>
              <w:overflowPunct w:val="0"/>
              <w:spacing w:line="600" w:lineRule="exact"/>
              <w:ind w:firstLine="1428" w:firstLineChars="476"/>
              <w:rPr>
                <w:rFonts w:hint="eastAsia" w:eastAsia="宋体"/>
                <w:bCs/>
                <w:color w:val="auto"/>
                <w:sz w:val="30"/>
                <w:szCs w:val="30"/>
                <w:highlight w:val="none"/>
                <w:lang w:eastAsia="zh-CN"/>
              </w:rPr>
            </w:pPr>
            <w:r>
              <w:rPr>
                <w:rFonts w:hint="eastAsia"/>
                <w:bCs/>
                <w:color w:val="auto"/>
                <w:sz w:val="30"/>
                <w:szCs w:val="30"/>
                <w:highlight w:val="none"/>
              </w:rPr>
              <w:t>采</w:t>
            </w:r>
            <w:r>
              <w:rPr>
                <w:bCs/>
                <w:color w:val="auto"/>
                <w:sz w:val="30"/>
                <w:szCs w:val="30"/>
                <w:highlight w:val="none"/>
              </w:rPr>
              <w:t xml:space="preserve">  </w:t>
            </w:r>
            <w:r>
              <w:rPr>
                <w:rFonts w:hint="eastAsia"/>
                <w:bCs/>
                <w:color w:val="auto"/>
                <w:sz w:val="30"/>
                <w:szCs w:val="30"/>
                <w:highlight w:val="none"/>
              </w:rPr>
              <w:t>购</w:t>
            </w:r>
            <w:r>
              <w:rPr>
                <w:bCs/>
                <w:color w:val="auto"/>
                <w:sz w:val="30"/>
                <w:szCs w:val="30"/>
                <w:highlight w:val="none"/>
              </w:rPr>
              <w:t xml:space="preserve">  </w:t>
            </w:r>
            <w:r>
              <w:rPr>
                <w:rFonts w:hint="eastAsia"/>
                <w:bCs/>
                <w:color w:val="auto"/>
                <w:sz w:val="30"/>
                <w:szCs w:val="30"/>
                <w:highlight w:val="none"/>
              </w:rPr>
              <w:t>人：</w:t>
            </w:r>
            <w:r>
              <w:rPr>
                <w:rFonts w:hint="eastAsia"/>
                <w:bCs/>
                <w:color w:val="auto"/>
                <w:spacing w:val="12"/>
                <w:sz w:val="30"/>
                <w:szCs w:val="30"/>
                <w:highlight w:val="none"/>
                <w:lang w:eastAsia="zh-CN"/>
              </w:rPr>
              <w:t>温州市数据集团有限公司</w:t>
            </w:r>
          </w:p>
          <w:p w14:paraId="2532E983">
            <w:pPr>
              <w:overflowPunct w:val="0"/>
              <w:spacing w:line="600" w:lineRule="exact"/>
              <w:ind w:firstLine="1432" w:firstLineChars="377"/>
              <w:rPr>
                <w:bCs/>
                <w:color w:val="auto"/>
                <w:spacing w:val="40"/>
                <w:sz w:val="30"/>
                <w:szCs w:val="30"/>
                <w:highlight w:val="none"/>
              </w:rPr>
            </w:pPr>
            <w:r>
              <w:rPr>
                <w:bCs/>
                <w:color w:val="auto"/>
                <w:spacing w:val="40"/>
                <w:sz w:val="30"/>
                <w:szCs w:val="30"/>
                <w:highlight w:val="none"/>
              </w:rPr>
              <w:t>招标代理</w:t>
            </w:r>
            <w:r>
              <w:rPr>
                <w:bCs/>
                <w:color w:val="auto"/>
                <w:sz w:val="30"/>
                <w:szCs w:val="30"/>
                <w:highlight w:val="none"/>
              </w:rPr>
              <w:t>：</w:t>
            </w:r>
            <w:r>
              <w:rPr>
                <w:bCs/>
                <w:color w:val="auto"/>
                <w:spacing w:val="12"/>
                <w:sz w:val="30"/>
                <w:szCs w:val="30"/>
                <w:highlight w:val="none"/>
              </w:rPr>
              <w:t>浙江工汇项目管理有限公司</w:t>
            </w:r>
          </w:p>
          <w:p w14:paraId="62BF3178">
            <w:pPr>
              <w:overflowPunct w:val="0"/>
              <w:spacing w:line="600" w:lineRule="exact"/>
              <w:jc w:val="center"/>
              <w:rPr>
                <w:b/>
                <w:bCs/>
                <w:color w:val="auto"/>
                <w:spacing w:val="120"/>
                <w:sz w:val="72"/>
                <w:szCs w:val="72"/>
                <w:highlight w:val="none"/>
              </w:rPr>
            </w:pPr>
            <w:r>
              <w:rPr>
                <w:bCs/>
                <w:color w:val="auto"/>
                <w:spacing w:val="40"/>
                <w:sz w:val="30"/>
                <w:szCs w:val="30"/>
                <w:highlight w:val="none"/>
              </w:rPr>
              <w:t>二〇二五年</w:t>
            </w:r>
            <w:r>
              <w:rPr>
                <w:rFonts w:hint="eastAsia"/>
                <w:bCs/>
                <w:color w:val="auto"/>
                <w:spacing w:val="40"/>
                <w:sz w:val="30"/>
                <w:szCs w:val="30"/>
                <w:highlight w:val="none"/>
                <w:lang w:val="en-US" w:eastAsia="zh-CN"/>
              </w:rPr>
              <w:t>十</w:t>
            </w:r>
            <w:r>
              <w:rPr>
                <w:bCs/>
                <w:color w:val="auto"/>
                <w:spacing w:val="40"/>
                <w:sz w:val="30"/>
                <w:szCs w:val="30"/>
                <w:highlight w:val="none"/>
              </w:rPr>
              <w:t>月</w:t>
            </w:r>
          </w:p>
        </w:tc>
      </w:tr>
    </w:tbl>
    <w:p w14:paraId="6E9F8F07">
      <w:pPr>
        <w:spacing w:line="360" w:lineRule="auto"/>
        <w:jc w:val="center"/>
        <w:rPr>
          <w:color w:val="auto"/>
          <w:sz w:val="30"/>
          <w:szCs w:val="30"/>
          <w:highlight w:val="none"/>
        </w:rPr>
        <w:sectPr>
          <w:footerReference r:id="rId3" w:type="default"/>
          <w:pgSz w:w="11906" w:h="16838"/>
          <w:pgMar w:top="1134" w:right="1134" w:bottom="1134" w:left="1134" w:header="851" w:footer="851" w:gutter="0"/>
          <w:pgBorders>
            <w:top w:val="none" w:sz="0" w:space="0"/>
            <w:left w:val="none" w:sz="0" w:space="0"/>
            <w:bottom w:val="none" w:sz="0" w:space="0"/>
            <w:right w:val="none" w:sz="0" w:space="0"/>
          </w:pgBorders>
          <w:cols w:space="720" w:num="1"/>
          <w:docGrid w:linePitch="312" w:charSpace="0"/>
        </w:sectPr>
      </w:pPr>
    </w:p>
    <w:p w14:paraId="6EC2CCEB">
      <w:pPr>
        <w:spacing w:line="360" w:lineRule="auto"/>
        <w:jc w:val="center"/>
        <w:rPr>
          <w:b/>
          <w:bCs/>
          <w:color w:val="auto"/>
          <w:sz w:val="24"/>
          <w:highlight w:val="none"/>
        </w:rPr>
      </w:pPr>
      <w:r>
        <w:rPr>
          <w:color w:val="auto"/>
          <w:sz w:val="30"/>
          <w:szCs w:val="30"/>
          <w:highlight w:val="none"/>
        </w:rPr>
        <w:t xml:space="preserve">  </w:t>
      </w:r>
      <w:r>
        <w:rPr>
          <w:b/>
          <w:bCs/>
          <w:color w:val="auto"/>
          <w:sz w:val="32"/>
          <w:szCs w:val="32"/>
          <w:highlight w:val="none"/>
        </w:rPr>
        <w:t>目    录</w:t>
      </w:r>
    </w:p>
    <w:p w14:paraId="2060C599">
      <w:pPr>
        <w:pStyle w:val="18"/>
        <w:tabs>
          <w:tab w:val="right" w:leader="dot" w:pos="9638"/>
          <w:tab w:val="clear" w:pos="9628"/>
        </w:tabs>
        <w:rPr>
          <w:rFonts w:ascii="Times New Roman" w:hAnsi="Times New Roman" w:eastAsia="宋体" w:cs="Times New Roman"/>
          <w:color w:val="auto"/>
          <w:highlight w:val="none"/>
        </w:rPr>
      </w:pPr>
      <w:r>
        <w:rPr>
          <w:rFonts w:ascii="Times New Roman" w:hAnsi="Times New Roman" w:eastAsia="宋体" w:cs="Times New Roman"/>
          <w:b/>
          <w:bCs w:val="0"/>
          <w:color w:val="auto"/>
          <w:sz w:val="22"/>
          <w:szCs w:val="22"/>
          <w:highlight w:val="none"/>
        </w:rPr>
        <w:fldChar w:fldCharType="begin"/>
      </w:r>
      <w:r>
        <w:rPr>
          <w:rFonts w:ascii="Times New Roman" w:hAnsi="Times New Roman" w:eastAsia="宋体" w:cs="Times New Roman"/>
          <w:b/>
          <w:bCs w:val="0"/>
          <w:color w:val="auto"/>
          <w:sz w:val="22"/>
          <w:szCs w:val="22"/>
          <w:highlight w:val="none"/>
        </w:rPr>
        <w:instrText xml:space="preserve"> TOC \o "1-3" \h \z \u </w:instrText>
      </w:r>
      <w:r>
        <w:rPr>
          <w:rFonts w:ascii="Times New Roman" w:hAnsi="Times New Roman" w:eastAsia="宋体" w:cs="Times New Roman"/>
          <w:b/>
          <w:bCs w:val="0"/>
          <w:color w:val="auto"/>
          <w:sz w:val="22"/>
          <w:szCs w:val="22"/>
          <w:highlight w:val="none"/>
        </w:rPr>
        <w:fldChar w:fldCharType="separate"/>
      </w:r>
      <w:r>
        <w:rPr>
          <w:rFonts w:hint="eastAsia" w:ascii="Times New Roman" w:hAnsi="Times New Roman" w:eastAsia="宋体" w:cs="Times New Roman"/>
          <w:bCs w:val="0"/>
          <w:color w:val="auto"/>
          <w:highlight w:val="none"/>
          <w:lang w:eastAsia="zh-CN"/>
        </w:rPr>
        <w:t>温州市工业与能源集团</w:t>
      </w:r>
      <w:r>
        <w:rPr>
          <w:rFonts w:ascii="Times New Roman" w:hAnsi="Times New Roman" w:eastAsia="宋体" w:cs="Times New Roman"/>
          <w:bCs w:val="0"/>
          <w:color w:val="auto"/>
          <w:highlight w:val="none"/>
        </w:rPr>
        <w:t>所属</w:t>
      </w:r>
      <w:r>
        <w:rPr>
          <w:color w:val="auto"/>
          <w:highlight w:val="none"/>
        </w:rPr>
        <w:fldChar w:fldCharType="begin"/>
      </w:r>
      <w:r>
        <w:rPr>
          <w:color w:val="auto"/>
          <w:highlight w:val="none"/>
        </w:rPr>
        <w:instrText xml:space="preserve">HYPERLINK \l "_Toc27388"</w:instrText>
      </w:r>
      <w:r>
        <w:rPr>
          <w:color w:val="auto"/>
          <w:highlight w:val="none"/>
        </w:rPr>
        <w:fldChar w:fldCharType="separate"/>
      </w:r>
      <w:r>
        <w:rPr>
          <w:rFonts w:hint="eastAsia" w:ascii="Times New Roman" w:hAnsi="Times New Roman" w:eastAsia="宋体" w:cs="Times New Roman"/>
          <w:bCs w:val="0"/>
          <w:color w:val="auto"/>
          <w:highlight w:val="none"/>
          <w:lang w:eastAsia="zh-CN"/>
        </w:rPr>
        <w:t>温州市数据集团有限公司</w:t>
      </w:r>
      <w:r>
        <w:rPr>
          <w:rFonts w:ascii="Times New Roman" w:hAnsi="Times New Roman" w:eastAsia="宋体" w:cs="Times New Roman"/>
          <w:bCs w:val="0"/>
          <w:color w:val="auto"/>
          <w:highlight w:val="none"/>
        </w:rPr>
        <w:t>关于</w:t>
      </w:r>
      <w:r>
        <w:rPr>
          <w:rFonts w:hint="eastAsia" w:ascii="Times New Roman" w:hAnsi="Times New Roman" w:eastAsia="宋体" w:cs="Times New Roman"/>
          <w:bCs w:val="0"/>
          <w:color w:val="auto"/>
          <w:highlight w:val="none"/>
          <w:lang w:eastAsia="zh-CN"/>
        </w:rPr>
        <w:t>温州城市数据空间项目监理服务（自主）</w:t>
      </w:r>
      <w:r>
        <w:rPr>
          <w:rFonts w:ascii="Times New Roman" w:hAnsi="Times New Roman" w:eastAsia="宋体" w:cs="Times New Roman"/>
          <w:bCs w:val="0"/>
          <w:color w:val="auto"/>
          <w:highlight w:val="none"/>
        </w:rPr>
        <w:t>的采购公告</w:t>
      </w:r>
      <w:r>
        <w:rPr>
          <w:rFonts w:ascii="Times New Roman" w:hAnsi="Times New Roman" w:eastAsia="宋体" w:cs="Times New Roman"/>
          <w:color w:val="auto"/>
          <w:highlight w:val="none"/>
        </w:rPr>
        <w:tab/>
      </w:r>
      <w:r>
        <w:rPr>
          <w:rFonts w:ascii="Times New Roman" w:hAnsi="Times New Roman" w:eastAsia="宋体" w:cs="Times New Roman"/>
          <w:color w:val="auto"/>
          <w:highlight w:val="none"/>
        </w:rPr>
        <w:fldChar w:fldCharType="begin"/>
      </w:r>
      <w:r>
        <w:rPr>
          <w:rFonts w:ascii="Times New Roman" w:hAnsi="Times New Roman" w:eastAsia="宋体" w:cs="Times New Roman"/>
          <w:color w:val="auto"/>
          <w:highlight w:val="none"/>
        </w:rPr>
        <w:instrText xml:space="preserve"> PAGEREF _Toc27388 </w:instrText>
      </w:r>
      <w:r>
        <w:rPr>
          <w:rFonts w:ascii="Times New Roman" w:hAnsi="Times New Roman" w:eastAsia="宋体" w:cs="Times New Roman"/>
          <w:color w:val="auto"/>
          <w:highlight w:val="none"/>
        </w:rPr>
        <w:fldChar w:fldCharType="separate"/>
      </w:r>
      <w:r>
        <w:rPr>
          <w:rFonts w:ascii="Times New Roman" w:hAnsi="Times New Roman" w:eastAsia="宋体" w:cs="Times New Roman"/>
          <w:color w:val="auto"/>
          <w:highlight w:val="none"/>
        </w:rPr>
        <w:t>2</w:t>
      </w:r>
      <w:r>
        <w:rPr>
          <w:rFonts w:ascii="Times New Roman" w:hAnsi="Times New Roman" w:eastAsia="宋体" w:cs="Times New Roman"/>
          <w:color w:val="auto"/>
          <w:highlight w:val="none"/>
        </w:rPr>
        <w:fldChar w:fldCharType="end"/>
      </w:r>
      <w:r>
        <w:rPr>
          <w:color w:val="auto"/>
          <w:highlight w:val="none"/>
        </w:rPr>
        <w:fldChar w:fldCharType="end"/>
      </w:r>
    </w:p>
    <w:p w14:paraId="55B633CC">
      <w:pPr>
        <w:pStyle w:val="18"/>
        <w:tabs>
          <w:tab w:val="right" w:leader="dot" w:pos="9638"/>
          <w:tab w:val="clear" w:pos="9628"/>
        </w:tabs>
        <w:rPr>
          <w:rFonts w:ascii="Times New Roman" w:hAnsi="Times New Roman" w:eastAsia="宋体" w:cs="Times New Roman"/>
          <w:color w:val="auto"/>
          <w:highlight w:val="none"/>
        </w:rPr>
      </w:pPr>
      <w:r>
        <w:rPr>
          <w:rFonts w:hint="eastAsia" w:ascii="Times New Roman" w:hAnsi="Times New Roman" w:eastAsia="宋体" w:cs="Times New Roman"/>
          <w:bCs w:val="0"/>
          <w:color w:val="auto"/>
          <w:highlight w:val="none"/>
          <w:lang w:eastAsia="zh-CN"/>
        </w:rPr>
        <w:t>温州市工业与能源集团</w:t>
      </w:r>
      <w:r>
        <w:rPr>
          <w:rFonts w:ascii="Times New Roman" w:hAnsi="Times New Roman" w:eastAsia="宋体" w:cs="Times New Roman"/>
          <w:color w:val="auto"/>
          <w:highlight w:val="none"/>
        </w:rPr>
        <w:t>所属</w:t>
      </w:r>
      <w:r>
        <w:rPr>
          <w:color w:val="auto"/>
          <w:highlight w:val="none"/>
        </w:rPr>
        <w:fldChar w:fldCharType="begin"/>
      </w:r>
      <w:r>
        <w:rPr>
          <w:color w:val="auto"/>
          <w:highlight w:val="none"/>
        </w:rPr>
        <w:instrText xml:space="preserve"> HYPERLINK \l "_Toc12686" </w:instrText>
      </w:r>
      <w:r>
        <w:rPr>
          <w:color w:val="auto"/>
          <w:highlight w:val="none"/>
        </w:rPr>
        <w:fldChar w:fldCharType="separate"/>
      </w:r>
      <w:r>
        <w:rPr>
          <w:rFonts w:hint="eastAsia" w:ascii="Times New Roman" w:hAnsi="Times New Roman" w:eastAsia="宋体" w:cs="Times New Roman"/>
          <w:bCs w:val="0"/>
          <w:color w:val="auto"/>
          <w:highlight w:val="none"/>
          <w:lang w:eastAsia="zh-CN"/>
        </w:rPr>
        <w:t>温州市数据集团有限公司</w:t>
      </w:r>
      <w:r>
        <w:rPr>
          <w:rFonts w:ascii="Times New Roman" w:hAnsi="Times New Roman" w:eastAsia="宋体" w:cs="Times New Roman"/>
          <w:bCs w:val="0"/>
          <w:color w:val="auto"/>
          <w:highlight w:val="none"/>
        </w:rPr>
        <w:t>关于</w:t>
      </w:r>
      <w:r>
        <w:rPr>
          <w:rFonts w:hint="eastAsia" w:ascii="Times New Roman" w:hAnsi="Times New Roman" w:eastAsia="宋体" w:cs="Times New Roman"/>
          <w:bCs w:val="0"/>
          <w:color w:val="auto"/>
          <w:highlight w:val="none"/>
          <w:lang w:eastAsia="zh-CN"/>
        </w:rPr>
        <w:t>温州城市数据空间项目监理服务（自主）</w:t>
      </w:r>
      <w:r>
        <w:rPr>
          <w:rFonts w:ascii="Times New Roman" w:hAnsi="Times New Roman" w:eastAsia="宋体" w:cs="Times New Roman"/>
          <w:bCs w:val="0"/>
          <w:color w:val="auto"/>
          <w:highlight w:val="none"/>
        </w:rPr>
        <w:t>的</w:t>
      </w:r>
      <w:r>
        <w:rPr>
          <w:rFonts w:ascii="Times New Roman" w:hAnsi="Times New Roman" w:eastAsia="宋体" w:cs="Times New Roman"/>
          <w:color w:val="auto"/>
          <w:highlight w:val="none"/>
        </w:rPr>
        <w:t>征求意见公示</w:t>
      </w:r>
      <w:r>
        <w:rPr>
          <w:rFonts w:ascii="Times New Roman" w:hAnsi="Times New Roman" w:eastAsia="宋体" w:cs="Times New Roman"/>
          <w:color w:val="auto"/>
          <w:highlight w:val="none"/>
        </w:rPr>
        <w:tab/>
      </w:r>
      <w:r>
        <w:rPr>
          <w:rFonts w:ascii="Times New Roman" w:hAnsi="Times New Roman" w:eastAsia="宋体" w:cs="Times New Roman"/>
          <w:color w:val="auto"/>
          <w:highlight w:val="none"/>
        </w:rPr>
        <w:fldChar w:fldCharType="begin"/>
      </w:r>
      <w:r>
        <w:rPr>
          <w:rFonts w:ascii="Times New Roman" w:hAnsi="Times New Roman" w:eastAsia="宋体" w:cs="Times New Roman"/>
          <w:color w:val="auto"/>
          <w:highlight w:val="none"/>
        </w:rPr>
        <w:instrText xml:space="preserve"> PAGEREF _Toc12686 </w:instrText>
      </w:r>
      <w:r>
        <w:rPr>
          <w:rFonts w:ascii="Times New Roman" w:hAnsi="Times New Roman" w:eastAsia="宋体" w:cs="Times New Roman"/>
          <w:color w:val="auto"/>
          <w:highlight w:val="none"/>
        </w:rPr>
        <w:fldChar w:fldCharType="separate"/>
      </w:r>
      <w:r>
        <w:rPr>
          <w:rFonts w:ascii="Times New Roman" w:hAnsi="Times New Roman" w:eastAsia="宋体" w:cs="Times New Roman"/>
          <w:color w:val="auto"/>
          <w:highlight w:val="none"/>
        </w:rPr>
        <w:t>5</w:t>
      </w:r>
      <w:r>
        <w:rPr>
          <w:rFonts w:ascii="Times New Roman" w:hAnsi="Times New Roman" w:eastAsia="宋体" w:cs="Times New Roman"/>
          <w:color w:val="auto"/>
          <w:highlight w:val="none"/>
        </w:rPr>
        <w:fldChar w:fldCharType="end"/>
      </w:r>
      <w:r>
        <w:rPr>
          <w:rFonts w:ascii="Times New Roman" w:hAnsi="Times New Roman" w:eastAsia="宋体" w:cs="Times New Roman"/>
          <w:color w:val="auto"/>
          <w:highlight w:val="none"/>
        </w:rPr>
        <w:fldChar w:fldCharType="end"/>
      </w:r>
    </w:p>
    <w:p w14:paraId="3E60754B">
      <w:pPr>
        <w:pStyle w:val="18"/>
        <w:tabs>
          <w:tab w:val="right" w:leader="dot" w:pos="9638"/>
          <w:tab w:val="clear" w:pos="9628"/>
        </w:tabs>
        <w:rPr>
          <w:rFonts w:ascii="Times New Roman" w:hAnsi="Times New Roman" w:eastAsia="宋体" w:cs="Times New Roman"/>
          <w:color w:val="auto"/>
          <w:highlight w:val="none"/>
        </w:rPr>
      </w:pPr>
      <w:r>
        <w:rPr>
          <w:color w:val="auto"/>
          <w:highlight w:val="none"/>
        </w:rPr>
        <w:fldChar w:fldCharType="begin"/>
      </w:r>
      <w:r>
        <w:rPr>
          <w:color w:val="auto"/>
          <w:highlight w:val="none"/>
        </w:rPr>
        <w:instrText xml:space="preserve"> HYPERLINK \l "_Toc14296" </w:instrText>
      </w:r>
      <w:r>
        <w:rPr>
          <w:color w:val="auto"/>
          <w:highlight w:val="none"/>
        </w:rPr>
        <w:fldChar w:fldCharType="separate"/>
      </w:r>
      <w:r>
        <w:rPr>
          <w:rFonts w:ascii="Times New Roman" w:hAnsi="Times New Roman" w:eastAsia="宋体" w:cs="Times New Roman"/>
          <w:color w:val="auto"/>
          <w:highlight w:val="none"/>
        </w:rPr>
        <w:t>第一部分    投标人须知</w:t>
      </w:r>
      <w:r>
        <w:rPr>
          <w:rFonts w:ascii="Times New Roman" w:hAnsi="Times New Roman" w:eastAsia="宋体" w:cs="Times New Roman"/>
          <w:color w:val="auto"/>
          <w:highlight w:val="none"/>
        </w:rPr>
        <w:tab/>
      </w:r>
      <w:r>
        <w:rPr>
          <w:rFonts w:ascii="Times New Roman" w:hAnsi="Times New Roman" w:eastAsia="宋体" w:cs="Times New Roman"/>
          <w:color w:val="auto"/>
          <w:highlight w:val="none"/>
        </w:rPr>
        <w:fldChar w:fldCharType="begin"/>
      </w:r>
      <w:r>
        <w:rPr>
          <w:rFonts w:ascii="Times New Roman" w:hAnsi="Times New Roman" w:eastAsia="宋体" w:cs="Times New Roman"/>
          <w:color w:val="auto"/>
          <w:highlight w:val="none"/>
        </w:rPr>
        <w:instrText xml:space="preserve"> PAGEREF _Toc14296 </w:instrText>
      </w:r>
      <w:r>
        <w:rPr>
          <w:rFonts w:ascii="Times New Roman" w:hAnsi="Times New Roman" w:eastAsia="宋体" w:cs="Times New Roman"/>
          <w:color w:val="auto"/>
          <w:highlight w:val="none"/>
        </w:rPr>
        <w:fldChar w:fldCharType="separate"/>
      </w:r>
      <w:r>
        <w:rPr>
          <w:rFonts w:ascii="Times New Roman" w:hAnsi="Times New Roman" w:eastAsia="宋体" w:cs="Times New Roman"/>
          <w:color w:val="auto"/>
          <w:highlight w:val="none"/>
        </w:rPr>
        <w:t>8</w:t>
      </w:r>
      <w:r>
        <w:rPr>
          <w:rFonts w:ascii="Times New Roman" w:hAnsi="Times New Roman" w:eastAsia="宋体" w:cs="Times New Roman"/>
          <w:color w:val="auto"/>
          <w:highlight w:val="none"/>
        </w:rPr>
        <w:fldChar w:fldCharType="end"/>
      </w:r>
      <w:r>
        <w:rPr>
          <w:rFonts w:ascii="Times New Roman" w:hAnsi="Times New Roman" w:eastAsia="宋体" w:cs="Times New Roman"/>
          <w:color w:val="auto"/>
          <w:highlight w:val="none"/>
        </w:rPr>
        <w:fldChar w:fldCharType="end"/>
      </w:r>
    </w:p>
    <w:p w14:paraId="3A399310">
      <w:pPr>
        <w:pStyle w:val="22"/>
        <w:tabs>
          <w:tab w:val="right" w:leader="dot" w:pos="9638"/>
        </w:tabs>
        <w:spacing w:line="480" w:lineRule="auto"/>
        <w:rPr>
          <w:color w:val="auto"/>
          <w:sz w:val="24"/>
          <w:highlight w:val="none"/>
        </w:rPr>
      </w:pPr>
      <w:r>
        <w:rPr>
          <w:color w:val="auto"/>
          <w:highlight w:val="none"/>
        </w:rPr>
        <w:fldChar w:fldCharType="begin"/>
      </w:r>
      <w:r>
        <w:rPr>
          <w:color w:val="auto"/>
          <w:highlight w:val="none"/>
        </w:rPr>
        <w:instrText xml:space="preserve"> HYPERLINK \l "_Toc27947" </w:instrText>
      </w:r>
      <w:r>
        <w:rPr>
          <w:color w:val="auto"/>
          <w:highlight w:val="none"/>
        </w:rPr>
        <w:fldChar w:fldCharType="separate"/>
      </w:r>
      <w:r>
        <w:rPr>
          <w:bCs/>
          <w:color w:val="auto"/>
          <w:sz w:val="24"/>
          <w:highlight w:val="none"/>
        </w:rPr>
        <w:t>一、  说明</w:t>
      </w:r>
      <w:r>
        <w:rPr>
          <w:color w:val="auto"/>
          <w:sz w:val="24"/>
          <w:highlight w:val="none"/>
        </w:rPr>
        <w:tab/>
      </w:r>
      <w:r>
        <w:rPr>
          <w:color w:val="auto"/>
          <w:sz w:val="24"/>
          <w:highlight w:val="none"/>
        </w:rPr>
        <w:fldChar w:fldCharType="begin"/>
      </w:r>
      <w:r>
        <w:rPr>
          <w:color w:val="auto"/>
          <w:sz w:val="24"/>
          <w:highlight w:val="none"/>
        </w:rPr>
        <w:instrText xml:space="preserve"> PAGEREF _Toc27947 </w:instrText>
      </w:r>
      <w:r>
        <w:rPr>
          <w:color w:val="auto"/>
          <w:sz w:val="24"/>
          <w:highlight w:val="none"/>
        </w:rPr>
        <w:fldChar w:fldCharType="separate"/>
      </w:r>
      <w:r>
        <w:rPr>
          <w:color w:val="auto"/>
          <w:sz w:val="24"/>
          <w:highlight w:val="none"/>
        </w:rPr>
        <w:t>8</w:t>
      </w:r>
      <w:r>
        <w:rPr>
          <w:color w:val="auto"/>
          <w:sz w:val="24"/>
          <w:highlight w:val="none"/>
        </w:rPr>
        <w:fldChar w:fldCharType="end"/>
      </w:r>
      <w:r>
        <w:rPr>
          <w:color w:val="auto"/>
          <w:sz w:val="24"/>
          <w:highlight w:val="none"/>
        </w:rPr>
        <w:fldChar w:fldCharType="end"/>
      </w:r>
    </w:p>
    <w:p w14:paraId="486F0FDF">
      <w:pPr>
        <w:pStyle w:val="22"/>
        <w:tabs>
          <w:tab w:val="right" w:leader="dot" w:pos="9638"/>
        </w:tabs>
        <w:spacing w:line="480" w:lineRule="auto"/>
        <w:rPr>
          <w:color w:val="auto"/>
          <w:sz w:val="24"/>
          <w:highlight w:val="none"/>
        </w:rPr>
      </w:pPr>
      <w:r>
        <w:rPr>
          <w:color w:val="auto"/>
          <w:highlight w:val="none"/>
        </w:rPr>
        <w:fldChar w:fldCharType="begin"/>
      </w:r>
      <w:r>
        <w:rPr>
          <w:color w:val="auto"/>
          <w:highlight w:val="none"/>
        </w:rPr>
        <w:instrText xml:space="preserve"> HYPERLINK \l "_Toc12815" </w:instrText>
      </w:r>
      <w:r>
        <w:rPr>
          <w:color w:val="auto"/>
          <w:highlight w:val="none"/>
        </w:rPr>
        <w:fldChar w:fldCharType="separate"/>
      </w:r>
      <w:r>
        <w:rPr>
          <w:bCs/>
          <w:color w:val="auto"/>
          <w:sz w:val="24"/>
          <w:highlight w:val="none"/>
        </w:rPr>
        <w:t>二、 采购文件</w:t>
      </w:r>
      <w:r>
        <w:rPr>
          <w:color w:val="auto"/>
          <w:sz w:val="24"/>
          <w:highlight w:val="none"/>
        </w:rPr>
        <w:tab/>
      </w:r>
      <w:r>
        <w:rPr>
          <w:color w:val="auto"/>
          <w:sz w:val="24"/>
          <w:highlight w:val="none"/>
        </w:rPr>
        <w:fldChar w:fldCharType="begin"/>
      </w:r>
      <w:r>
        <w:rPr>
          <w:color w:val="auto"/>
          <w:sz w:val="24"/>
          <w:highlight w:val="none"/>
        </w:rPr>
        <w:instrText xml:space="preserve"> PAGEREF _Toc12815 </w:instrText>
      </w:r>
      <w:r>
        <w:rPr>
          <w:color w:val="auto"/>
          <w:sz w:val="24"/>
          <w:highlight w:val="none"/>
        </w:rPr>
        <w:fldChar w:fldCharType="separate"/>
      </w:r>
      <w:r>
        <w:rPr>
          <w:color w:val="auto"/>
          <w:sz w:val="24"/>
          <w:highlight w:val="none"/>
        </w:rPr>
        <w:t>8</w:t>
      </w:r>
      <w:r>
        <w:rPr>
          <w:color w:val="auto"/>
          <w:sz w:val="24"/>
          <w:highlight w:val="none"/>
        </w:rPr>
        <w:fldChar w:fldCharType="end"/>
      </w:r>
      <w:r>
        <w:rPr>
          <w:color w:val="auto"/>
          <w:sz w:val="24"/>
          <w:highlight w:val="none"/>
        </w:rPr>
        <w:fldChar w:fldCharType="end"/>
      </w:r>
    </w:p>
    <w:p w14:paraId="4FC7E7AC">
      <w:pPr>
        <w:pStyle w:val="22"/>
        <w:tabs>
          <w:tab w:val="right" w:leader="dot" w:pos="9638"/>
        </w:tabs>
        <w:spacing w:line="480" w:lineRule="auto"/>
        <w:rPr>
          <w:color w:val="auto"/>
          <w:sz w:val="24"/>
          <w:highlight w:val="none"/>
        </w:rPr>
      </w:pPr>
      <w:r>
        <w:rPr>
          <w:color w:val="auto"/>
          <w:highlight w:val="none"/>
        </w:rPr>
        <w:fldChar w:fldCharType="begin"/>
      </w:r>
      <w:r>
        <w:rPr>
          <w:color w:val="auto"/>
          <w:highlight w:val="none"/>
        </w:rPr>
        <w:instrText xml:space="preserve"> HYPERLINK \l "_Toc15481" </w:instrText>
      </w:r>
      <w:r>
        <w:rPr>
          <w:color w:val="auto"/>
          <w:highlight w:val="none"/>
        </w:rPr>
        <w:fldChar w:fldCharType="separate"/>
      </w:r>
      <w:r>
        <w:rPr>
          <w:bCs/>
          <w:color w:val="auto"/>
          <w:sz w:val="24"/>
          <w:highlight w:val="none"/>
        </w:rPr>
        <w:t>三、 投标文件的编制</w:t>
      </w:r>
      <w:r>
        <w:rPr>
          <w:color w:val="auto"/>
          <w:sz w:val="24"/>
          <w:highlight w:val="none"/>
        </w:rPr>
        <w:tab/>
      </w:r>
      <w:r>
        <w:rPr>
          <w:color w:val="auto"/>
          <w:sz w:val="24"/>
          <w:highlight w:val="none"/>
        </w:rPr>
        <w:fldChar w:fldCharType="begin"/>
      </w:r>
      <w:r>
        <w:rPr>
          <w:color w:val="auto"/>
          <w:sz w:val="24"/>
          <w:highlight w:val="none"/>
        </w:rPr>
        <w:instrText xml:space="preserve"> PAGEREF _Toc15481 </w:instrText>
      </w:r>
      <w:r>
        <w:rPr>
          <w:color w:val="auto"/>
          <w:sz w:val="24"/>
          <w:highlight w:val="none"/>
        </w:rPr>
        <w:fldChar w:fldCharType="separate"/>
      </w:r>
      <w:r>
        <w:rPr>
          <w:color w:val="auto"/>
          <w:sz w:val="24"/>
          <w:highlight w:val="none"/>
        </w:rPr>
        <w:t>8</w:t>
      </w:r>
      <w:r>
        <w:rPr>
          <w:color w:val="auto"/>
          <w:sz w:val="24"/>
          <w:highlight w:val="none"/>
        </w:rPr>
        <w:fldChar w:fldCharType="end"/>
      </w:r>
      <w:r>
        <w:rPr>
          <w:color w:val="auto"/>
          <w:sz w:val="24"/>
          <w:highlight w:val="none"/>
        </w:rPr>
        <w:fldChar w:fldCharType="end"/>
      </w:r>
    </w:p>
    <w:p w14:paraId="33EBB97E">
      <w:pPr>
        <w:pStyle w:val="22"/>
        <w:tabs>
          <w:tab w:val="right" w:leader="dot" w:pos="9638"/>
        </w:tabs>
        <w:spacing w:line="480" w:lineRule="auto"/>
        <w:rPr>
          <w:color w:val="auto"/>
          <w:sz w:val="24"/>
          <w:highlight w:val="none"/>
        </w:rPr>
      </w:pPr>
      <w:r>
        <w:rPr>
          <w:color w:val="auto"/>
          <w:highlight w:val="none"/>
        </w:rPr>
        <w:fldChar w:fldCharType="begin"/>
      </w:r>
      <w:r>
        <w:rPr>
          <w:color w:val="auto"/>
          <w:highlight w:val="none"/>
        </w:rPr>
        <w:instrText xml:space="preserve"> HYPERLINK \l "_Toc15083" </w:instrText>
      </w:r>
      <w:r>
        <w:rPr>
          <w:color w:val="auto"/>
          <w:highlight w:val="none"/>
        </w:rPr>
        <w:fldChar w:fldCharType="separate"/>
      </w:r>
      <w:r>
        <w:rPr>
          <w:bCs/>
          <w:color w:val="auto"/>
          <w:sz w:val="24"/>
          <w:highlight w:val="none"/>
        </w:rPr>
        <w:t>四、 投标文件的递交</w:t>
      </w:r>
      <w:r>
        <w:rPr>
          <w:color w:val="auto"/>
          <w:sz w:val="24"/>
          <w:highlight w:val="none"/>
        </w:rPr>
        <w:tab/>
      </w:r>
      <w:r>
        <w:rPr>
          <w:color w:val="auto"/>
          <w:sz w:val="24"/>
          <w:highlight w:val="none"/>
        </w:rPr>
        <w:t>1</w:t>
      </w:r>
      <w:r>
        <w:rPr>
          <w:color w:val="auto"/>
          <w:sz w:val="24"/>
          <w:highlight w:val="none"/>
        </w:rPr>
        <w:fldChar w:fldCharType="end"/>
      </w:r>
      <w:r>
        <w:rPr>
          <w:bCs/>
          <w:color w:val="auto"/>
          <w:sz w:val="24"/>
          <w:highlight w:val="none"/>
        </w:rPr>
        <w:t>0</w:t>
      </w:r>
    </w:p>
    <w:p w14:paraId="16596D42">
      <w:pPr>
        <w:pStyle w:val="22"/>
        <w:tabs>
          <w:tab w:val="right" w:leader="dot" w:pos="9638"/>
        </w:tabs>
        <w:spacing w:line="480" w:lineRule="auto"/>
        <w:rPr>
          <w:color w:val="auto"/>
          <w:sz w:val="24"/>
          <w:highlight w:val="none"/>
        </w:rPr>
      </w:pPr>
      <w:r>
        <w:rPr>
          <w:color w:val="auto"/>
          <w:highlight w:val="none"/>
        </w:rPr>
        <w:fldChar w:fldCharType="begin"/>
      </w:r>
      <w:r>
        <w:rPr>
          <w:color w:val="auto"/>
          <w:highlight w:val="none"/>
        </w:rPr>
        <w:instrText xml:space="preserve"> HYPERLINK \l "_Toc11189" </w:instrText>
      </w:r>
      <w:r>
        <w:rPr>
          <w:color w:val="auto"/>
          <w:highlight w:val="none"/>
        </w:rPr>
        <w:fldChar w:fldCharType="separate"/>
      </w:r>
      <w:r>
        <w:rPr>
          <w:bCs/>
          <w:color w:val="auto"/>
          <w:sz w:val="24"/>
          <w:highlight w:val="none"/>
        </w:rPr>
        <w:t>五、 开标和评标</w:t>
      </w:r>
      <w:r>
        <w:rPr>
          <w:color w:val="auto"/>
          <w:sz w:val="24"/>
          <w:highlight w:val="none"/>
        </w:rPr>
        <w:tab/>
      </w:r>
      <w:r>
        <w:rPr>
          <w:color w:val="auto"/>
          <w:sz w:val="24"/>
          <w:highlight w:val="none"/>
        </w:rPr>
        <w:t>1</w:t>
      </w:r>
      <w:r>
        <w:rPr>
          <w:color w:val="auto"/>
          <w:sz w:val="24"/>
          <w:highlight w:val="none"/>
        </w:rPr>
        <w:fldChar w:fldCharType="end"/>
      </w:r>
      <w:r>
        <w:rPr>
          <w:bCs/>
          <w:color w:val="auto"/>
          <w:sz w:val="24"/>
          <w:highlight w:val="none"/>
        </w:rPr>
        <w:t>1</w:t>
      </w:r>
    </w:p>
    <w:p w14:paraId="37CDE8A2">
      <w:pPr>
        <w:pStyle w:val="22"/>
        <w:tabs>
          <w:tab w:val="right" w:leader="dot" w:pos="9638"/>
        </w:tabs>
        <w:spacing w:line="480" w:lineRule="auto"/>
        <w:rPr>
          <w:color w:val="auto"/>
          <w:sz w:val="24"/>
          <w:highlight w:val="none"/>
        </w:rPr>
      </w:pPr>
      <w:r>
        <w:rPr>
          <w:color w:val="auto"/>
          <w:highlight w:val="none"/>
        </w:rPr>
        <w:fldChar w:fldCharType="begin"/>
      </w:r>
      <w:r>
        <w:rPr>
          <w:color w:val="auto"/>
          <w:highlight w:val="none"/>
        </w:rPr>
        <w:instrText xml:space="preserve"> HYPERLINK \l "_Toc1379" </w:instrText>
      </w:r>
      <w:r>
        <w:rPr>
          <w:color w:val="auto"/>
          <w:highlight w:val="none"/>
        </w:rPr>
        <w:fldChar w:fldCharType="separate"/>
      </w:r>
      <w:r>
        <w:rPr>
          <w:bCs/>
          <w:color w:val="auto"/>
          <w:sz w:val="24"/>
          <w:highlight w:val="none"/>
        </w:rPr>
        <w:t>六、 授予合同</w:t>
      </w:r>
      <w:r>
        <w:rPr>
          <w:color w:val="auto"/>
          <w:sz w:val="24"/>
          <w:highlight w:val="none"/>
        </w:rPr>
        <w:tab/>
      </w:r>
      <w:r>
        <w:rPr>
          <w:color w:val="auto"/>
          <w:sz w:val="24"/>
          <w:highlight w:val="none"/>
        </w:rPr>
        <w:t>1</w:t>
      </w:r>
      <w:r>
        <w:rPr>
          <w:color w:val="auto"/>
          <w:sz w:val="24"/>
          <w:highlight w:val="none"/>
        </w:rPr>
        <w:fldChar w:fldCharType="end"/>
      </w:r>
      <w:r>
        <w:rPr>
          <w:bCs/>
          <w:color w:val="auto"/>
          <w:sz w:val="24"/>
          <w:highlight w:val="none"/>
        </w:rPr>
        <w:t>3</w:t>
      </w:r>
    </w:p>
    <w:p w14:paraId="25FD350D">
      <w:pPr>
        <w:pStyle w:val="18"/>
        <w:tabs>
          <w:tab w:val="right" w:leader="dot" w:pos="9638"/>
          <w:tab w:val="clear" w:pos="9628"/>
        </w:tabs>
        <w:rPr>
          <w:rFonts w:ascii="Times New Roman" w:hAnsi="Times New Roman" w:eastAsia="宋体" w:cs="Times New Roman"/>
          <w:color w:val="auto"/>
          <w:highlight w:val="none"/>
        </w:rPr>
      </w:pPr>
      <w:r>
        <w:rPr>
          <w:color w:val="auto"/>
          <w:highlight w:val="none"/>
        </w:rPr>
        <w:fldChar w:fldCharType="begin"/>
      </w:r>
      <w:r>
        <w:rPr>
          <w:color w:val="auto"/>
          <w:highlight w:val="none"/>
        </w:rPr>
        <w:instrText xml:space="preserve"> HYPERLINK \l "_Toc32428" </w:instrText>
      </w:r>
      <w:r>
        <w:rPr>
          <w:color w:val="auto"/>
          <w:highlight w:val="none"/>
        </w:rPr>
        <w:fldChar w:fldCharType="separate"/>
      </w:r>
      <w:r>
        <w:rPr>
          <w:rFonts w:ascii="Times New Roman" w:hAnsi="Times New Roman" w:eastAsia="宋体" w:cs="Times New Roman"/>
          <w:color w:val="auto"/>
          <w:highlight w:val="none"/>
        </w:rPr>
        <w:t>第二部分   合同主要条款</w:t>
      </w:r>
      <w:r>
        <w:rPr>
          <w:rFonts w:ascii="Times New Roman" w:hAnsi="Times New Roman" w:eastAsia="宋体" w:cs="Times New Roman"/>
          <w:color w:val="auto"/>
          <w:highlight w:val="none"/>
        </w:rPr>
        <w:tab/>
      </w:r>
      <w:r>
        <w:rPr>
          <w:rFonts w:ascii="Times New Roman" w:hAnsi="Times New Roman" w:eastAsia="宋体" w:cs="Times New Roman"/>
          <w:color w:val="auto"/>
          <w:highlight w:val="none"/>
        </w:rPr>
        <w:fldChar w:fldCharType="begin"/>
      </w:r>
      <w:r>
        <w:rPr>
          <w:rFonts w:ascii="Times New Roman" w:hAnsi="Times New Roman" w:eastAsia="宋体" w:cs="Times New Roman"/>
          <w:color w:val="auto"/>
          <w:highlight w:val="none"/>
        </w:rPr>
        <w:instrText xml:space="preserve"> PAGEREF _Toc32428 </w:instrText>
      </w:r>
      <w:r>
        <w:rPr>
          <w:rFonts w:ascii="Times New Roman" w:hAnsi="Times New Roman" w:eastAsia="宋体" w:cs="Times New Roman"/>
          <w:color w:val="auto"/>
          <w:highlight w:val="none"/>
        </w:rPr>
        <w:fldChar w:fldCharType="separate"/>
      </w:r>
      <w:r>
        <w:rPr>
          <w:rFonts w:ascii="Times New Roman" w:hAnsi="Times New Roman" w:eastAsia="宋体" w:cs="Times New Roman"/>
          <w:color w:val="auto"/>
          <w:highlight w:val="none"/>
        </w:rPr>
        <w:t>16</w:t>
      </w:r>
      <w:r>
        <w:rPr>
          <w:rFonts w:ascii="Times New Roman" w:hAnsi="Times New Roman" w:eastAsia="宋体" w:cs="Times New Roman"/>
          <w:color w:val="auto"/>
          <w:highlight w:val="none"/>
        </w:rPr>
        <w:fldChar w:fldCharType="end"/>
      </w:r>
      <w:r>
        <w:rPr>
          <w:rFonts w:ascii="Times New Roman" w:hAnsi="Times New Roman" w:eastAsia="宋体" w:cs="Times New Roman"/>
          <w:color w:val="auto"/>
          <w:highlight w:val="none"/>
        </w:rPr>
        <w:fldChar w:fldCharType="end"/>
      </w:r>
    </w:p>
    <w:p w14:paraId="492D2CB2">
      <w:pPr>
        <w:pStyle w:val="18"/>
        <w:tabs>
          <w:tab w:val="right" w:leader="dot" w:pos="9638"/>
          <w:tab w:val="clear" w:pos="9628"/>
        </w:tabs>
        <w:rPr>
          <w:rFonts w:hint="eastAsia" w:ascii="Times New Roman" w:hAnsi="Times New Roman" w:eastAsia="宋体" w:cs="Times New Roman"/>
          <w:color w:val="auto"/>
          <w:highlight w:val="none"/>
          <w:lang w:eastAsia="zh-CN"/>
        </w:rPr>
      </w:pPr>
      <w:r>
        <w:rPr>
          <w:color w:val="auto"/>
          <w:highlight w:val="none"/>
        </w:rPr>
        <w:fldChar w:fldCharType="begin"/>
      </w:r>
      <w:r>
        <w:rPr>
          <w:color w:val="auto"/>
          <w:highlight w:val="none"/>
        </w:rPr>
        <w:instrText xml:space="preserve"> HYPERLINK \l "_Toc29347" </w:instrText>
      </w:r>
      <w:r>
        <w:rPr>
          <w:color w:val="auto"/>
          <w:highlight w:val="none"/>
        </w:rPr>
        <w:fldChar w:fldCharType="separate"/>
      </w:r>
      <w:r>
        <w:rPr>
          <w:rFonts w:ascii="Times New Roman" w:hAnsi="Times New Roman" w:eastAsia="宋体" w:cs="Times New Roman"/>
          <w:color w:val="auto"/>
          <w:highlight w:val="none"/>
        </w:rPr>
        <w:t>第三部分   附件</w:t>
      </w:r>
      <w:r>
        <w:rPr>
          <w:rFonts w:ascii="Times New Roman" w:hAnsi="Times New Roman" w:eastAsia="宋体" w:cs="Times New Roman"/>
          <w:color w:val="auto"/>
          <w:highlight w:val="none"/>
        </w:rPr>
        <w:tab/>
      </w:r>
      <w:r>
        <w:rPr>
          <w:rFonts w:ascii="Times New Roman" w:hAnsi="Times New Roman" w:eastAsia="宋体" w:cs="Times New Roman"/>
          <w:color w:val="auto"/>
          <w:highlight w:val="none"/>
        </w:rPr>
        <w:t>2</w:t>
      </w:r>
      <w:r>
        <w:rPr>
          <w:rFonts w:ascii="Times New Roman" w:hAnsi="Times New Roman" w:eastAsia="宋体" w:cs="Times New Roman"/>
          <w:color w:val="auto"/>
          <w:highlight w:val="none"/>
        </w:rPr>
        <w:fldChar w:fldCharType="end"/>
      </w:r>
      <w:r>
        <w:rPr>
          <w:rFonts w:hint="eastAsia" w:ascii="Times New Roman" w:hAnsi="Times New Roman" w:eastAsia="宋体" w:cs="Times New Roman"/>
          <w:color w:val="auto"/>
          <w:highlight w:val="none"/>
          <w:lang w:val="en-US" w:eastAsia="zh-CN"/>
        </w:rPr>
        <w:t>3</w:t>
      </w:r>
    </w:p>
    <w:p w14:paraId="182FA2C6">
      <w:pPr>
        <w:pStyle w:val="18"/>
        <w:tabs>
          <w:tab w:val="right" w:leader="dot" w:pos="9638"/>
          <w:tab w:val="clear" w:pos="9628"/>
        </w:tabs>
        <w:rPr>
          <w:rFonts w:hint="eastAsia" w:ascii="Times New Roman" w:hAnsi="Times New Roman" w:eastAsia="宋体" w:cs="Times New Roman"/>
          <w:color w:val="auto"/>
          <w:highlight w:val="none"/>
          <w:lang w:eastAsia="zh-CN"/>
        </w:rPr>
      </w:pPr>
      <w:r>
        <w:rPr>
          <w:color w:val="auto"/>
          <w:highlight w:val="none"/>
        </w:rPr>
        <w:fldChar w:fldCharType="begin"/>
      </w:r>
      <w:r>
        <w:rPr>
          <w:color w:val="auto"/>
          <w:highlight w:val="none"/>
        </w:rPr>
        <w:instrText xml:space="preserve"> HYPERLINK \l "_Toc21573" </w:instrText>
      </w:r>
      <w:r>
        <w:rPr>
          <w:color w:val="auto"/>
          <w:highlight w:val="none"/>
        </w:rPr>
        <w:fldChar w:fldCharType="separate"/>
      </w:r>
      <w:r>
        <w:rPr>
          <w:rFonts w:ascii="Times New Roman" w:hAnsi="Times New Roman" w:eastAsia="宋体" w:cs="Times New Roman"/>
          <w:color w:val="auto"/>
          <w:highlight w:val="none"/>
        </w:rPr>
        <w:t>第四部分   采购内容及要求</w:t>
      </w:r>
      <w:r>
        <w:rPr>
          <w:rFonts w:ascii="Times New Roman" w:hAnsi="Times New Roman" w:eastAsia="宋体" w:cs="Times New Roman"/>
          <w:color w:val="auto"/>
          <w:highlight w:val="none"/>
        </w:rPr>
        <w:tab/>
      </w:r>
      <w:r>
        <w:rPr>
          <w:rFonts w:ascii="Times New Roman" w:hAnsi="Times New Roman" w:eastAsia="宋体" w:cs="Times New Roman"/>
          <w:color w:val="auto"/>
          <w:highlight w:val="none"/>
        </w:rPr>
        <w:t>3</w:t>
      </w:r>
      <w:r>
        <w:rPr>
          <w:rFonts w:ascii="Times New Roman" w:hAnsi="Times New Roman" w:eastAsia="宋体" w:cs="Times New Roman"/>
          <w:color w:val="auto"/>
          <w:highlight w:val="none"/>
        </w:rPr>
        <w:fldChar w:fldCharType="end"/>
      </w:r>
      <w:r>
        <w:rPr>
          <w:rFonts w:hint="eastAsia" w:ascii="Times New Roman" w:hAnsi="Times New Roman" w:eastAsia="宋体" w:cs="Times New Roman"/>
          <w:color w:val="auto"/>
          <w:highlight w:val="none"/>
          <w:lang w:val="en-US" w:eastAsia="zh-CN"/>
        </w:rPr>
        <w:t>3</w:t>
      </w:r>
    </w:p>
    <w:p w14:paraId="708C3E8B">
      <w:pPr>
        <w:pStyle w:val="18"/>
        <w:tabs>
          <w:tab w:val="right" w:leader="dot" w:pos="9638"/>
          <w:tab w:val="clear" w:pos="9628"/>
        </w:tabs>
        <w:rPr>
          <w:rFonts w:hint="default" w:ascii="Times New Roman" w:hAnsi="Times New Roman" w:eastAsia="宋体" w:cs="Times New Roman"/>
          <w:color w:val="auto"/>
          <w:highlight w:val="none"/>
          <w:lang w:val="en-US" w:eastAsia="zh-CN"/>
        </w:rPr>
      </w:pPr>
      <w:r>
        <w:rPr>
          <w:color w:val="auto"/>
          <w:highlight w:val="none"/>
        </w:rPr>
        <w:fldChar w:fldCharType="begin"/>
      </w:r>
      <w:r>
        <w:rPr>
          <w:color w:val="auto"/>
          <w:highlight w:val="none"/>
        </w:rPr>
        <w:instrText xml:space="preserve"> HYPERLINK \l "_Toc32012" </w:instrText>
      </w:r>
      <w:r>
        <w:rPr>
          <w:color w:val="auto"/>
          <w:highlight w:val="none"/>
        </w:rPr>
        <w:fldChar w:fldCharType="separate"/>
      </w:r>
      <w:r>
        <w:rPr>
          <w:rFonts w:ascii="Times New Roman" w:hAnsi="Times New Roman" w:eastAsia="宋体" w:cs="Times New Roman"/>
          <w:color w:val="auto"/>
          <w:highlight w:val="none"/>
        </w:rPr>
        <w:t>第五部分   评标原则及方法</w:t>
      </w:r>
      <w:r>
        <w:rPr>
          <w:rFonts w:ascii="Times New Roman" w:hAnsi="Times New Roman" w:eastAsia="宋体" w:cs="Times New Roman"/>
          <w:color w:val="auto"/>
          <w:highlight w:val="none"/>
        </w:rPr>
        <w:tab/>
      </w:r>
      <w:r>
        <w:rPr>
          <w:rFonts w:ascii="Times New Roman" w:hAnsi="Times New Roman" w:eastAsia="宋体" w:cs="Times New Roman"/>
          <w:color w:val="auto"/>
          <w:highlight w:val="none"/>
        </w:rPr>
        <w:fldChar w:fldCharType="end"/>
      </w:r>
      <w:r>
        <w:rPr>
          <w:rFonts w:hint="eastAsia" w:ascii="Times New Roman" w:hAnsi="Times New Roman" w:eastAsia="宋体" w:cs="Times New Roman"/>
          <w:color w:val="auto"/>
          <w:highlight w:val="none"/>
          <w:lang w:val="en-US" w:eastAsia="zh-CN"/>
        </w:rPr>
        <w:t>38</w:t>
      </w:r>
    </w:p>
    <w:p w14:paraId="636747EC">
      <w:pPr>
        <w:spacing w:line="360" w:lineRule="auto"/>
        <w:rPr>
          <w:color w:val="auto"/>
          <w:sz w:val="22"/>
          <w:szCs w:val="22"/>
          <w:highlight w:val="none"/>
        </w:rPr>
      </w:pPr>
      <w:r>
        <w:rPr>
          <w:bCs/>
          <w:color w:val="auto"/>
          <w:szCs w:val="22"/>
          <w:highlight w:val="none"/>
        </w:rPr>
        <w:fldChar w:fldCharType="end"/>
      </w:r>
      <w:r>
        <w:rPr>
          <w:bCs/>
          <w:color w:val="auto"/>
          <w:szCs w:val="22"/>
          <w:highlight w:val="none"/>
        </w:rPr>
        <w:t xml:space="preserve">  </w:t>
      </w:r>
      <w:r>
        <w:rPr>
          <w:color w:val="auto"/>
          <w:sz w:val="22"/>
          <w:szCs w:val="22"/>
          <w:highlight w:val="none"/>
        </w:rPr>
        <w:t>注：采购文件中部分加“▲”并加下划线的条款，为采购的实质性要求和条件，着重提醒各投标人注意（不响应“▲”条款的作无效标处理），带有黑色字体加粗的，为采购文件的重要内容，请投标人审慎阅读；并认真查看采购文件中的每一个条款及要求，因误读采购文件而造成的后果，采购人概不负责。</w:t>
      </w:r>
    </w:p>
    <w:p w14:paraId="7C17F3EE">
      <w:pPr>
        <w:pStyle w:val="2"/>
        <w:spacing w:line="360" w:lineRule="auto"/>
        <w:rPr>
          <w:rFonts w:ascii="Times New Roman" w:eastAsia="宋体"/>
          <w:color w:val="auto"/>
          <w:sz w:val="32"/>
          <w:szCs w:val="32"/>
          <w:highlight w:val="none"/>
        </w:rPr>
        <w:sectPr>
          <w:footerReference r:id="rId4" w:type="default"/>
          <w:pgSz w:w="11906" w:h="16838"/>
          <w:pgMar w:top="1134" w:right="1134" w:bottom="1134" w:left="1134" w:header="851" w:footer="851" w:gutter="0"/>
          <w:pgBorders>
            <w:top w:val="none" w:sz="0" w:space="0"/>
            <w:left w:val="none" w:sz="0" w:space="0"/>
            <w:bottom w:val="none" w:sz="0" w:space="0"/>
            <w:right w:val="none" w:sz="0" w:space="0"/>
          </w:pgBorders>
          <w:pgNumType w:start="1"/>
          <w:cols w:space="720" w:num="1"/>
          <w:docGrid w:linePitch="312" w:charSpace="0"/>
        </w:sectPr>
      </w:pPr>
      <w:bookmarkStart w:id="0" w:name="_Toc27388"/>
      <w:bookmarkStart w:id="1" w:name="_Toc221356881"/>
      <w:bookmarkStart w:id="2" w:name="_Toc249758859"/>
      <w:bookmarkStart w:id="3" w:name="_Toc222114874"/>
      <w:bookmarkStart w:id="4" w:name="_Toc262105498"/>
      <w:bookmarkStart w:id="5" w:name="_Toc245722276"/>
      <w:bookmarkStart w:id="6" w:name="_Toc221423614"/>
      <w:bookmarkStart w:id="7" w:name="_Toc221374621"/>
      <w:bookmarkStart w:id="8" w:name="_Toc241404197"/>
      <w:bookmarkStart w:id="9" w:name="_Toc246261260"/>
      <w:bookmarkStart w:id="10" w:name="_Toc223715993"/>
      <w:bookmarkStart w:id="11" w:name="_Toc239145349"/>
      <w:bookmarkStart w:id="12" w:name="_Toc221356946"/>
      <w:bookmarkStart w:id="13" w:name="_Toc245191309"/>
      <w:bookmarkStart w:id="14" w:name="_Toc249758707"/>
      <w:bookmarkStart w:id="15" w:name="_Toc262049413"/>
    </w:p>
    <w:p w14:paraId="0FFBDEF8">
      <w:pPr>
        <w:pStyle w:val="2"/>
        <w:spacing w:line="360" w:lineRule="auto"/>
        <w:rPr>
          <w:rFonts w:ascii="Times New Roman" w:eastAsia="宋体"/>
          <w:color w:val="auto"/>
          <w:sz w:val="36"/>
          <w:szCs w:val="36"/>
          <w:highlight w:val="none"/>
        </w:rPr>
      </w:pPr>
      <w:r>
        <w:rPr>
          <w:rFonts w:hint="eastAsia" w:ascii="Times New Roman" w:eastAsia="宋体"/>
          <w:color w:val="auto"/>
          <w:sz w:val="32"/>
          <w:szCs w:val="32"/>
          <w:highlight w:val="none"/>
        </w:rPr>
        <w:t>温州市工业与能源集团</w:t>
      </w:r>
      <w:r>
        <w:rPr>
          <w:rFonts w:ascii="Times New Roman" w:eastAsia="宋体"/>
          <w:color w:val="auto"/>
          <w:sz w:val="32"/>
          <w:szCs w:val="32"/>
          <w:highlight w:val="none"/>
        </w:rPr>
        <w:t>所属</w:t>
      </w:r>
      <w:r>
        <w:rPr>
          <w:rFonts w:hint="eastAsia" w:ascii="Times New Roman" w:eastAsia="宋体"/>
          <w:color w:val="auto"/>
          <w:sz w:val="32"/>
          <w:szCs w:val="32"/>
          <w:highlight w:val="none"/>
          <w:lang w:eastAsia="zh-CN"/>
        </w:rPr>
        <w:t>温州市数据集团有限公司</w:t>
      </w:r>
      <w:r>
        <w:rPr>
          <w:rFonts w:ascii="Times New Roman" w:eastAsia="宋体"/>
          <w:color w:val="auto"/>
          <w:sz w:val="32"/>
          <w:szCs w:val="32"/>
          <w:highlight w:val="none"/>
        </w:rPr>
        <w:t>关于</w:t>
      </w:r>
      <w:r>
        <w:rPr>
          <w:rFonts w:hint="eastAsia" w:ascii="Times New Roman" w:eastAsia="宋体"/>
          <w:color w:val="auto"/>
          <w:sz w:val="32"/>
          <w:szCs w:val="32"/>
          <w:highlight w:val="none"/>
          <w:lang w:eastAsia="zh-CN"/>
        </w:rPr>
        <w:t>温州城市数据空间项目监理服务（</w:t>
      </w:r>
      <w:r>
        <w:rPr>
          <w:rFonts w:hint="eastAsia" w:ascii="Times New Roman" w:eastAsia="宋体"/>
          <w:color w:val="auto"/>
          <w:sz w:val="32"/>
          <w:szCs w:val="32"/>
          <w:highlight w:val="none"/>
          <w:lang w:val="en-US" w:eastAsia="zh-CN"/>
        </w:rPr>
        <w:t>自主</w:t>
      </w:r>
      <w:r>
        <w:rPr>
          <w:rFonts w:hint="eastAsia" w:ascii="Times New Roman" w:eastAsia="宋体"/>
          <w:color w:val="auto"/>
          <w:sz w:val="32"/>
          <w:szCs w:val="32"/>
          <w:highlight w:val="none"/>
          <w:lang w:eastAsia="zh-CN"/>
        </w:rPr>
        <w:t>）</w:t>
      </w:r>
      <w:r>
        <w:rPr>
          <w:rFonts w:ascii="Times New Roman" w:eastAsia="宋体"/>
          <w:color w:val="auto"/>
          <w:sz w:val="32"/>
          <w:szCs w:val="32"/>
          <w:highlight w:val="none"/>
        </w:rPr>
        <w:t>的采购公告</w:t>
      </w:r>
      <w:bookmarkEnd w:id="0"/>
    </w:p>
    <w:p w14:paraId="1410E268">
      <w:pPr>
        <w:widowControl/>
        <w:spacing w:before="60" w:after="60" w:line="360" w:lineRule="auto"/>
        <w:ind w:right="60"/>
        <w:jc w:val="left"/>
        <w:rPr>
          <w:bCs/>
          <w:color w:val="auto"/>
          <w:kern w:val="0"/>
          <w:sz w:val="22"/>
          <w:szCs w:val="22"/>
          <w:highlight w:val="none"/>
        </w:rPr>
      </w:pPr>
      <w:r>
        <w:rPr>
          <w:color w:val="auto"/>
          <w:kern w:val="0"/>
          <w:szCs w:val="21"/>
          <w:highlight w:val="none"/>
        </w:rPr>
        <w:t xml:space="preserve">   </w:t>
      </w:r>
      <w:r>
        <w:rPr>
          <w:color w:val="auto"/>
          <w:kern w:val="0"/>
          <w:sz w:val="22"/>
          <w:szCs w:val="22"/>
          <w:highlight w:val="none"/>
        </w:rPr>
        <w:t xml:space="preserve"> 根据《温州市市属国有企业采购管理办法》（温国资委〔2024〕51 号）等有关法律、法规的规定，浙江工汇项目管理有限公司受</w:t>
      </w:r>
      <w:r>
        <w:rPr>
          <w:rFonts w:hint="eastAsia"/>
          <w:color w:val="auto"/>
          <w:kern w:val="0"/>
          <w:sz w:val="22"/>
          <w:szCs w:val="22"/>
          <w:highlight w:val="none"/>
          <w:lang w:eastAsia="zh-CN"/>
        </w:rPr>
        <w:t>温州市数据集团有限公司</w:t>
      </w:r>
      <w:r>
        <w:rPr>
          <w:bCs/>
          <w:color w:val="auto"/>
          <w:kern w:val="0"/>
          <w:sz w:val="22"/>
          <w:szCs w:val="22"/>
          <w:highlight w:val="none"/>
        </w:rPr>
        <w:t>的委托，</w:t>
      </w:r>
      <w:r>
        <w:rPr>
          <w:rFonts w:hint="eastAsia"/>
          <w:bCs/>
          <w:color w:val="auto"/>
          <w:kern w:val="0"/>
          <w:sz w:val="22"/>
          <w:szCs w:val="22"/>
          <w:highlight w:val="none"/>
        </w:rPr>
        <w:t>就其</w:t>
      </w:r>
      <w:r>
        <w:rPr>
          <w:rFonts w:hint="eastAsia"/>
          <w:bCs/>
          <w:color w:val="auto"/>
          <w:kern w:val="0"/>
          <w:sz w:val="22"/>
          <w:szCs w:val="22"/>
          <w:highlight w:val="none"/>
          <w:lang w:eastAsia="zh-CN"/>
        </w:rPr>
        <w:t>温州城市数据空间项目监理服务</w:t>
      </w:r>
      <w:r>
        <w:rPr>
          <w:rFonts w:hint="eastAsia"/>
          <w:bCs/>
          <w:color w:val="auto"/>
          <w:kern w:val="0"/>
          <w:sz w:val="22"/>
          <w:szCs w:val="22"/>
          <w:highlight w:val="none"/>
        </w:rPr>
        <w:t>进行公开招标，欢迎国内合格的投标人前来投标。</w:t>
      </w:r>
    </w:p>
    <w:p w14:paraId="5CADEE32">
      <w:pPr>
        <w:widowControl/>
        <w:numPr>
          <w:ilvl w:val="0"/>
          <w:numId w:val="3"/>
        </w:numPr>
        <w:spacing w:before="60" w:after="60" w:line="360" w:lineRule="auto"/>
        <w:ind w:right="60"/>
        <w:jc w:val="left"/>
        <w:rPr>
          <w:bCs/>
          <w:color w:val="auto"/>
          <w:kern w:val="0"/>
          <w:sz w:val="22"/>
          <w:szCs w:val="22"/>
          <w:highlight w:val="none"/>
        </w:rPr>
      </w:pPr>
      <w:r>
        <w:rPr>
          <w:rFonts w:hint="eastAsia"/>
          <w:bCs/>
          <w:color w:val="auto"/>
          <w:kern w:val="0"/>
          <w:sz w:val="22"/>
          <w:szCs w:val="22"/>
          <w:highlight w:val="none"/>
        </w:rPr>
        <w:t>采购项目编</w:t>
      </w:r>
      <w:r>
        <w:rPr>
          <w:rFonts w:hint="eastAsia"/>
          <w:color w:val="auto"/>
          <w:kern w:val="0"/>
          <w:sz w:val="22"/>
          <w:szCs w:val="22"/>
          <w:highlight w:val="none"/>
        </w:rPr>
        <w:t>号：WGSS-GYNY-Z-2025020</w:t>
      </w:r>
    </w:p>
    <w:p w14:paraId="1442D5C2">
      <w:pPr>
        <w:widowControl/>
        <w:numPr>
          <w:ilvl w:val="0"/>
          <w:numId w:val="3"/>
        </w:numPr>
        <w:spacing w:before="60" w:after="60" w:line="360" w:lineRule="auto"/>
        <w:ind w:right="60"/>
        <w:jc w:val="left"/>
        <w:rPr>
          <w:bCs/>
          <w:color w:val="auto"/>
          <w:kern w:val="0"/>
          <w:sz w:val="22"/>
          <w:szCs w:val="22"/>
          <w:highlight w:val="none"/>
        </w:rPr>
      </w:pPr>
      <w:r>
        <w:rPr>
          <w:bCs/>
          <w:color w:val="auto"/>
          <w:kern w:val="0"/>
          <w:sz w:val="22"/>
          <w:szCs w:val="22"/>
          <w:highlight w:val="none"/>
        </w:rPr>
        <w:t>采购组织类型：国企采购（非政府采购）</w:t>
      </w:r>
    </w:p>
    <w:p w14:paraId="2837AE9C">
      <w:pPr>
        <w:widowControl/>
        <w:numPr>
          <w:ilvl w:val="0"/>
          <w:numId w:val="3"/>
        </w:numPr>
        <w:spacing w:before="60" w:after="60" w:line="360" w:lineRule="auto"/>
        <w:ind w:right="60"/>
        <w:jc w:val="left"/>
        <w:rPr>
          <w:bCs/>
          <w:color w:val="auto"/>
          <w:kern w:val="0"/>
          <w:sz w:val="22"/>
          <w:szCs w:val="22"/>
          <w:highlight w:val="none"/>
        </w:rPr>
      </w:pPr>
      <w:r>
        <w:rPr>
          <w:bCs/>
          <w:color w:val="auto"/>
          <w:kern w:val="0"/>
          <w:sz w:val="22"/>
          <w:szCs w:val="22"/>
          <w:highlight w:val="none"/>
        </w:rPr>
        <w:t>采购项目概况：</w:t>
      </w:r>
    </w:p>
    <w:tbl>
      <w:tblPr>
        <w:tblStyle w:val="29"/>
        <w:tblW w:w="4892"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613"/>
        <w:gridCol w:w="852"/>
        <w:gridCol w:w="860"/>
        <w:gridCol w:w="1831"/>
        <w:gridCol w:w="3808"/>
      </w:tblGrid>
      <w:tr w14:paraId="4932EF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8" w:type="dxa"/>
            <w:tcMar>
              <w:top w:w="0" w:type="dxa"/>
              <w:left w:w="108" w:type="dxa"/>
              <w:bottom w:w="0" w:type="dxa"/>
              <w:right w:w="108" w:type="dxa"/>
            </w:tcMar>
            <w:vAlign w:val="center"/>
          </w:tcPr>
          <w:p w14:paraId="1E264B8B">
            <w:pPr>
              <w:keepNext w:val="0"/>
              <w:keepLines w:val="0"/>
              <w:pageBreakBefore w:val="0"/>
              <w:widowControl/>
              <w:kinsoku/>
              <w:wordWrap/>
              <w:overflowPunct/>
              <w:topLinePunct w:val="0"/>
              <w:autoSpaceDE/>
              <w:autoSpaceDN/>
              <w:bidi w:val="0"/>
              <w:adjustRightInd w:val="0"/>
              <w:snapToGrid w:val="0"/>
              <w:spacing w:before="60" w:after="60" w:line="300" w:lineRule="auto"/>
              <w:jc w:val="center"/>
              <w:textAlignment w:val="auto"/>
              <w:rPr>
                <w:rFonts w:hint="eastAsia" w:eastAsia="宋体"/>
                <w:bCs/>
                <w:snapToGrid w:val="0"/>
                <w:color w:val="auto"/>
                <w:kern w:val="0"/>
                <w:sz w:val="22"/>
                <w:szCs w:val="22"/>
                <w:highlight w:val="none"/>
                <w:lang w:eastAsia="zh-CN"/>
              </w:rPr>
            </w:pPr>
            <w:bookmarkStart w:id="16" w:name="B09_招标内容"/>
            <w:bookmarkEnd w:id="16"/>
            <w:r>
              <w:rPr>
                <w:rFonts w:hint="eastAsia"/>
                <w:bCs/>
                <w:snapToGrid w:val="0"/>
                <w:color w:val="auto"/>
                <w:kern w:val="0"/>
                <w:sz w:val="22"/>
                <w:szCs w:val="22"/>
                <w:highlight w:val="none"/>
                <w:lang w:val="en-US" w:eastAsia="zh-CN"/>
              </w:rPr>
              <w:t>序号</w:t>
            </w:r>
          </w:p>
        </w:tc>
        <w:tc>
          <w:tcPr>
            <w:tcW w:w="1613" w:type="dxa"/>
            <w:tcMar>
              <w:top w:w="0" w:type="dxa"/>
              <w:left w:w="108" w:type="dxa"/>
              <w:bottom w:w="0" w:type="dxa"/>
              <w:right w:w="108" w:type="dxa"/>
            </w:tcMar>
            <w:vAlign w:val="center"/>
          </w:tcPr>
          <w:p w14:paraId="56DA9B99">
            <w:pPr>
              <w:keepNext w:val="0"/>
              <w:keepLines w:val="0"/>
              <w:pageBreakBefore w:val="0"/>
              <w:widowControl/>
              <w:kinsoku/>
              <w:wordWrap/>
              <w:overflowPunct/>
              <w:topLinePunct w:val="0"/>
              <w:autoSpaceDE/>
              <w:autoSpaceDN/>
              <w:bidi w:val="0"/>
              <w:adjustRightInd w:val="0"/>
              <w:snapToGrid w:val="0"/>
              <w:spacing w:before="60" w:after="60" w:line="300" w:lineRule="auto"/>
              <w:jc w:val="center"/>
              <w:textAlignment w:val="auto"/>
              <w:rPr>
                <w:bCs/>
                <w:snapToGrid w:val="0"/>
                <w:color w:val="auto"/>
                <w:kern w:val="0"/>
                <w:sz w:val="22"/>
                <w:szCs w:val="22"/>
                <w:highlight w:val="none"/>
              </w:rPr>
            </w:pPr>
            <w:r>
              <w:rPr>
                <w:bCs/>
                <w:snapToGrid w:val="0"/>
                <w:color w:val="auto"/>
                <w:kern w:val="0"/>
                <w:sz w:val="22"/>
                <w:szCs w:val="22"/>
                <w:highlight w:val="none"/>
              </w:rPr>
              <w:t>采购内容</w:t>
            </w:r>
          </w:p>
        </w:tc>
        <w:tc>
          <w:tcPr>
            <w:tcW w:w="852" w:type="dxa"/>
            <w:tcMar>
              <w:top w:w="0" w:type="dxa"/>
              <w:left w:w="108" w:type="dxa"/>
              <w:bottom w:w="0" w:type="dxa"/>
              <w:right w:w="108" w:type="dxa"/>
            </w:tcMar>
            <w:vAlign w:val="center"/>
          </w:tcPr>
          <w:p w14:paraId="29BF56B9">
            <w:pPr>
              <w:keepNext w:val="0"/>
              <w:keepLines w:val="0"/>
              <w:pageBreakBefore w:val="0"/>
              <w:widowControl/>
              <w:kinsoku/>
              <w:wordWrap/>
              <w:overflowPunct/>
              <w:topLinePunct w:val="0"/>
              <w:autoSpaceDE/>
              <w:autoSpaceDN/>
              <w:bidi w:val="0"/>
              <w:adjustRightInd w:val="0"/>
              <w:snapToGrid w:val="0"/>
              <w:spacing w:before="60" w:after="60" w:line="300" w:lineRule="auto"/>
              <w:jc w:val="center"/>
              <w:textAlignment w:val="auto"/>
              <w:rPr>
                <w:bCs/>
                <w:snapToGrid w:val="0"/>
                <w:color w:val="auto"/>
                <w:kern w:val="0"/>
                <w:sz w:val="22"/>
                <w:szCs w:val="22"/>
                <w:highlight w:val="none"/>
              </w:rPr>
            </w:pPr>
            <w:r>
              <w:rPr>
                <w:bCs/>
                <w:snapToGrid w:val="0"/>
                <w:color w:val="auto"/>
                <w:kern w:val="0"/>
                <w:sz w:val="22"/>
                <w:szCs w:val="22"/>
                <w:highlight w:val="none"/>
              </w:rPr>
              <w:t>数量</w:t>
            </w:r>
          </w:p>
        </w:tc>
        <w:tc>
          <w:tcPr>
            <w:tcW w:w="860" w:type="dxa"/>
            <w:tcMar>
              <w:top w:w="0" w:type="dxa"/>
              <w:left w:w="108" w:type="dxa"/>
              <w:bottom w:w="0" w:type="dxa"/>
              <w:right w:w="108" w:type="dxa"/>
            </w:tcMar>
            <w:vAlign w:val="center"/>
          </w:tcPr>
          <w:p w14:paraId="7241874B">
            <w:pPr>
              <w:keepNext w:val="0"/>
              <w:keepLines w:val="0"/>
              <w:pageBreakBefore w:val="0"/>
              <w:widowControl/>
              <w:kinsoku/>
              <w:wordWrap/>
              <w:overflowPunct/>
              <w:topLinePunct w:val="0"/>
              <w:autoSpaceDE/>
              <w:autoSpaceDN/>
              <w:bidi w:val="0"/>
              <w:adjustRightInd w:val="0"/>
              <w:snapToGrid w:val="0"/>
              <w:spacing w:before="60" w:after="60" w:line="300" w:lineRule="auto"/>
              <w:jc w:val="center"/>
              <w:textAlignment w:val="auto"/>
              <w:rPr>
                <w:bCs/>
                <w:snapToGrid w:val="0"/>
                <w:color w:val="auto"/>
                <w:kern w:val="0"/>
                <w:sz w:val="22"/>
                <w:szCs w:val="22"/>
                <w:highlight w:val="none"/>
              </w:rPr>
            </w:pPr>
            <w:r>
              <w:rPr>
                <w:bCs/>
                <w:snapToGrid w:val="0"/>
                <w:color w:val="auto"/>
                <w:kern w:val="0"/>
                <w:sz w:val="22"/>
                <w:szCs w:val="22"/>
                <w:highlight w:val="none"/>
              </w:rPr>
              <w:t>单位</w:t>
            </w:r>
          </w:p>
        </w:tc>
        <w:tc>
          <w:tcPr>
            <w:tcW w:w="1831" w:type="dxa"/>
            <w:tcMar>
              <w:top w:w="0" w:type="dxa"/>
              <w:left w:w="108" w:type="dxa"/>
              <w:bottom w:w="0" w:type="dxa"/>
              <w:right w:w="108" w:type="dxa"/>
            </w:tcMar>
            <w:vAlign w:val="center"/>
          </w:tcPr>
          <w:p w14:paraId="0A7D4898">
            <w:pPr>
              <w:keepNext w:val="0"/>
              <w:keepLines w:val="0"/>
              <w:pageBreakBefore w:val="0"/>
              <w:widowControl/>
              <w:kinsoku/>
              <w:wordWrap/>
              <w:overflowPunct/>
              <w:topLinePunct w:val="0"/>
              <w:autoSpaceDE/>
              <w:autoSpaceDN/>
              <w:bidi w:val="0"/>
              <w:adjustRightInd w:val="0"/>
              <w:snapToGrid w:val="0"/>
              <w:spacing w:before="60" w:after="60" w:line="300" w:lineRule="auto"/>
              <w:jc w:val="center"/>
              <w:textAlignment w:val="auto"/>
              <w:rPr>
                <w:bCs/>
                <w:snapToGrid w:val="0"/>
                <w:color w:val="auto"/>
                <w:kern w:val="0"/>
                <w:sz w:val="22"/>
                <w:szCs w:val="22"/>
                <w:highlight w:val="none"/>
              </w:rPr>
            </w:pPr>
            <w:r>
              <w:rPr>
                <w:bCs/>
                <w:snapToGrid w:val="0"/>
                <w:color w:val="auto"/>
                <w:kern w:val="0"/>
                <w:sz w:val="22"/>
                <w:szCs w:val="22"/>
                <w:highlight w:val="none"/>
              </w:rPr>
              <w:t>采购预算（万元）</w:t>
            </w:r>
          </w:p>
        </w:tc>
        <w:tc>
          <w:tcPr>
            <w:tcW w:w="3808" w:type="dxa"/>
            <w:tcMar>
              <w:top w:w="0" w:type="dxa"/>
              <w:left w:w="108" w:type="dxa"/>
              <w:bottom w:w="0" w:type="dxa"/>
              <w:right w:w="108" w:type="dxa"/>
            </w:tcMar>
            <w:vAlign w:val="center"/>
          </w:tcPr>
          <w:p w14:paraId="12E31D49">
            <w:pPr>
              <w:keepNext w:val="0"/>
              <w:keepLines w:val="0"/>
              <w:pageBreakBefore w:val="0"/>
              <w:widowControl/>
              <w:kinsoku/>
              <w:wordWrap/>
              <w:overflowPunct/>
              <w:topLinePunct w:val="0"/>
              <w:autoSpaceDE/>
              <w:autoSpaceDN/>
              <w:bidi w:val="0"/>
              <w:adjustRightInd w:val="0"/>
              <w:snapToGrid w:val="0"/>
              <w:spacing w:before="60" w:after="60" w:line="300" w:lineRule="auto"/>
              <w:jc w:val="center"/>
              <w:textAlignment w:val="auto"/>
              <w:rPr>
                <w:bCs/>
                <w:snapToGrid w:val="0"/>
                <w:color w:val="auto"/>
                <w:kern w:val="0"/>
                <w:sz w:val="22"/>
                <w:szCs w:val="22"/>
                <w:highlight w:val="none"/>
              </w:rPr>
            </w:pPr>
            <w:r>
              <w:rPr>
                <w:bCs/>
                <w:snapToGrid w:val="0"/>
                <w:color w:val="auto"/>
                <w:kern w:val="0"/>
                <w:sz w:val="22"/>
                <w:szCs w:val="22"/>
                <w:highlight w:val="none"/>
              </w:rPr>
              <w:t>简要技术要求、用途</w:t>
            </w:r>
          </w:p>
        </w:tc>
      </w:tr>
      <w:tr w14:paraId="300164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8" w:type="dxa"/>
            <w:tcMar>
              <w:top w:w="0" w:type="dxa"/>
              <w:left w:w="108" w:type="dxa"/>
              <w:bottom w:w="0" w:type="dxa"/>
              <w:right w:w="108" w:type="dxa"/>
            </w:tcMar>
            <w:vAlign w:val="center"/>
          </w:tcPr>
          <w:p w14:paraId="44D4AABF">
            <w:pPr>
              <w:keepNext w:val="0"/>
              <w:keepLines w:val="0"/>
              <w:pageBreakBefore w:val="0"/>
              <w:widowControl/>
              <w:kinsoku/>
              <w:wordWrap/>
              <w:overflowPunct/>
              <w:topLinePunct w:val="0"/>
              <w:autoSpaceDE/>
              <w:autoSpaceDN/>
              <w:bidi w:val="0"/>
              <w:adjustRightInd w:val="0"/>
              <w:snapToGrid w:val="0"/>
              <w:spacing w:before="60" w:after="60" w:line="300" w:lineRule="auto"/>
              <w:jc w:val="center"/>
              <w:textAlignment w:val="auto"/>
              <w:rPr>
                <w:rFonts w:hint="eastAsia" w:eastAsia="宋体"/>
                <w:bCs/>
                <w:snapToGrid w:val="0"/>
                <w:color w:val="auto"/>
                <w:kern w:val="0"/>
                <w:sz w:val="22"/>
                <w:szCs w:val="22"/>
                <w:highlight w:val="none"/>
                <w:lang w:eastAsia="zh-CN"/>
              </w:rPr>
            </w:pPr>
            <w:r>
              <w:rPr>
                <w:rFonts w:hint="eastAsia"/>
                <w:bCs/>
                <w:snapToGrid w:val="0"/>
                <w:color w:val="auto"/>
                <w:kern w:val="0"/>
                <w:sz w:val="22"/>
                <w:szCs w:val="22"/>
                <w:highlight w:val="none"/>
                <w:lang w:val="en-US" w:eastAsia="zh-CN"/>
              </w:rPr>
              <w:t>1</w:t>
            </w:r>
          </w:p>
        </w:tc>
        <w:tc>
          <w:tcPr>
            <w:tcW w:w="1613" w:type="dxa"/>
            <w:tcMar>
              <w:top w:w="0" w:type="dxa"/>
              <w:left w:w="108" w:type="dxa"/>
              <w:bottom w:w="0" w:type="dxa"/>
              <w:right w:w="108" w:type="dxa"/>
            </w:tcMar>
            <w:vAlign w:val="center"/>
          </w:tcPr>
          <w:p w14:paraId="1C3FD6CF">
            <w:pPr>
              <w:keepNext w:val="0"/>
              <w:keepLines w:val="0"/>
              <w:pageBreakBefore w:val="0"/>
              <w:widowControl/>
              <w:kinsoku/>
              <w:wordWrap/>
              <w:overflowPunct/>
              <w:topLinePunct w:val="0"/>
              <w:autoSpaceDE/>
              <w:autoSpaceDN/>
              <w:bidi w:val="0"/>
              <w:adjustRightInd w:val="0"/>
              <w:snapToGrid w:val="0"/>
              <w:spacing w:before="60" w:after="60" w:line="300" w:lineRule="auto"/>
              <w:jc w:val="center"/>
              <w:textAlignment w:val="auto"/>
              <w:rPr>
                <w:bCs/>
                <w:snapToGrid w:val="0"/>
                <w:color w:val="auto"/>
                <w:kern w:val="0"/>
                <w:sz w:val="22"/>
                <w:szCs w:val="22"/>
                <w:highlight w:val="none"/>
              </w:rPr>
            </w:pPr>
            <w:r>
              <w:rPr>
                <w:rFonts w:hint="eastAsia"/>
                <w:bCs/>
                <w:snapToGrid w:val="0"/>
                <w:color w:val="auto"/>
                <w:kern w:val="0"/>
                <w:sz w:val="22"/>
                <w:szCs w:val="22"/>
                <w:highlight w:val="none"/>
                <w:lang w:eastAsia="zh-CN"/>
              </w:rPr>
              <w:t>温州城市数据空间项目监理服务</w:t>
            </w:r>
          </w:p>
        </w:tc>
        <w:tc>
          <w:tcPr>
            <w:tcW w:w="852" w:type="dxa"/>
            <w:tcMar>
              <w:top w:w="0" w:type="dxa"/>
              <w:left w:w="108" w:type="dxa"/>
              <w:bottom w:w="0" w:type="dxa"/>
              <w:right w:w="108" w:type="dxa"/>
            </w:tcMar>
            <w:vAlign w:val="center"/>
          </w:tcPr>
          <w:p w14:paraId="20D893AF">
            <w:pPr>
              <w:keepNext w:val="0"/>
              <w:keepLines w:val="0"/>
              <w:pageBreakBefore w:val="0"/>
              <w:widowControl/>
              <w:kinsoku/>
              <w:wordWrap/>
              <w:overflowPunct/>
              <w:topLinePunct w:val="0"/>
              <w:autoSpaceDE/>
              <w:autoSpaceDN/>
              <w:bidi w:val="0"/>
              <w:adjustRightInd w:val="0"/>
              <w:snapToGrid w:val="0"/>
              <w:spacing w:before="60" w:after="60" w:line="300" w:lineRule="auto"/>
              <w:jc w:val="center"/>
              <w:textAlignment w:val="auto"/>
              <w:rPr>
                <w:bCs/>
                <w:snapToGrid w:val="0"/>
                <w:color w:val="auto"/>
                <w:kern w:val="0"/>
                <w:sz w:val="22"/>
                <w:szCs w:val="22"/>
                <w:highlight w:val="none"/>
              </w:rPr>
            </w:pPr>
            <w:r>
              <w:rPr>
                <w:bCs/>
                <w:snapToGrid w:val="0"/>
                <w:color w:val="auto"/>
                <w:kern w:val="0"/>
                <w:sz w:val="22"/>
                <w:szCs w:val="22"/>
                <w:highlight w:val="none"/>
              </w:rPr>
              <w:t>1</w:t>
            </w:r>
          </w:p>
        </w:tc>
        <w:tc>
          <w:tcPr>
            <w:tcW w:w="860" w:type="dxa"/>
            <w:tcMar>
              <w:top w:w="0" w:type="dxa"/>
              <w:left w:w="108" w:type="dxa"/>
              <w:bottom w:w="0" w:type="dxa"/>
              <w:right w:w="108" w:type="dxa"/>
            </w:tcMar>
            <w:vAlign w:val="center"/>
          </w:tcPr>
          <w:p w14:paraId="3DB4171C">
            <w:pPr>
              <w:keepNext w:val="0"/>
              <w:keepLines w:val="0"/>
              <w:pageBreakBefore w:val="0"/>
              <w:widowControl/>
              <w:kinsoku/>
              <w:wordWrap/>
              <w:overflowPunct/>
              <w:topLinePunct w:val="0"/>
              <w:autoSpaceDE/>
              <w:autoSpaceDN/>
              <w:bidi w:val="0"/>
              <w:adjustRightInd w:val="0"/>
              <w:snapToGrid w:val="0"/>
              <w:spacing w:before="60" w:after="60" w:line="300" w:lineRule="auto"/>
              <w:jc w:val="center"/>
              <w:textAlignment w:val="auto"/>
              <w:rPr>
                <w:rFonts w:hint="eastAsia" w:eastAsia="宋体"/>
                <w:bCs/>
                <w:snapToGrid w:val="0"/>
                <w:color w:val="auto"/>
                <w:kern w:val="0"/>
                <w:sz w:val="22"/>
                <w:szCs w:val="22"/>
                <w:highlight w:val="none"/>
                <w:lang w:val="en-US" w:eastAsia="zh-CN"/>
              </w:rPr>
            </w:pPr>
            <w:r>
              <w:rPr>
                <w:rFonts w:hint="eastAsia"/>
                <w:bCs/>
                <w:snapToGrid w:val="0"/>
                <w:color w:val="auto"/>
                <w:kern w:val="0"/>
                <w:sz w:val="22"/>
                <w:szCs w:val="22"/>
                <w:highlight w:val="none"/>
                <w:lang w:val="en-US" w:eastAsia="zh-CN"/>
              </w:rPr>
              <w:t>项</w:t>
            </w:r>
          </w:p>
        </w:tc>
        <w:tc>
          <w:tcPr>
            <w:tcW w:w="1831" w:type="dxa"/>
            <w:tcMar>
              <w:top w:w="0" w:type="dxa"/>
              <w:left w:w="108" w:type="dxa"/>
              <w:bottom w:w="0" w:type="dxa"/>
              <w:right w:w="108" w:type="dxa"/>
            </w:tcMar>
            <w:vAlign w:val="center"/>
          </w:tcPr>
          <w:p w14:paraId="313BDF05">
            <w:pPr>
              <w:keepNext w:val="0"/>
              <w:keepLines w:val="0"/>
              <w:pageBreakBefore w:val="0"/>
              <w:widowControl/>
              <w:kinsoku/>
              <w:wordWrap/>
              <w:overflowPunct/>
              <w:topLinePunct w:val="0"/>
              <w:autoSpaceDE/>
              <w:autoSpaceDN/>
              <w:bidi w:val="0"/>
              <w:adjustRightInd w:val="0"/>
              <w:snapToGrid w:val="0"/>
              <w:spacing w:before="60" w:after="60" w:line="300" w:lineRule="auto"/>
              <w:jc w:val="center"/>
              <w:textAlignment w:val="auto"/>
              <w:rPr>
                <w:rFonts w:hint="default" w:eastAsia="宋体"/>
                <w:bCs/>
                <w:snapToGrid w:val="0"/>
                <w:color w:val="auto"/>
                <w:kern w:val="0"/>
                <w:sz w:val="22"/>
                <w:szCs w:val="22"/>
                <w:highlight w:val="none"/>
                <w:lang w:val="en-US" w:eastAsia="zh-CN"/>
              </w:rPr>
            </w:pPr>
            <w:r>
              <w:rPr>
                <w:rFonts w:hint="eastAsia"/>
                <w:bCs/>
                <w:snapToGrid w:val="0"/>
                <w:color w:val="auto"/>
                <w:kern w:val="0"/>
                <w:sz w:val="22"/>
                <w:szCs w:val="22"/>
                <w:highlight w:val="none"/>
                <w:lang w:val="en-US" w:eastAsia="zh-CN"/>
              </w:rPr>
              <w:t>62.4</w:t>
            </w:r>
          </w:p>
        </w:tc>
        <w:tc>
          <w:tcPr>
            <w:tcW w:w="3808" w:type="dxa"/>
            <w:tcMar>
              <w:top w:w="0" w:type="dxa"/>
              <w:left w:w="108" w:type="dxa"/>
              <w:bottom w:w="0" w:type="dxa"/>
              <w:right w:w="108" w:type="dxa"/>
            </w:tcMar>
            <w:vAlign w:val="center"/>
          </w:tcPr>
          <w:p w14:paraId="2C7DD815">
            <w:pPr>
              <w:keepNext w:val="0"/>
              <w:keepLines w:val="0"/>
              <w:pageBreakBefore w:val="0"/>
              <w:widowControl/>
              <w:kinsoku/>
              <w:wordWrap/>
              <w:overflowPunct/>
              <w:topLinePunct w:val="0"/>
              <w:autoSpaceDE/>
              <w:autoSpaceDN/>
              <w:bidi w:val="0"/>
              <w:adjustRightInd w:val="0"/>
              <w:snapToGrid w:val="0"/>
              <w:spacing w:before="60" w:after="60" w:line="300" w:lineRule="auto"/>
              <w:jc w:val="center"/>
              <w:textAlignment w:val="auto"/>
              <w:rPr>
                <w:bCs/>
                <w:snapToGrid w:val="0"/>
                <w:color w:val="auto"/>
                <w:kern w:val="0"/>
                <w:sz w:val="22"/>
                <w:szCs w:val="22"/>
                <w:highlight w:val="none"/>
              </w:rPr>
            </w:pPr>
            <w:r>
              <w:rPr>
                <w:rFonts w:hint="eastAsia"/>
                <w:bCs/>
                <w:snapToGrid w:val="0"/>
                <w:color w:val="auto"/>
                <w:kern w:val="0"/>
                <w:sz w:val="22"/>
                <w:szCs w:val="22"/>
                <w:highlight w:val="none"/>
              </w:rPr>
              <w:t>温州城市数据空间项目监理服务</w:t>
            </w:r>
            <w:r>
              <w:rPr>
                <w:bCs/>
                <w:snapToGrid w:val="0"/>
                <w:color w:val="auto"/>
                <w:kern w:val="0"/>
                <w:sz w:val="22"/>
                <w:szCs w:val="22"/>
                <w:highlight w:val="none"/>
              </w:rPr>
              <w:t>采购，采购内容详见本采购文件相关部分。</w:t>
            </w:r>
          </w:p>
        </w:tc>
      </w:tr>
    </w:tbl>
    <w:p w14:paraId="0612F033">
      <w:pPr>
        <w:widowControl/>
        <w:numPr>
          <w:ilvl w:val="0"/>
          <w:numId w:val="3"/>
        </w:numPr>
        <w:spacing w:before="60" w:after="60" w:line="360" w:lineRule="auto"/>
        <w:ind w:right="60"/>
        <w:jc w:val="left"/>
        <w:rPr>
          <w:bCs/>
          <w:color w:val="auto"/>
          <w:kern w:val="0"/>
          <w:sz w:val="22"/>
          <w:szCs w:val="22"/>
          <w:highlight w:val="none"/>
        </w:rPr>
      </w:pPr>
      <w:r>
        <w:rPr>
          <w:bCs/>
          <w:color w:val="auto"/>
          <w:kern w:val="0"/>
          <w:sz w:val="22"/>
          <w:szCs w:val="22"/>
          <w:highlight w:val="none"/>
        </w:rPr>
        <w:t>投标人资格要求：</w:t>
      </w:r>
    </w:p>
    <w:p w14:paraId="782D1887">
      <w:pPr>
        <w:widowControl/>
        <w:spacing w:before="60" w:after="60" w:line="360" w:lineRule="auto"/>
        <w:ind w:left="390" w:right="60"/>
        <w:jc w:val="left"/>
        <w:rPr>
          <w:bCs/>
          <w:color w:val="auto"/>
          <w:kern w:val="0"/>
          <w:sz w:val="22"/>
          <w:szCs w:val="22"/>
          <w:highlight w:val="none"/>
        </w:rPr>
      </w:pPr>
      <w:r>
        <w:rPr>
          <w:bCs/>
          <w:color w:val="auto"/>
          <w:kern w:val="0"/>
          <w:sz w:val="22"/>
          <w:szCs w:val="22"/>
          <w:highlight w:val="none"/>
        </w:rPr>
        <w:t>1.符合《温州市市属国有企业采购管理办法》（温国资委〔2024〕51 号）第十八条对投标供应商投标人参加采购活动应当具备的条件；</w:t>
      </w:r>
    </w:p>
    <w:p w14:paraId="557952B2">
      <w:pPr>
        <w:widowControl/>
        <w:spacing w:before="60" w:after="60" w:line="360" w:lineRule="auto"/>
        <w:ind w:left="60" w:right="60"/>
        <w:jc w:val="left"/>
        <w:rPr>
          <w:bCs/>
          <w:color w:val="auto"/>
          <w:kern w:val="0"/>
          <w:sz w:val="22"/>
          <w:szCs w:val="22"/>
          <w:highlight w:val="none"/>
        </w:rPr>
      </w:pPr>
      <w:r>
        <w:rPr>
          <w:bCs/>
          <w:color w:val="auto"/>
          <w:kern w:val="0"/>
          <w:sz w:val="22"/>
          <w:szCs w:val="22"/>
          <w:highlight w:val="none"/>
        </w:rPr>
        <w:t xml:space="preserve">   2.单位负责人为同一人或者存在直接控股、管理关系的不同供应商，不得参加同一合同项下的国企采购活动；</w:t>
      </w:r>
    </w:p>
    <w:p w14:paraId="0A5F498A">
      <w:pPr>
        <w:widowControl/>
        <w:spacing w:before="60" w:after="60" w:line="360" w:lineRule="auto"/>
        <w:ind w:right="60" w:firstLine="440" w:firstLineChars="200"/>
        <w:jc w:val="left"/>
        <w:rPr>
          <w:bCs/>
          <w:color w:val="auto"/>
          <w:kern w:val="0"/>
          <w:sz w:val="22"/>
          <w:szCs w:val="22"/>
          <w:highlight w:val="none"/>
        </w:rPr>
      </w:pPr>
      <w:r>
        <w:rPr>
          <w:color w:val="auto"/>
          <w:kern w:val="0"/>
          <w:sz w:val="22"/>
          <w:szCs w:val="22"/>
          <w:highlight w:val="none"/>
        </w:rPr>
        <w:t>3.</w:t>
      </w:r>
      <w:r>
        <w:rPr>
          <w:color w:val="auto"/>
          <w:sz w:val="22"/>
          <w:szCs w:val="22"/>
          <w:highlight w:val="none"/>
        </w:rPr>
        <w:t>本项目不接受联合体投标。</w:t>
      </w:r>
    </w:p>
    <w:p w14:paraId="7D702B83">
      <w:pPr>
        <w:widowControl/>
        <w:numPr>
          <w:ilvl w:val="0"/>
          <w:numId w:val="3"/>
        </w:numPr>
        <w:spacing w:before="60" w:after="60" w:line="360" w:lineRule="auto"/>
        <w:ind w:right="60"/>
        <w:jc w:val="left"/>
        <w:rPr>
          <w:color w:val="auto"/>
          <w:kern w:val="0"/>
          <w:sz w:val="22"/>
          <w:szCs w:val="22"/>
          <w:highlight w:val="none"/>
        </w:rPr>
      </w:pPr>
      <w:r>
        <w:rPr>
          <w:bCs/>
          <w:color w:val="auto"/>
          <w:kern w:val="0"/>
          <w:sz w:val="22"/>
          <w:szCs w:val="22"/>
          <w:highlight w:val="none"/>
        </w:rPr>
        <w:t>发售</w:t>
      </w:r>
      <w:r>
        <w:rPr>
          <w:color w:val="auto"/>
          <w:kern w:val="0"/>
          <w:sz w:val="22"/>
          <w:szCs w:val="22"/>
          <w:highlight w:val="none"/>
        </w:rPr>
        <w:t>采购文件时间及地点：</w:t>
      </w:r>
    </w:p>
    <w:p w14:paraId="587C9309">
      <w:pPr>
        <w:widowControl/>
        <w:spacing w:line="360" w:lineRule="auto"/>
        <w:ind w:firstLine="440" w:firstLineChars="200"/>
        <w:jc w:val="left"/>
        <w:rPr>
          <w:color w:val="auto"/>
          <w:kern w:val="0"/>
          <w:sz w:val="22"/>
          <w:szCs w:val="22"/>
          <w:highlight w:val="none"/>
        </w:rPr>
      </w:pPr>
      <w:r>
        <w:rPr>
          <w:color w:val="auto"/>
          <w:kern w:val="0"/>
          <w:sz w:val="22"/>
          <w:szCs w:val="22"/>
          <w:highlight w:val="none"/>
        </w:rPr>
        <w:t>1.采购文件发售时间：本公告发布之日起至投标文件递交截止时间止（双休日及法定节假日除外，投标截止时间之前获取采购文件均有效，未购买采购文件的潜在投标人拒绝参加投标。)；</w:t>
      </w:r>
    </w:p>
    <w:p w14:paraId="2D77D742">
      <w:pPr>
        <w:widowControl/>
        <w:spacing w:line="360" w:lineRule="auto"/>
        <w:ind w:firstLine="440" w:firstLineChars="200"/>
        <w:jc w:val="left"/>
        <w:rPr>
          <w:color w:val="auto"/>
          <w:kern w:val="0"/>
          <w:sz w:val="22"/>
          <w:szCs w:val="22"/>
          <w:highlight w:val="none"/>
        </w:rPr>
      </w:pPr>
      <w:r>
        <w:rPr>
          <w:color w:val="auto"/>
          <w:kern w:val="0"/>
          <w:sz w:val="22"/>
          <w:szCs w:val="22"/>
          <w:highlight w:val="none"/>
        </w:rPr>
        <w:t>2.采购文件售价：人民币500元整（售后不退）。</w:t>
      </w:r>
    </w:p>
    <w:p w14:paraId="498AA51C">
      <w:pPr>
        <w:widowControl/>
        <w:spacing w:line="360" w:lineRule="auto"/>
        <w:ind w:firstLine="440" w:firstLineChars="200"/>
        <w:jc w:val="left"/>
        <w:rPr>
          <w:b/>
          <w:bCs/>
          <w:color w:val="auto"/>
          <w:kern w:val="0"/>
          <w:sz w:val="22"/>
          <w:szCs w:val="22"/>
          <w:highlight w:val="none"/>
        </w:rPr>
      </w:pPr>
      <w:bookmarkStart w:id="17" w:name="_Hlk3380468"/>
      <w:r>
        <w:rPr>
          <w:color w:val="auto"/>
          <w:kern w:val="0"/>
          <w:sz w:val="22"/>
          <w:szCs w:val="22"/>
          <w:highlight w:val="none"/>
        </w:rPr>
        <w:t>3.</w:t>
      </w:r>
      <w:r>
        <w:rPr>
          <w:rFonts w:eastAsia="新宋体"/>
          <w:b/>
          <w:bCs/>
          <w:color w:val="auto"/>
          <w:kern w:val="0"/>
          <w:sz w:val="22"/>
          <w:szCs w:val="22"/>
          <w:highlight w:val="none"/>
        </w:rPr>
        <w:t>获取采购文件方式：在乐采云平台（https://www.lecaiyun.com）上自主</w:t>
      </w:r>
      <w:r>
        <w:rPr>
          <w:rFonts w:hint="eastAsia" w:eastAsia="新宋体"/>
          <w:b/>
          <w:bCs/>
          <w:color w:val="auto"/>
          <w:kern w:val="0"/>
          <w:sz w:val="22"/>
          <w:szCs w:val="22"/>
          <w:highlight w:val="none"/>
          <w:lang w:val="en-US" w:eastAsia="zh-CN"/>
        </w:rPr>
        <w:t>获取</w:t>
      </w:r>
      <w:r>
        <w:rPr>
          <w:rFonts w:eastAsia="新宋体"/>
          <w:b/>
          <w:bCs/>
          <w:color w:val="auto"/>
          <w:kern w:val="0"/>
          <w:sz w:val="22"/>
          <w:szCs w:val="22"/>
          <w:highlight w:val="none"/>
        </w:rPr>
        <w:t>（未注册的投标人请尽早注册，客服电话：95763），网上获取后直接下载采购文件(投标文件递交截止时间前获取均有效),同时将书面资料扫描发送至采购代理机构</w:t>
      </w:r>
      <w:r>
        <w:rPr>
          <w:b/>
          <w:bCs/>
          <w:color w:val="auto"/>
          <w:kern w:val="0"/>
          <w:sz w:val="22"/>
          <w:szCs w:val="22"/>
          <w:highlight w:val="none"/>
        </w:rPr>
        <w:t>。纸质采购文件获取地址：</w:t>
      </w:r>
      <w:r>
        <w:rPr>
          <w:rFonts w:hint="eastAsia"/>
          <w:b/>
          <w:bCs/>
          <w:color w:val="auto"/>
          <w:kern w:val="0"/>
          <w:sz w:val="22"/>
          <w:szCs w:val="22"/>
          <w:highlight w:val="none"/>
          <w:u w:val="single"/>
          <w:lang w:val="en-US" w:eastAsia="zh-CN"/>
        </w:rPr>
        <w:t>温州市</w:t>
      </w:r>
      <w:r>
        <w:rPr>
          <w:b/>
          <w:color w:val="auto"/>
          <w:kern w:val="0"/>
          <w:sz w:val="22"/>
          <w:szCs w:val="22"/>
          <w:highlight w:val="none"/>
          <w:u w:val="single"/>
        </w:rPr>
        <w:t>鹿城区清源路142号海外传播大楼四楼</w:t>
      </w:r>
      <w:r>
        <w:rPr>
          <w:b/>
          <w:bCs/>
          <w:color w:val="auto"/>
          <w:kern w:val="0"/>
          <w:sz w:val="22"/>
          <w:szCs w:val="22"/>
          <w:highlight w:val="none"/>
        </w:rPr>
        <w:t>。</w:t>
      </w:r>
    </w:p>
    <w:bookmarkEnd w:id="17"/>
    <w:p w14:paraId="58E7540E">
      <w:pPr>
        <w:widowControl/>
        <w:numPr>
          <w:ilvl w:val="0"/>
          <w:numId w:val="3"/>
        </w:numPr>
        <w:spacing w:before="60" w:after="60" w:line="360" w:lineRule="auto"/>
        <w:ind w:right="60"/>
        <w:jc w:val="left"/>
        <w:rPr>
          <w:bCs/>
          <w:color w:val="auto"/>
          <w:kern w:val="0"/>
          <w:sz w:val="22"/>
          <w:szCs w:val="22"/>
          <w:highlight w:val="none"/>
        </w:rPr>
      </w:pPr>
      <w:r>
        <w:rPr>
          <w:bCs/>
          <w:color w:val="auto"/>
          <w:kern w:val="0"/>
          <w:sz w:val="22"/>
          <w:szCs w:val="22"/>
          <w:highlight w:val="none"/>
        </w:rPr>
        <w:t>投标截止时间：</w:t>
      </w:r>
      <w:r>
        <w:rPr>
          <w:color w:val="auto"/>
          <w:kern w:val="0"/>
          <w:sz w:val="22"/>
          <w:szCs w:val="22"/>
          <w:highlight w:val="none"/>
        </w:rPr>
        <w:t>2025年</w:t>
      </w:r>
      <w:r>
        <w:rPr>
          <w:rFonts w:hint="eastAsia"/>
          <w:color w:val="auto"/>
          <w:kern w:val="0"/>
          <w:sz w:val="22"/>
          <w:szCs w:val="22"/>
          <w:highlight w:val="none"/>
          <w:lang w:val="en-US" w:eastAsia="zh-CN"/>
        </w:rPr>
        <w:t>11</w:t>
      </w:r>
      <w:r>
        <w:rPr>
          <w:color w:val="auto"/>
          <w:kern w:val="0"/>
          <w:sz w:val="22"/>
          <w:szCs w:val="22"/>
          <w:highlight w:val="none"/>
        </w:rPr>
        <w:t>月</w:t>
      </w:r>
      <w:r>
        <w:rPr>
          <w:rFonts w:hint="eastAsia"/>
          <w:color w:val="auto"/>
          <w:kern w:val="0"/>
          <w:sz w:val="22"/>
          <w:szCs w:val="22"/>
          <w:highlight w:val="none"/>
          <w:lang w:val="en-US" w:eastAsia="zh-CN"/>
        </w:rPr>
        <w:t>07</w:t>
      </w:r>
      <w:r>
        <w:rPr>
          <w:color w:val="auto"/>
          <w:kern w:val="0"/>
          <w:sz w:val="22"/>
          <w:szCs w:val="22"/>
          <w:highlight w:val="none"/>
        </w:rPr>
        <w:t>日</w:t>
      </w:r>
      <w:r>
        <w:rPr>
          <w:rFonts w:hint="eastAsia"/>
          <w:color w:val="auto"/>
          <w:kern w:val="0"/>
          <w:sz w:val="22"/>
          <w:szCs w:val="22"/>
          <w:highlight w:val="none"/>
          <w:lang w:val="en-US" w:eastAsia="zh-CN"/>
        </w:rPr>
        <w:t>09</w:t>
      </w:r>
      <w:r>
        <w:rPr>
          <w:color w:val="auto"/>
          <w:kern w:val="0"/>
          <w:sz w:val="22"/>
          <w:szCs w:val="22"/>
          <w:highlight w:val="none"/>
        </w:rPr>
        <w:t>时30分整</w:t>
      </w:r>
      <w:r>
        <w:rPr>
          <w:bCs/>
          <w:color w:val="auto"/>
          <w:kern w:val="0"/>
          <w:sz w:val="22"/>
          <w:szCs w:val="22"/>
          <w:highlight w:val="none"/>
        </w:rPr>
        <w:t>(</w:t>
      </w:r>
      <w:r>
        <w:rPr>
          <w:b/>
          <w:bCs/>
          <w:color w:val="auto"/>
          <w:kern w:val="0"/>
          <w:sz w:val="22"/>
          <w:szCs w:val="22"/>
          <w:highlight w:val="none"/>
        </w:rPr>
        <w:t>以采购公告为准</w:t>
      </w:r>
      <w:r>
        <w:rPr>
          <w:bCs/>
          <w:color w:val="auto"/>
          <w:kern w:val="0"/>
          <w:sz w:val="22"/>
          <w:szCs w:val="22"/>
          <w:highlight w:val="none"/>
        </w:rPr>
        <w:t>)。</w:t>
      </w:r>
    </w:p>
    <w:p w14:paraId="3B5ED7A9">
      <w:pPr>
        <w:widowControl/>
        <w:numPr>
          <w:ilvl w:val="0"/>
          <w:numId w:val="3"/>
        </w:numPr>
        <w:spacing w:before="60" w:after="60" w:line="360" w:lineRule="auto"/>
        <w:ind w:right="60"/>
        <w:jc w:val="left"/>
        <w:rPr>
          <w:bCs/>
          <w:color w:val="auto"/>
          <w:kern w:val="0"/>
          <w:sz w:val="22"/>
          <w:szCs w:val="22"/>
          <w:highlight w:val="none"/>
        </w:rPr>
      </w:pPr>
      <w:r>
        <w:rPr>
          <w:bCs/>
          <w:color w:val="auto"/>
          <w:kern w:val="0"/>
          <w:sz w:val="22"/>
          <w:szCs w:val="22"/>
          <w:highlight w:val="none"/>
        </w:rPr>
        <w:t>投标文件提交地点：</w:t>
      </w:r>
      <w:r>
        <w:rPr>
          <w:rFonts w:hint="eastAsia"/>
          <w:bCs/>
          <w:color w:val="auto"/>
          <w:kern w:val="0"/>
          <w:sz w:val="22"/>
          <w:szCs w:val="22"/>
          <w:highlight w:val="none"/>
          <w:lang w:val="en-US" w:eastAsia="zh-CN"/>
        </w:rPr>
        <w:t>温州市</w:t>
      </w:r>
      <w:r>
        <w:rPr>
          <w:bCs/>
          <w:color w:val="auto"/>
          <w:kern w:val="0"/>
          <w:sz w:val="22"/>
          <w:szCs w:val="22"/>
          <w:highlight w:val="none"/>
        </w:rPr>
        <w:t>鹿城区清源路142号海外传播大楼四楼</w:t>
      </w:r>
      <w:r>
        <w:rPr>
          <w:rFonts w:hint="eastAsia"/>
          <w:bCs/>
          <w:color w:val="auto"/>
          <w:kern w:val="0"/>
          <w:sz w:val="22"/>
          <w:szCs w:val="22"/>
          <w:highlight w:val="none"/>
          <w:lang w:val="en-US" w:eastAsia="zh-CN"/>
        </w:rPr>
        <w:t>开标室</w:t>
      </w:r>
      <w:r>
        <w:rPr>
          <w:bCs/>
          <w:color w:val="auto"/>
          <w:kern w:val="0"/>
          <w:sz w:val="22"/>
          <w:szCs w:val="22"/>
          <w:highlight w:val="none"/>
        </w:rPr>
        <w:t>。</w:t>
      </w:r>
    </w:p>
    <w:p w14:paraId="51AC5C81">
      <w:pPr>
        <w:widowControl/>
        <w:numPr>
          <w:ilvl w:val="0"/>
          <w:numId w:val="3"/>
        </w:numPr>
        <w:spacing w:before="60" w:after="60" w:line="360" w:lineRule="auto"/>
        <w:ind w:right="60"/>
        <w:jc w:val="left"/>
        <w:rPr>
          <w:bCs/>
          <w:color w:val="auto"/>
          <w:kern w:val="0"/>
          <w:sz w:val="22"/>
          <w:szCs w:val="22"/>
          <w:highlight w:val="none"/>
        </w:rPr>
      </w:pPr>
      <w:r>
        <w:rPr>
          <w:bCs/>
          <w:color w:val="auto"/>
          <w:kern w:val="0"/>
          <w:sz w:val="22"/>
          <w:szCs w:val="22"/>
          <w:highlight w:val="none"/>
        </w:rPr>
        <w:t>开标时间：</w:t>
      </w:r>
      <w:bookmarkStart w:id="18" w:name="B26_谈判时间日期"/>
      <w:bookmarkEnd w:id="18"/>
      <w:r>
        <w:rPr>
          <w:bCs/>
          <w:color w:val="auto"/>
          <w:kern w:val="0"/>
          <w:sz w:val="22"/>
          <w:szCs w:val="22"/>
          <w:highlight w:val="none"/>
        </w:rPr>
        <w:t>同投标截止时间。</w:t>
      </w:r>
    </w:p>
    <w:p w14:paraId="7972CEC3">
      <w:pPr>
        <w:widowControl/>
        <w:numPr>
          <w:ilvl w:val="0"/>
          <w:numId w:val="3"/>
        </w:numPr>
        <w:spacing w:before="60" w:after="60" w:line="360" w:lineRule="auto"/>
        <w:ind w:right="60"/>
        <w:jc w:val="left"/>
        <w:rPr>
          <w:color w:val="auto"/>
          <w:sz w:val="22"/>
          <w:szCs w:val="22"/>
          <w:highlight w:val="none"/>
          <w:shd w:val="clear" w:color="auto" w:fill="FFFFFF"/>
        </w:rPr>
      </w:pPr>
      <w:r>
        <w:rPr>
          <w:bCs/>
          <w:color w:val="auto"/>
          <w:kern w:val="0"/>
          <w:sz w:val="22"/>
          <w:szCs w:val="22"/>
          <w:highlight w:val="none"/>
        </w:rPr>
        <w:t>开标地点：</w:t>
      </w:r>
      <w:r>
        <w:rPr>
          <w:rFonts w:hint="eastAsia"/>
          <w:bCs/>
          <w:color w:val="auto"/>
          <w:kern w:val="0"/>
          <w:sz w:val="22"/>
          <w:szCs w:val="22"/>
          <w:highlight w:val="none"/>
          <w:lang w:val="en-US" w:eastAsia="zh-CN"/>
        </w:rPr>
        <w:t>温州市</w:t>
      </w:r>
      <w:r>
        <w:rPr>
          <w:bCs/>
          <w:color w:val="auto"/>
          <w:kern w:val="0"/>
          <w:sz w:val="22"/>
          <w:szCs w:val="22"/>
          <w:highlight w:val="none"/>
        </w:rPr>
        <w:t>鹿城区清源路142号海外传播大楼四楼</w:t>
      </w:r>
      <w:r>
        <w:rPr>
          <w:rFonts w:hint="eastAsia"/>
          <w:bCs/>
          <w:color w:val="auto"/>
          <w:kern w:val="0"/>
          <w:sz w:val="22"/>
          <w:szCs w:val="22"/>
          <w:highlight w:val="none"/>
          <w:lang w:val="en-US" w:eastAsia="zh-CN"/>
        </w:rPr>
        <w:t>开标室</w:t>
      </w:r>
      <w:r>
        <w:rPr>
          <w:color w:val="auto"/>
          <w:sz w:val="22"/>
          <w:szCs w:val="22"/>
          <w:highlight w:val="none"/>
          <w:shd w:val="clear" w:color="auto" w:fill="FFFFFF"/>
        </w:rPr>
        <w:t>。</w:t>
      </w:r>
    </w:p>
    <w:p w14:paraId="760FD90F">
      <w:pPr>
        <w:widowControl/>
        <w:numPr>
          <w:ilvl w:val="0"/>
          <w:numId w:val="3"/>
        </w:numPr>
        <w:spacing w:before="60" w:after="60" w:line="360" w:lineRule="auto"/>
        <w:ind w:right="60"/>
        <w:jc w:val="left"/>
        <w:rPr>
          <w:bCs/>
          <w:color w:val="auto"/>
          <w:kern w:val="0"/>
          <w:sz w:val="22"/>
          <w:szCs w:val="22"/>
          <w:highlight w:val="none"/>
        </w:rPr>
      </w:pPr>
      <w:r>
        <w:rPr>
          <w:bCs/>
          <w:color w:val="auto"/>
          <w:kern w:val="0"/>
          <w:sz w:val="22"/>
          <w:szCs w:val="22"/>
          <w:highlight w:val="none"/>
        </w:rPr>
        <w:t>投标保证金及交付方式：</w:t>
      </w:r>
    </w:p>
    <w:p w14:paraId="71489359">
      <w:pPr>
        <w:widowControl/>
        <w:snapToGrid w:val="0"/>
        <w:spacing w:line="360" w:lineRule="auto"/>
        <w:ind w:firstLine="660" w:firstLineChars="300"/>
        <w:jc w:val="left"/>
        <w:rPr>
          <w:color w:val="auto"/>
          <w:kern w:val="0"/>
          <w:sz w:val="22"/>
          <w:szCs w:val="22"/>
          <w:highlight w:val="none"/>
        </w:rPr>
      </w:pPr>
      <w:bookmarkStart w:id="19" w:name="B29_谈判保证金"/>
      <w:bookmarkEnd w:id="19"/>
      <w:bookmarkStart w:id="20" w:name="_Hlk3381632"/>
      <w:r>
        <w:rPr>
          <w:color w:val="auto"/>
          <w:kern w:val="0"/>
          <w:sz w:val="22"/>
          <w:szCs w:val="22"/>
          <w:highlight w:val="none"/>
        </w:rPr>
        <w:t>投标保证金：</w:t>
      </w:r>
      <w:r>
        <w:rPr>
          <w:rFonts w:hint="eastAsia"/>
          <w:color w:val="auto"/>
          <w:kern w:val="0"/>
          <w:sz w:val="22"/>
          <w:szCs w:val="22"/>
          <w:highlight w:val="none"/>
          <w:lang w:val="en-US" w:eastAsia="zh-CN"/>
        </w:rPr>
        <w:t>保证金陆仟贰佰元整</w:t>
      </w:r>
      <w:r>
        <w:rPr>
          <w:color w:val="auto"/>
          <w:kern w:val="0"/>
          <w:sz w:val="22"/>
          <w:szCs w:val="22"/>
          <w:highlight w:val="none"/>
        </w:rPr>
        <w:t>。保证金缴纳截止时间</w:t>
      </w:r>
      <w:r>
        <w:rPr>
          <w:rFonts w:hint="eastAsia"/>
          <w:color w:val="auto"/>
          <w:kern w:val="0"/>
          <w:sz w:val="22"/>
          <w:szCs w:val="22"/>
          <w:highlight w:val="none"/>
          <w:lang w:eastAsia="zh-CN"/>
        </w:rPr>
        <w:t>：</w:t>
      </w:r>
      <w:r>
        <w:rPr>
          <w:color w:val="auto"/>
          <w:kern w:val="0"/>
          <w:sz w:val="22"/>
          <w:szCs w:val="22"/>
          <w:highlight w:val="none"/>
        </w:rPr>
        <w:t>投标截止时间前。</w:t>
      </w:r>
      <w:bookmarkEnd w:id="20"/>
      <w:r>
        <w:rPr>
          <w:color w:val="auto"/>
          <w:kern w:val="0"/>
          <w:sz w:val="22"/>
          <w:szCs w:val="22"/>
          <w:highlight w:val="none"/>
        </w:rPr>
        <w:t>投标供应商缴纳投标保证金后，请携带保证金缴纳凭证（银行转账支票进账单、电汇单等，缴纳保证金用途必须注明项目名称）复印件在提交投标文件时递交给采购代理机构，保证金缴纳时间以到账时间为准。</w:t>
      </w:r>
    </w:p>
    <w:p w14:paraId="7FD4F5C2">
      <w:pPr>
        <w:widowControl/>
        <w:snapToGrid w:val="0"/>
        <w:spacing w:line="360" w:lineRule="auto"/>
        <w:ind w:firstLine="660" w:firstLineChars="300"/>
        <w:jc w:val="left"/>
        <w:rPr>
          <w:color w:val="auto"/>
          <w:kern w:val="0"/>
          <w:sz w:val="22"/>
          <w:szCs w:val="22"/>
          <w:highlight w:val="none"/>
        </w:rPr>
      </w:pPr>
      <w:r>
        <w:rPr>
          <w:color w:val="auto"/>
          <w:kern w:val="0"/>
          <w:sz w:val="22"/>
          <w:szCs w:val="22"/>
          <w:highlight w:val="none"/>
        </w:rPr>
        <w:t>户  名：浙江工汇项目管理有限公司</w:t>
      </w:r>
    </w:p>
    <w:p w14:paraId="2C4E920C">
      <w:pPr>
        <w:widowControl/>
        <w:snapToGrid w:val="0"/>
        <w:spacing w:line="360" w:lineRule="auto"/>
        <w:ind w:firstLine="660" w:firstLineChars="300"/>
        <w:jc w:val="left"/>
        <w:rPr>
          <w:color w:val="auto"/>
          <w:kern w:val="0"/>
          <w:sz w:val="22"/>
          <w:szCs w:val="22"/>
          <w:highlight w:val="none"/>
        </w:rPr>
      </w:pPr>
      <w:r>
        <w:rPr>
          <w:color w:val="auto"/>
          <w:kern w:val="0"/>
          <w:sz w:val="22"/>
          <w:szCs w:val="22"/>
          <w:highlight w:val="none"/>
        </w:rPr>
        <w:t>开 户 行：兴业银行股份有限公司温州鹿城支行</w:t>
      </w:r>
    </w:p>
    <w:p w14:paraId="2ED2FEE9">
      <w:pPr>
        <w:widowControl/>
        <w:snapToGrid w:val="0"/>
        <w:spacing w:line="360" w:lineRule="auto"/>
        <w:ind w:firstLine="660" w:firstLineChars="300"/>
        <w:jc w:val="left"/>
        <w:rPr>
          <w:color w:val="auto"/>
          <w:kern w:val="0"/>
          <w:sz w:val="22"/>
          <w:szCs w:val="22"/>
          <w:highlight w:val="none"/>
        </w:rPr>
      </w:pPr>
      <w:r>
        <w:rPr>
          <w:color w:val="auto"/>
          <w:kern w:val="0"/>
          <w:sz w:val="22"/>
          <w:szCs w:val="22"/>
          <w:highlight w:val="none"/>
        </w:rPr>
        <w:t>账  号：355820100100183278</w:t>
      </w:r>
    </w:p>
    <w:p w14:paraId="5E243ABD">
      <w:pPr>
        <w:widowControl/>
        <w:spacing w:before="60" w:after="60" w:line="360" w:lineRule="auto"/>
        <w:ind w:right="60"/>
        <w:jc w:val="left"/>
        <w:rPr>
          <w:bCs/>
          <w:color w:val="auto"/>
          <w:kern w:val="0"/>
          <w:sz w:val="22"/>
          <w:szCs w:val="22"/>
          <w:highlight w:val="none"/>
        </w:rPr>
      </w:pPr>
      <w:r>
        <w:rPr>
          <w:bCs/>
          <w:color w:val="auto"/>
          <w:sz w:val="22"/>
          <w:szCs w:val="22"/>
          <w:highlight w:val="none"/>
        </w:rPr>
        <w:t>十一</w:t>
      </w:r>
      <w:r>
        <w:rPr>
          <w:b/>
          <w:color w:val="auto"/>
          <w:sz w:val="22"/>
          <w:szCs w:val="22"/>
          <w:highlight w:val="none"/>
        </w:rPr>
        <w:t>、</w:t>
      </w:r>
      <w:r>
        <w:rPr>
          <w:bCs/>
          <w:color w:val="auto"/>
          <w:kern w:val="0"/>
          <w:sz w:val="22"/>
          <w:szCs w:val="22"/>
          <w:highlight w:val="none"/>
        </w:rPr>
        <w:t>其他事项：</w:t>
      </w:r>
    </w:p>
    <w:p w14:paraId="24A7C224">
      <w:pPr>
        <w:widowControl/>
        <w:snapToGrid w:val="0"/>
        <w:spacing w:line="360" w:lineRule="auto"/>
        <w:ind w:firstLine="440" w:firstLineChars="200"/>
        <w:jc w:val="left"/>
        <w:rPr>
          <w:color w:val="auto"/>
          <w:kern w:val="0"/>
          <w:sz w:val="22"/>
          <w:szCs w:val="22"/>
          <w:highlight w:val="none"/>
        </w:rPr>
      </w:pPr>
      <w:r>
        <w:rPr>
          <w:color w:val="auto"/>
          <w:kern w:val="0"/>
          <w:sz w:val="22"/>
          <w:szCs w:val="22"/>
          <w:highlight w:val="none"/>
        </w:rPr>
        <w:t>1.获取采购文件提交的文件资料：</w:t>
      </w:r>
    </w:p>
    <w:p w14:paraId="7B3CAFAF">
      <w:pPr>
        <w:widowControl/>
        <w:snapToGrid w:val="0"/>
        <w:spacing w:line="360" w:lineRule="auto"/>
        <w:ind w:firstLine="660" w:firstLineChars="300"/>
        <w:jc w:val="left"/>
        <w:rPr>
          <w:color w:val="auto"/>
          <w:kern w:val="0"/>
          <w:sz w:val="22"/>
          <w:szCs w:val="22"/>
          <w:highlight w:val="none"/>
        </w:rPr>
      </w:pPr>
      <w:r>
        <w:rPr>
          <w:color w:val="auto"/>
          <w:kern w:val="0"/>
          <w:sz w:val="22"/>
          <w:szCs w:val="22"/>
          <w:highlight w:val="none"/>
        </w:rPr>
        <w:t>1）获取采购文件申请表(请下载打印填写，加盖公章,见附件)；</w:t>
      </w:r>
    </w:p>
    <w:p w14:paraId="0434AA59">
      <w:pPr>
        <w:widowControl/>
        <w:snapToGrid w:val="0"/>
        <w:spacing w:line="360" w:lineRule="auto"/>
        <w:ind w:firstLine="660" w:firstLineChars="300"/>
        <w:jc w:val="left"/>
        <w:rPr>
          <w:color w:val="auto"/>
          <w:kern w:val="0"/>
          <w:sz w:val="22"/>
          <w:szCs w:val="22"/>
          <w:highlight w:val="none"/>
        </w:rPr>
      </w:pPr>
      <w:r>
        <w:rPr>
          <w:color w:val="auto"/>
          <w:kern w:val="0"/>
          <w:sz w:val="22"/>
          <w:szCs w:val="22"/>
          <w:highlight w:val="none"/>
        </w:rPr>
        <w:t>2）有效的法人营业执照（复制件加盖公章）。</w:t>
      </w:r>
    </w:p>
    <w:p w14:paraId="6349BFE2">
      <w:pPr>
        <w:widowControl/>
        <w:snapToGrid w:val="0"/>
        <w:spacing w:line="360" w:lineRule="auto"/>
        <w:ind w:firstLine="440" w:firstLineChars="200"/>
        <w:jc w:val="left"/>
        <w:rPr>
          <w:color w:val="auto"/>
          <w:kern w:val="0"/>
          <w:sz w:val="22"/>
          <w:szCs w:val="22"/>
          <w:highlight w:val="none"/>
        </w:rPr>
      </w:pPr>
      <w:r>
        <w:rPr>
          <w:color w:val="auto"/>
          <w:kern w:val="0"/>
          <w:sz w:val="22"/>
          <w:szCs w:val="22"/>
          <w:highlight w:val="none"/>
        </w:rPr>
        <w:t>注：将书面资料扫描发送至采购代理机构邮箱：</w:t>
      </w:r>
      <w:r>
        <w:rPr>
          <w:color w:val="auto"/>
          <w:highlight w:val="none"/>
        </w:rPr>
        <w:fldChar w:fldCharType="begin"/>
      </w:r>
      <w:r>
        <w:rPr>
          <w:color w:val="auto"/>
          <w:highlight w:val="none"/>
        </w:rPr>
        <w:instrText xml:space="preserve"> HYPERLINK "mailto:629981664@qq.com，" </w:instrText>
      </w:r>
      <w:r>
        <w:rPr>
          <w:color w:val="auto"/>
          <w:highlight w:val="none"/>
        </w:rPr>
        <w:fldChar w:fldCharType="separate"/>
      </w:r>
      <w:r>
        <w:rPr>
          <w:rStyle w:val="34"/>
          <w:color w:val="auto"/>
          <w:kern w:val="0"/>
          <w:sz w:val="22"/>
          <w:szCs w:val="22"/>
          <w:highlight w:val="none"/>
        </w:rPr>
        <w:t>629981664@qq.com，</w:t>
      </w:r>
      <w:r>
        <w:rPr>
          <w:rStyle w:val="34"/>
          <w:color w:val="auto"/>
          <w:kern w:val="0"/>
          <w:sz w:val="22"/>
          <w:szCs w:val="22"/>
          <w:highlight w:val="none"/>
        </w:rPr>
        <w:fldChar w:fldCharType="end"/>
      </w:r>
      <w:r>
        <w:rPr>
          <w:color w:val="auto"/>
          <w:kern w:val="0"/>
          <w:sz w:val="22"/>
          <w:szCs w:val="22"/>
          <w:highlight w:val="none"/>
        </w:rPr>
        <w:t>同时将标文费转账至采购文件购买费汇入支付宝账号：13566258484，并将汇款凭证随申请表一并发送至邮箱。</w:t>
      </w:r>
    </w:p>
    <w:p w14:paraId="2D3E17AC">
      <w:pPr>
        <w:widowControl/>
        <w:snapToGrid w:val="0"/>
        <w:spacing w:line="360" w:lineRule="auto"/>
        <w:ind w:firstLine="440" w:firstLineChars="200"/>
        <w:jc w:val="left"/>
        <w:rPr>
          <w:color w:val="auto"/>
          <w:kern w:val="0"/>
          <w:sz w:val="22"/>
          <w:szCs w:val="22"/>
          <w:highlight w:val="none"/>
        </w:rPr>
      </w:pPr>
      <w:r>
        <w:rPr>
          <w:color w:val="auto"/>
          <w:kern w:val="0"/>
          <w:sz w:val="22"/>
          <w:szCs w:val="22"/>
          <w:highlight w:val="none"/>
        </w:rPr>
        <w:t>2.采购公告期限：7个日历天，从本公告发布的次日起算。</w:t>
      </w:r>
    </w:p>
    <w:p w14:paraId="20572886">
      <w:pPr>
        <w:widowControl/>
        <w:snapToGrid w:val="0"/>
        <w:spacing w:line="360" w:lineRule="auto"/>
        <w:ind w:firstLine="440" w:firstLineChars="200"/>
        <w:jc w:val="left"/>
        <w:rPr>
          <w:color w:val="auto"/>
          <w:kern w:val="0"/>
          <w:sz w:val="22"/>
          <w:szCs w:val="22"/>
          <w:highlight w:val="none"/>
        </w:rPr>
      </w:pPr>
      <w:r>
        <w:rPr>
          <w:color w:val="auto"/>
          <w:kern w:val="0"/>
          <w:sz w:val="22"/>
          <w:szCs w:val="22"/>
          <w:highlight w:val="none"/>
        </w:rPr>
        <w:t>3.</w:t>
      </w:r>
      <w:r>
        <w:rPr>
          <w:b/>
          <w:bCs/>
          <w:color w:val="auto"/>
          <w:kern w:val="0"/>
          <w:sz w:val="22"/>
          <w:szCs w:val="22"/>
          <w:highlight w:val="none"/>
          <w:u w:val="single"/>
        </w:rPr>
        <w:t>供应商认为采购文件使自己的权益受到损害的，可以在投标截止时间3个日历天前以书面形式向采购组织机构提出质疑（即针对采购文件提出的质疑应在2025年</w:t>
      </w:r>
      <w:r>
        <w:rPr>
          <w:rFonts w:hint="eastAsia"/>
          <w:b/>
          <w:bCs/>
          <w:color w:val="auto"/>
          <w:kern w:val="0"/>
          <w:sz w:val="22"/>
          <w:szCs w:val="22"/>
          <w:highlight w:val="none"/>
          <w:u w:val="single"/>
          <w:lang w:val="en-US" w:eastAsia="zh-CN"/>
        </w:rPr>
        <w:t>11</w:t>
      </w:r>
      <w:r>
        <w:rPr>
          <w:b/>
          <w:bCs/>
          <w:color w:val="auto"/>
          <w:kern w:val="0"/>
          <w:sz w:val="22"/>
          <w:szCs w:val="22"/>
          <w:highlight w:val="none"/>
          <w:u w:val="single"/>
        </w:rPr>
        <w:t>月</w:t>
      </w:r>
      <w:r>
        <w:rPr>
          <w:rFonts w:hint="eastAsia"/>
          <w:b/>
          <w:bCs/>
          <w:color w:val="auto"/>
          <w:kern w:val="0"/>
          <w:sz w:val="22"/>
          <w:szCs w:val="22"/>
          <w:highlight w:val="none"/>
          <w:u w:val="single"/>
          <w:lang w:val="en-US" w:eastAsia="zh-CN"/>
        </w:rPr>
        <w:t>03</w:t>
      </w:r>
      <w:r>
        <w:rPr>
          <w:b/>
          <w:bCs/>
          <w:color w:val="auto"/>
          <w:kern w:val="0"/>
          <w:sz w:val="22"/>
          <w:szCs w:val="22"/>
          <w:highlight w:val="none"/>
          <w:u w:val="single"/>
        </w:rPr>
        <w:t>日17:00之前以书面形式向采购组织机构提出），逾期提出的，采购组织机构可以不予受理、答复。采购组织机构在收到质疑之日起2个日历天内做出书面答复。质疑投标供应商对采购人、采购代理机构的答复不满意或者采购人、采购代理机构未在规定的时间内作出答复的，可以在答复期满后15个工作日内向</w:t>
      </w:r>
      <w:r>
        <w:rPr>
          <w:rFonts w:hint="eastAsia"/>
          <w:b/>
          <w:color w:val="auto"/>
          <w:kern w:val="0"/>
          <w:sz w:val="22"/>
          <w:szCs w:val="22"/>
          <w:highlight w:val="none"/>
          <w:u w:val="single"/>
          <w:lang w:eastAsia="zh-CN"/>
        </w:rPr>
        <w:t>温州市工业与能源发展集团有限公司纪检监察室</w:t>
      </w:r>
      <w:r>
        <w:rPr>
          <w:b/>
          <w:bCs/>
          <w:color w:val="auto"/>
          <w:kern w:val="0"/>
          <w:sz w:val="22"/>
          <w:szCs w:val="22"/>
          <w:highlight w:val="none"/>
          <w:u w:val="single"/>
        </w:rPr>
        <w:t>投诉。</w:t>
      </w:r>
    </w:p>
    <w:p w14:paraId="37F6F9E7">
      <w:pPr>
        <w:widowControl/>
        <w:snapToGrid w:val="0"/>
        <w:spacing w:line="360" w:lineRule="auto"/>
        <w:ind w:firstLine="442" w:firstLineChars="200"/>
        <w:jc w:val="left"/>
        <w:rPr>
          <w:b/>
          <w:bCs/>
          <w:color w:val="auto"/>
          <w:kern w:val="0"/>
          <w:sz w:val="22"/>
          <w:szCs w:val="22"/>
          <w:highlight w:val="none"/>
          <w:u w:val="single"/>
        </w:rPr>
      </w:pPr>
      <w:bookmarkStart w:id="21" w:name="_Toc7168"/>
      <w:r>
        <w:rPr>
          <w:b/>
          <w:bCs/>
          <w:color w:val="auto"/>
          <w:kern w:val="0"/>
          <w:sz w:val="22"/>
          <w:szCs w:val="22"/>
          <w:highlight w:val="none"/>
          <w:u w:val="single"/>
        </w:rPr>
        <w:t>4.</w:t>
      </w:r>
      <w:r>
        <w:rPr>
          <w:rFonts w:hint="eastAsia"/>
          <w:b/>
          <w:bCs/>
          <w:color w:val="auto"/>
          <w:kern w:val="0"/>
          <w:sz w:val="22"/>
          <w:szCs w:val="22"/>
          <w:highlight w:val="none"/>
          <w:u w:val="single"/>
          <w:lang w:eastAsia="zh-CN"/>
        </w:rPr>
        <w:t>温州市工业与能源发展集团有限公司纪检监察室</w:t>
      </w:r>
      <w:r>
        <w:rPr>
          <w:b/>
          <w:bCs/>
          <w:color w:val="auto"/>
          <w:kern w:val="0"/>
          <w:sz w:val="22"/>
          <w:szCs w:val="22"/>
          <w:highlight w:val="none"/>
          <w:u w:val="single"/>
        </w:rPr>
        <w:t>负责对投标供应商反映的企业本部及所属企业在采购活动中出现的违法违规问题进行投诉回复。投标供应商认为</w:t>
      </w:r>
      <w:r>
        <w:rPr>
          <w:rFonts w:hint="eastAsia"/>
          <w:b/>
          <w:bCs/>
          <w:color w:val="auto"/>
          <w:kern w:val="0"/>
          <w:sz w:val="22"/>
          <w:szCs w:val="22"/>
          <w:highlight w:val="none"/>
          <w:u w:val="single"/>
          <w:lang w:eastAsia="zh-CN"/>
        </w:rPr>
        <w:t>温州市工业与能源发展集团有限公司纪检监察室</w:t>
      </w:r>
      <w:r>
        <w:rPr>
          <w:b/>
          <w:bCs/>
          <w:color w:val="auto"/>
          <w:kern w:val="0"/>
          <w:sz w:val="22"/>
          <w:szCs w:val="22"/>
          <w:highlight w:val="none"/>
          <w:u w:val="single"/>
        </w:rPr>
        <w:t>投诉回复处理结果不合法的，可以采购人或代理机构为对象依法向人民法院提起诉讼。</w:t>
      </w:r>
      <w:bookmarkEnd w:id="21"/>
    </w:p>
    <w:p w14:paraId="55C439A5">
      <w:pPr>
        <w:widowControl/>
        <w:snapToGrid w:val="0"/>
        <w:spacing w:line="360" w:lineRule="auto"/>
        <w:ind w:firstLine="440" w:firstLineChars="200"/>
        <w:jc w:val="left"/>
        <w:rPr>
          <w:color w:val="auto"/>
          <w:kern w:val="0"/>
          <w:sz w:val="22"/>
          <w:szCs w:val="22"/>
          <w:highlight w:val="none"/>
        </w:rPr>
      </w:pPr>
      <w:r>
        <w:rPr>
          <w:bCs/>
          <w:color w:val="auto"/>
          <w:kern w:val="0"/>
          <w:sz w:val="22"/>
          <w:szCs w:val="22"/>
          <w:highlight w:val="none"/>
        </w:rPr>
        <w:t>5.采购公告附件的采购文件仅供阅览使用，未按照本公告规定的方式获取采购文件的潜在供应商提起的质疑采购组织机构将不予受理、不予答复。</w:t>
      </w:r>
    </w:p>
    <w:p w14:paraId="4656CE2D">
      <w:pPr>
        <w:widowControl/>
        <w:spacing w:before="60" w:after="60" w:line="360" w:lineRule="auto"/>
        <w:ind w:right="60"/>
        <w:jc w:val="left"/>
        <w:rPr>
          <w:bCs/>
          <w:color w:val="auto"/>
          <w:kern w:val="0"/>
          <w:sz w:val="22"/>
          <w:szCs w:val="22"/>
          <w:highlight w:val="none"/>
        </w:rPr>
      </w:pPr>
      <w:r>
        <w:rPr>
          <w:bCs/>
          <w:color w:val="auto"/>
          <w:kern w:val="0"/>
          <w:sz w:val="22"/>
          <w:szCs w:val="22"/>
          <w:highlight w:val="none"/>
        </w:rPr>
        <w:t>十二、联系方式</w:t>
      </w:r>
    </w:p>
    <w:p w14:paraId="10891348">
      <w:pPr>
        <w:widowControl/>
        <w:spacing w:before="60" w:after="60" w:line="360" w:lineRule="auto"/>
        <w:ind w:left="61" w:leftChars="29" w:right="60" w:firstLine="440" w:firstLineChars="200"/>
        <w:jc w:val="left"/>
        <w:rPr>
          <w:rFonts w:hint="eastAsia" w:eastAsia="宋体"/>
          <w:bCs/>
          <w:color w:val="auto"/>
          <w:kern w:val="0"/>
          <w:sz w:val="22"/>
          <w:szCs w:val="22"/>
          <w:highlight w:val="none"/>
          <w:lang w:eastAsia="zh-CN"/>
        </w:rPr>
      </w:pPr>
      <w:r>
        <w:rPr>
          <w:bCs/>
          <w:color w:val="auto"/>
          <w:kern w:val="0"/>
          <w:sz w:val="22"/>
          <w:szCs w:val="22"/>
          <w:highlight w:val="none"/>
        </w:rPr>
        <w:t>1.采购人名称：</w:t>
      </w:r>
      <w:r>
        <w:rPr>
          <w:rFonts w:hint="eastAsia"/>
          <w:bCs/>
          <w:color w:val="auto"/>
          <w:kern w:val="0"/>
          <w:sz w:val="22"/>
          <w:szCs w:val="22"/>
          <w:highlight w:val="none"/>
          <w:lang w:eastAsia="zh-CN"/>
        </w:rPr>
        <w:t>温州市数据集团有限公司</w:t>
      </w:r>
    </w:p>
    <w:p w14:paraId="0684805E">
      <w:pPr>
        <w:widowControl/>
        <w:spacing w:before="60" w:after="60" w:line="360" w:lineRule="auto"/>
        <w:ind w:left="61" w:leftChars="29" w:right="60" w:firstLine="440" w:firstLineChars="200"/>
        <w:jc w:val="left"/>
        <w:rPr>
          <w:rFonts w:hint="default" w:eastAsia="宋体"/>
          <w:color w:val="auto"/>
          <w:sz w:val="22"/>
          <w:szCs w:val="22"/>
          <w:highlight w:val="none"/>
          <w:lang w:val="en-US" w:eastAsia="zh-CN"/>
        </w:rPr>
      </w:pPr>
      <w:r>
        <w:rPr>
          <w:rFonts w:hint="eastAsia"/>
          <w:bCs/>
          <w:color w:val="auto"/>
          <w:kern w:val="0"/>
          <w:sz w:val="22"/>
          <w:szCs w:val="22"/>
          <w:highlight w:val="none"/>
        </w:rPr>
        <w:t>联系人：</w:t>
      </w:r>
      <w:r>
        <w:rPr>
          <w:rFonts w:hint="eastAsia"/>
          <w:bCs/>
          <w:color w:val="auto"/>
          <w:kern w:val="0"/>
          <w:sz w:val="22"/>
          <w:szCs w:val="22"/>
          <w:highlight w:val="none"/>
          <w:lang w:val="en-US" w:eastAsia="zh-CN"/>
        </w:rPr>
        <w:t>陈先生</w:t>
      </w:r>
    </w:p>
    <w:p w14:paraId="1BEB291D">
      <w:pPr>
        <w:widowControl/>
        <w:spacing w:before="60" w:after="60" w:line="360" w:lineRule="auto"/>
        <w:ind w:left="61" w:leftChars="29" w:right="60" w:firstLine="440" w:firstLineChars="200"/>
        <w:jc w:val="left"/>
        <w:rPr>
          <w:bCs/>
          <w:color w:val="auto"/>
          <w:kern w:val="0"/>
          <w:sz w:val="22"/>
          <w:szCs w:val="22"/>
          <w:highlight w:val="none"/>
        </w:rPr>
      </w:pPr>
      <w:r>
        <w:rPr>
          <w:rFonts w:hint="eastAsia"/>
          <w:bCs/>
          <w:color w:val="auto"/>
          <w:kern w:val="0"/>
          <w:sz w:val="22"/>
          <w:szCs w:val="22"/>
          <w:highlight w:val="none"/>
        </w:rPr>
        <w:t>联系电话：0577-88785069</w:t>
      </w:r>
    </w:p>
    <w:p w14:paraId="3129B198">
      <w:pPr>
        <w:widowControl/>
        <w:spacing w:before="60" w:after="60" w:line="360" w:lineRule="auto"/>
        <w:ind w:left="61" w:leftChars="29" w:right="60" w:firstLine="440" w:firstLineChars="200"/>
        <w:jc w:val="left"/>
        <w:rPr>
          <w:rFonts w:hint="eastAsia" w:eastAsia="宋体"/>
          <w:bCs/>
          <w:color w:val="auto"/>
          <w:kern w:val="0"/>
          <w:sz w:val="22"/>
          <w:szCs w:val="22"/>
          <w:highlight w:val="none"/>
          <w:lang w:eastAsia="zh-CN"/>
        </w:rPr>
      </w:pPr>
      <w:r>
        <w:rPr>
          <w:bCs/>
          <w:color w:val="auto"/>
          <w:kern w:val="0"/>
          <w:sz w:val="22"/>
          <w:szCs w:val="22"/>
          <w:highlight w:val="none"/>
        </w:rPr>
        <w:t>地址：</w:t>
      </w:r>
      <w:r>
        <w:rPr>
          <w:rFonts w:hint="eastAsia"/>
          <w:bCs/>
          <w:color w:val="auto"/>
          <w:kern w:val="0"/>
          <w:sz w:val="22"/>
          <w:szCs w:val="22"/>
          <w:highlight w:val="none"/>
          <w:lang w:eastAsia="zh-CN"/>
        </w:rPr>
        <w:t>浙江省温州市瓯海区梧田街道瓯海大道368号上宸大厦A幢11层、12层</w:t>
      </w:r>
    </w:p>
    <w:p w14:paraId="4930E20B">
      <w:pPr>
        <w:widowControl/>
        <w:spacing w:before="60" w:after="60" w:line="360" w:lineRule="auto"/>
        <w:ind w:left="61" w:leftChars="29" w:right="60" w:firstLine="442" w:firstLineChars="200"/>
        <w:jc w:val="left"/>
        <w:rPr>
          <w:b/>
          <w:color w:val="auto"/>
          <w:kern w:val="0"/>
          <w:sz w:val="22"/>
          <w:szCs w:val="22"/>
          <w:highlight w:val="none"/>
          <w:u w:val="single"/>
        </w:rPr>
      </w:pPr>
      <w:r>
        <w:rPr>
          <w:b/>
          <w:color w:val="auto"/>
          <w:kern w:val="0"/>
          <w:sz w:val="22"/>
          <w:szCs w:val="22"/>
          <w:highlight w:val="none"/>
          <w:u w:val="single"/>
        </w:rPr>
        <w:t>2.招标代理机构名称：浙江工汇项目管理有限公司</w:t>
      </w:r>
    </w:p>
    <w:p w14:paraId="0BD5F7F4">
      <w:pPr>
        <w:widowControl/>
        <w:spacing w:before="60" w:after="60" w:line="360" w:lineRule="auto"/>
        <w:ind w:left="61" w:leftChars="29" w:right="60" w:firstLine="442" w:firstLineChars="200"/>
        <w:jc w:val="left"/>
        <w:rPr>
          <w:b/>
          <w:color w:val="auto"/>
          <w:kern w:val="0"/>
          <w:sz w:val="22"/>
          <w:szCs w:val="22"/>
          <w:highlight w:val="none"/>
          <w:u w:val="single"/>
        </w:rPr>
      </w:pPr>
      <w:r>
        <w:rPr>
          <w:b/>
          <w:color w:val="auto"/>
          <w:kern w:val="0"/>
          <w:sz w:val="22"/>
          <w:szCs w:val="22"/>
          <w:highlight w:val="none"/>
          <w:u w:val="single"/>
        </w:rPr>
        <w:t>联系人：潘工、联系电话：15868541472</w:t>
      </w:r>
    </w:p>
    <w:p w14:paraId="415BACCC">
      <w:pPr>
        <w:widowControl/>
        <w:spacing w:before="60" w:after="60" w:line="360" w:lineRule="auto"/>
        <w:ind w:left="61" w:leftChars="29" w:right="60" w:firstLine="442" w:firstLineChars="200"/>
        <w:jc w:val="left"/>
        <w:rPr>
          <w:b/>
          <w:color w:val="auto"/>
          <w:kern w:val="0"/>
          <w:sz w:val="22"/>
          <w:szCs w:val="22"/>
          <w:highlight w:val="none"/>
          <w:u w:val="single"/>
        </w:rPr>
      </w:pPr>
      <w:r>
        <w:rPr>
          <w:b/>
          <w:color w:val="auto"/>
          <w:kern w:val="0"/>
          <w:sz w:val="22"/>
          <w:szCs w:val="22"/>
          <w:highlight w:val="none"/>
          <w:u w:val="single"/>
        </w:rPr>
        <w:t>质疑联系人：肖慧、联系电话：13606874516</w:t>
      </w:r>
    </w:p>
    <w:p w14:paraId="06CE358C">
      <w:pPr>
        <w:widowControl/>
        <w:spacing w:before="60" w:after="60" w:line="360" w:lineRule="auto"/>
        <w:ind w:left="61" w:leftChars="29" w:right="60" w:firstLine="442" w:firstLineChars="200"/>
        <w:jc w:val="left"/>
        <w:rPr>
          <w:b/>
          <w:color w:val="auto"/>
          <w:kern w:val="0"/>
          <w:sz w:val="22"/>
          <w:szCs w:val="22"/>
          <w:highlight w:val="none"/>
          <w:u w:val="single"/>
        </w:rPr>
      </w:pPr>
      <w:r>
        <w:rPr>
          <w:b/>
          <w:color w:val="auto"/>
          <w:kern w:val="0"/>
          <w:sz w:val="22"/>
          <w:szCs w:val="22"/>
          <w:highlight w:val="none"/>
          <w:u w:val="single"/>
        </w:rPr>
        <w:t>地 址：鹿城区清源路142号海外传播大楼四楼</w:t>
      </w:r>
    </w:p>
    <w:p w14:paraId="020BCB91">
      <w:pPr>
        <w:widowControl/>
        <w:numPr>
          <w:ilvl w:val="0"/>
          <w:numId w:val="0"/>
        </w:numPr>
        <w:spacing w:before="60" w:after="60" w:line="360" w:lineRule="auto"/>
        <w:ind w:left="61" w:leftChars="29" w:right="60" w:rightChars="0" w:firstLine="442" w:firstLineChars="200"/>
        <w:jc w:val="left"/>
        <w:rPr>
          <w:rFonts w:hint="eastAsia" w:eastAsia="宋体"/>
          <w:b/>
          <w:color w:val="auto"/>
          <w:kern w:val="0"/>
          <w:sz w:val="22"/>
          <w:szCs w:val="22"/>
          <w:highlight w:val="none"/>
          <w:u w:val="single"/>
          <w:lang w:eastAsia="zh-CN"/>
        </w:rPr>
      </w:pPr>
      <w:r>
        <w:rPr>
          <w:rFonts w:hint="eastAsia" w:ascii="Times New Roman" w:hAnsi="Times New Roman" w:eastAsia="宋体" w:cs="Times New Roman"/>
          <w:b/>
          <w:color w:val="auto"/>
          <w:kern w:val="0"/>
          <w:sz w:val="22"/>
          <w:szCs w:val="22"/>
          <w:highlight w:val="none"/>
          <w:lang w:val="en-US" w:eastAsia="zh-CN" w:bidi="ar-SA"/>
        </w:rPr>
        <w:t>3.</w:t>
      </w:r>
      <w:r>
        <w:rPr>
          <w:rFonts w:hint="eastAsia"/>
          <w:b/>
          <w:color w:val="auto"/>
          <w:kern w:val="0"/>
          <w:sz w:val="22"/>
          <w:szCs w:val="22"/>
          <w:highlight w:val="none"/>
          <w:u w:val="single"/>
        </w:rPr>
        <w:t>采购监督管理部门：</w:t>
      </w:r>
      <w:r>
        <w:rPr>
          <w:rFonts w:hint="eastAsia"/>
          <w:b/>
          <w:color w:val="auto"/>
          <w:kern w:val="0"/>
          <w:sz w:val="22"/>
          <w:szCs w:val="22"/>
          <w:highlight w:val="none"/>
          <w:u w:val="single"/>
          <w:lang w:eastAsia="zh-CN"/>
        </w:rPr>
        <w:t>温州市工业与能源发展集团有限公司纪检监察室</w:t>
      </w:r>
    </w:p>
    <w:p w14:paraId="1BD75302">
      <w:pPr>
        <w:widowControl/>
        <w:spacing w:before="60" w:after="60" w:line="360" w:lineRule="auto"/>
        <w:ind w:left="61" w:leftChars="29" w:right="60" w:firstLine="442" w:firstLineChars="200"/>
        <w:jc w:val="left"/>
        <w:rPr>
          <w:rFonts w:hint="eastAsia" w:eastAsia="宋体"/>
          <w:b/>
          <w:color w:val="auto"/>
          <w:kern w:val="0"/>
          <w:sz w:val="22"/>
          <w:szCs w:val="22"/>
          <w:highlight w:val="none"/>
          <w:u w:val="single"/>
          <w:lang w:eastAsia="zh-CN"/>
        </w:rPr>
      </w:pPr>
      <w:r>
        <w:rPr>
          <w:rFonts w:hint="eastAsia"/>
          <w:b/>
          <w:color w:val="auto"/>
          <w:kern w:val="0"/>
          <w:sz w:val="22"/>
          <w:szCs w:val="22"/>
          <w:highlight w:val="none"/>
          <w:u w:val="single"/>
        </w:rPr>
        <w:t>联系方式：</w:t>
      </w:r>
      <w:r>
        <w:rPr>
          <w:rFonts w:hint="eastAsia"/>
          <w:b/>
          <w:color w:val="auto"/>
          <w:kern w:val="0"/>
          <w:sz w:val="22"/>
          <w:szCs w:val="22"/>
          <w:highlight w:val="none"/>
          <w:u w:val="single"/>
          <w:lang w:eastAsia="zh-CN"/>
        </w:rPr>
        <w:t>0577-55598012</w:t>
      </w:r>
    </w:p>
    <w:p w14:paraId="63F60B15">
      <w:pPr>
        <w:spacing w:line="360" w:lineRule="auto"/>
        <w:jc w:val="right"/>
        <w:rPr>
          <w:b/>
          <w:bCs/>
          <w:color w:val="auto"/>
          <w:sz w:val="22"/>
          <w:szCs w:val="22"/>
          <w:highlight w:val="none"/>
        </w:rPr>
      </w:pPr>
    </w:p>
    <w:p w14:paraId="7FD7E300">
      <w:pPr>
        <w:spacing w:line="360" w:lineRule="auto"/>
        <w:jc w:val="right"/>
        <w:rPr>
          <w:b/>
          <w:bCs/>
          <w:color w:val="auto"/>
          <w:sz w:val="22"/>
          <w:szCs w:val="22"/>
          <w:highlight w:val="none"/>
        </w:rPr>
      </w:pPr>
    </w:p>
    <w:p w14:paraId="6208EA4C">
      <w:pPr>
        <w:spacing w:line="360" w:lineRule="auto"/>
        <w:jc w:val="right"/>
        <w:rPr>
          <w:rFonts w:hint="eastAsia" w:eastAsia="宋体"/>
          <w:b/>
          <w:bCs/>
          <w:color w:val="auto"/>
          <w:sz w:val="22"/>
          <w:szCs w:val="22"/>
          <w:highlight w:val="none"/>
          <w:lang w:eastAsia="zh-CN"/>
        </w:rPr>
      </w:pPr>
      <w:r>
        <w:rPr>
          <w:rFonts w:hint="eastAsia"/>
          <w:b/>
          <w:bCs/>
          <w:color w:val="auto"/>
          <w:sz w:val="22"/>
          <w:szCs w:val="22"/>
          <w:highlight w:val="none"/>
          <w:lang w:eastAsia="zh-CN"/>
        </w:rPr>
        <w:t>温州市数据集团有限公司</w:t>
      </w:r>
    </w:p>
    <w:p w14:paraId="27D884A4">
      <w:pPr>
        <w:spacing w:line="360" w:lineRule="auto"/>
        <w:jc w:val="right"/>
        <w:rPr>
          <w:b/>
          <w:bCs/>
          <w:color w:val="auto"/>
          <w:kern w:val="0"/>
          <w:sz w:val="22"/>
          <w:szCs w:val="22"/>
          <w:highlight w:val="none"/>
        </w:rPr>
      </w:pPr>
      <w:r>
        <w:rPr>
          <w:b/>
          <w:bCs/>
          <w:color w:val="auto"/>
          <w:kern w:val="0"/>
          <w:sz w:val="22"/>
          <w:szCs w:val="22"/>
          <w:highlight w:val="none"/>
        </w:rPr>
        <w:t>浙江工汇项目管理有限公司</w:t>
      </w:r>
    </w:p>
    <w:p w14:paraId="59EDD0F7">
      <w:pPr>
        <w:widowControl/>
        <w:spacing w:line="360" w:lineRule="auto"/>
        <w:ind w:firstLine="442" w:firstLineChars="200"/>
        <w:jc w:val="right"/>
        <w:rPr>
          <w:b/>
          <w:bCs/>
          <w:color w:val="auto"/>
          <w:kern w:val="0"/>
          <w:sz w:val="22"/>
          <w:szCs w:val="22"/>
          <w:highlight w:val="none"/>
        </w:rPr>
      </w:pPr>
      <w:r>
        <w:rPr>
          <w:b/>
          <w:bCs/>
          <w:color w:val="auto"/>
          <w:kern w:val="0"/>
          <w:sz w:val="22"/>
          <w:szCs w:val="22"/>
          <w:highlight w:val="none"/>
        </w:rPr>
        <w:t>2025年</w:t>
      </w:r>
      <w:r>
        <w:rPr>
          <w:rFonts w:hint="eastAsia"/>
          <w:b/>
          <w:bCs/>
          <w:color w:val="auto"/>
          <w:kern w:val="0"/>
          <w:sz w:val="22"/>
          <w:szCs w:val="22"/>
          <w:highlight w:val="none"/>
          <w:lang w:val="en-US" w:eastAsia="zh-CN"/>
        </w:rPr>
        <w:t>10</w:t>
      </w:r>
      <w:r>
        <w:rPr>
          <w:b/>
          <w:bCs/>
          <w:color w:val="auto"/>
          <w:kern w:val="0"/>
          <w:sz w:val="22"/>
          <w:szCs w:val="22"/>
          <w:highlight w:val="none"/>
        </w:rPr>
        <w:t>月</w:t>
      </w:r>
      <w:r>
        <w:rPr>
          <w:rFonts w:hint="eastAsia"/>
          <w:b/>
          <w:bCs/>
          <w:color w:val="auto"/>
          <w:kern w:val="0"/>
          <w:sz w:val="22"/>
          <w:szCs w:val="22"/>
          <w:highlight w:val="none"/>
          <w:lang w:val="en-US" w:eastAsia="zh-CN"/>
        </w:rPr>
        <w:t>30</w:t>
      </w:r>
      <w:r>
        <w:rPr>
          <w:b/>
          <w:bCs/>
          <w:color w:val="auto"/>
          <w:kern w:val="0"/>
          <w:sz w:val="22"/>
          <w:szCs w:val="22"/>
          <w:highlight w:val="none"/>
        </w:rPr>
        <w:t>日</w:t>
      </w:r>
    </w:p>
    <w:p w14:paraId="02772449">
      <w:pPr>
        <w:widowControl/>
        <w:spacing w:line="360" w:lineRule="auto"/>
        <w:ind w:firstLine="420" w:firstLineChars="200"/>
        <w:jc w:val="right"/>
        <w:rPr>
          <w:color w:val="auto"/>
          <w:kern w:val="0"/>
          <w:szCs w:val="21"/>
          <w:highlight w:val="none"/>
        </w:rPr>
      </w:pPr>
    </w:p>
    <w:p w14:paraId="06D8B446">
      <w:pPr>
        <w:pStyle w:val="2"/>
        <w:spacing w:line="360" w:lineRule="auto"/>
        <w:rPr>
          <w:rFonts w:ascii="Times New Roman" w:eastAsia="宋体"/>
          <w:b w:val="0"/>
          <w:bCs w:val="0"/>
          <w:color w:val="auto"/>
          <w:sz w:val="32"/>
          <w:szCs w:val="32"/>
          <w:highlight w:val="none"/>
        </w:rPr>
      </w:pPr>
      <w:r>
        <w:rPr>
          <w:rFonts w:ascii="Times New Roman" w:eastAsia="宋体"/>
          <w:b w:val="0"/>
          <w:bCs w:val="0"/>
          <w:color w:val="auto"/>
          <w:sz w:val="32"/>
          <w:szCs w:val="32"/>
          <w:highlight w:val="none"/>
        </w:rPr>
        <w:br w:type="page"/>
      </w:r>
      <w:bookmarkStart w:id="22" w:name="_Toc12686"/>
      <w:r>
        <w:rPr>
          <w:rFonts w:hint="eastAsia" w:ascii="Times New Roman" w:eastAsia="宋体"/>
          <w:color w:val="auto"/>
          <w:sz w:val="32"/>
          <w:szCs w:val="32"/>
          <w:highlight w:val="none"/>
        </w:rPr>
        <w:t>温州市工业与能源集团</w:t>
      </w:r>
      <w:r>
        <w:rPr>
          <w:rFonts w:ascii="Times New Roman" w:eastAsia="宋体"/>
          <w:color w:val="auto"/>
          <w:sz w:val="32"/>
          <w:szCs w:val="32"/>
          <w:highlight w:val="none"/>
        </w:rPr>
        <w:t>所属</w:t>
      </w:r>
      <w:r>
        <w:rPr>
          <w:rFonts w:hint="eastAsia" w:ascii="Times New Roman" w:eastAsia="宋体"/>
          <w:color w:val="auto"/>
          <w:sz w:val="32"/>
          <w:szCs w:val="32"/>
          <w:highlight w:val="none"/>
          <w:lang w:eastAsia="zh-CN"/>
        </w:rPr>
        <w:t>温州市数据集团有限公司</w:t>
      </w:r>
      <w:r>
        <w:rPr>
          <w:rFonts w:ascii="Times New Roman" w:eastAsia="宋体"/>
          <w:color w:val="auto"/>
          <w:sz w:val="32"/>
          <w:szCs w:val="32"/>
          <w:highlight w:val="none"/>
        </w:rPr>
        <w:t>关于</w:t>
      </w:r>
      <w:r>
        <w:rPr>
          <w:rFonts w:hint="eastAsia" w:ascii="Times New Roman" w:eastAsia="宋体"/>
          <w:color w:val="auto"/>
          <w:sz w:val="32"/>
          <w:szCs w:val="32"/>
          <w:highlight w:val="none"/>
          <w:lang w:eastAsia="zh-CN"/>
        </w:rPr>
        <w:t>温州城市数据空间项目监理服务（</w:t>
      </w:r>
      <w:r>
        <w:rPr>
          <w:rFonts w:hint="eastAsia" w:ascii="Times New Roman" w:eastAsia="宋体"/>
          <w:color w:val="auto"/>
          <w:sz w:val="32"/>
          <w:szCs w:val="32"/>
          <w:highlight w:val="none"/>
          <w:lang w:val="en-US" w:eastAsia="zh-CN"/>
        </w:rPr>
        <w:t>自主</w:t>
      </w:r>
      <w:r>
        <w:rPr>
          <w:rFonts w:hint="eastAsia" w:ascii="Times New Roman" w:eastAsia="宋体"/>
          <w:color w:val="auto"/>
          <w:sz w:val="32"/>
          <w:szCs w:val="32"/>
          <w:highlight w:val="none"/>
          <w:lang w:eastAsia="zh-CN"/>
        </w:rPr>
        <w:t>）</w:t>
      </w:r>
      <w:r>
        <w:rPr>
          <w:rFonts w:ascii="Times New Roman" w:eastAsia="宋体"/>
          <w:color w:val="auto"/>
          <w:sz w:val="32"/>
          <w:szCs w:val="32"/>
          <w:highlight w:val="none"/>
        </w:rPr>
        <w:t>的征求意见公示</w:t>
      </w:r>
      <w:bookmarkEnd w:id="22"/>
    </w:p>
    <w:p w14:paraId="47A18D49">
      <w:pPr>
        <w:widowControl/>
        <w:spacing w:line="360" w:lineRule="auto"/>
        <w:ind w:firstLine="440" w:firstLineChars="200"/>
        <w:jc w:val="left"/>
        <w:rPr>
          <w:color w:val="auto"/>
          <w:kern w:val="0"/>
          <w:sz w:val="22"/>
          <w:highlight w:val="none"/>
        </w:rPr>
      </w:pPr>
      <w:r>
        <w:rPr>
          <w:color w:val="auto"/>
          <w:kern w:val="0"/>
          <w:sz w:val="22"/>
          <w:highlight w:val="none"/>
        </w:rPr>
        <w:t>浙江工汇项目管理有限公司就</w:t>
      </w:r>
      <w:r>
        <w:rPr>
          <w:rFonts w:hint="eastAsia"/>
          <w:color w:val="auto"/>
          <w:kern w:val="0"/>
          <w:sz w:val="22"/>
          <w:highlight w:val="none"/>
          <w:lang w:eastAsia="zh-CN"/>
        </w:rPr>
        <w:t>温州城市数据空间项目监理服务</w:t>
      </w:r>
      <w:r>
        <w:rPr>
          <w:color w:val="auto"/>
          <w:kern w:val="0"/>
          <w:sz w:val="22"/>
          <w:highlight w:val="none"/>
        </w:rPr>
        <w:t>以公开招标方式采购。现将采购文件公布如下,并公开征求供应商及专家意见。</w:t>
      </w:r>
    </w:p>
    <w:p w14:paraId="0594CEB3">
      <w:pPr>
        <w:widowControl/>
        <w:spacing w:line="360" w:lineRule="auto"/>
        <w:ind w:firstLine="440" w:firstLineChars="200"/>
        <w:jc w:val="left"/>
        <w:rPr>
          <w:color w:val="auto"/>
          <w:sz w:val="22"/>
          <w:highlight w:val="none"/>
        </w:rPr>
      </w:pPr>
      <w:r>
        <w:rPr>
          <w:color w:val="auto"/>
          <w:sz w:val="22"/>
          <w:highlight w:val="none"/>
        </w:rPr>
        <w:t>一、征求意见范围：</w:t>
      </w:r>
    </w:p>
    <w:p w14:paraId="6823A384">
      <w:pPr>
        <w:widowControl/>
        <w:spacing w:line="360" w:lineRule="auto"/>
        <w:ind w:firstLine="440" w:firstLineChars="200"/>
        <w:jc w:val="left"/>
        <w:rPr>
          <w:color w:val="auto"/>
          <w:sz w:val="22"/>
          <w:highlight w:val="none"/>
        </w:rPr>
      </w:pPr>
      <w:r>
        <w:rPr>
          <w:color w:val="auto"/>
          <w:sz w:val="22"/>
          <w:highlight w:val="none"/>
        </w:rPr>
        <w:t>　1、是否出现明显的倾向性意见和特定的性能指标；</w:t>
      </w:r>
    </w:p>
    <w:p w14:paraId="44174CE7">
      <w:pPr>
        <w:widowControl/>
        <w:spacing w:line="360" w:lineRule="auto"/>
        <w:ind w:firstLine="440" w:firstLineChars="200"/>
        <w:jc w:val="left"/>
        <w:rPr>
          <w:color w:val="auto"/>
          <w:sz w:val="22"/>
          <w:highlight w:val="none"/>
        </w:rPr>
      </w:pPr>
      <w:r>
        <w:rPr>
          <w:color w:val="auto"/>
          <w:sz w:val="22"/>
          <w:highlight w:val="none"/>
        </w:rPr>
        <w:t>　2、投标人资格条件是否具有明显倾向性和歧视性；</w:t>
      </w:r>
    </w:p>
    <w:p w14:paraId="2804DAB0">
      <w:pPr>
        <w:widowControl/>
        <w:spacing w:line="360" w:lineRule="auto"/>
        <w:ind w:firstLine="440" w:firstLineChars="200"/>
        <w:jc w:val="left"/>
        <w:rPr>
          <w:color w:val="auto"/>
          <w:sz w:val="22"/>
          <w:highlight w:val="none"/>
        </w:rPr>
      </w:pPr>
      <w:r>
        <w:rPr>
          <w:color w:val="auto"/>
          <w:sz w:val="22"/>
          <w:highlight w:val="none"/>
        </w:rPr>
        <w:t>　3、影响温州市国有企业采购“公开、公平、公正”原则的其他情况。 </w:t>
      </w:r>
    </w:p>
    <w:p w14:paraId="5802EF4E">
      <w:pPr>
        <w:widowControl/>
        <w:spacing w:line="360" w:lineRule="auto"/>
        <w:ind w:firstLine="440" w:firstLineChars="200"/>
        <w:jc w:val="left"/>
        <w:rPr>
          <w:color w:val="auto"/>
          <w:sz w:val="22"/>
          <w:highlight w:val="none"/>
        </w:rPr>
      </w:pPr>
      <w:r>
        <w:rPr>
          <w:color w:val="auto"/>
          <w:sz w:val="22"/>
          <w:highlight w:val="none"/>
        </w:rPr>
        <w:t>二、征求意见的回复：</w:t>
      </w:r>
    </w:p>
    <w:p w14:paraId="59B8C742">
      <w:pPr>
        <w:widowControl/>
        <w:spacing w:line="360" w:lineRule="auto"/>
        <w:ind w:firstLine="440" w:firstLineChars="200"/>
        <w:jc w:val="left"/>
        <w:rPr>
          <w:color w:val="auto"/>
          <w:sz w:val="22"/>
          <w:highlight w:val="none"/>
        </w:rPr>
      </w:pPr>
      <w:r>
        <w:rPr>
          <w:color w:val="auto"/>
          <w:sz w:val="22"/>
          <w:highlight w:val="none"/>
        </w:rPr>
        <w:t>各供应商及专家提出修改理由和建议的，请于2025年</w:t>
      </w:r>
      <w:r>
        <w:rPr>
          <w:rFonts w:hint="eastAsia"/>
          <w:color w:val="auto"/>
          <w:sz w:val="22"/>
          <w:highlight w:val="none"/>
          <w:lang w:val="en-US" w:eastAsia="zh-CN"/>
        </w:rPr>
        <w:t>11</w:t>
      </w:r>
      <w:r>
        <w:rPr>
          <w:color w:val="auto"/>
          <w:sz w:val="22"/>
          <w:highlight w:val="none"/>
        </w:rPr>
        <w:t>月</w:t>
      </w:r>
      <w:r>
        <w:rPr>
          <w:rFonts w:hint="eastAsia"/>
          <w:color w:val="auto"/>
          <w:sz w:val="22"/>
          <w:highlight w:val="none"/>
          <w:lang w:val="en-US" w:eastAsia="zh-CN"/>
        </w:rPr>
        <w:t>03</w:t>
      </w:r>
      <w:r>
        <w:rPr>
          <w:color w:val="auto"/>
          <w:sz w:val="22"/>
          <w:highlight w:val="none"/>
        </w:rPr>
        <w:t>日下午17</w:t>
      </w:r>
      <w:r>
        <w:rPr>
          <w:rFonts w:hint="eastAsia"/>
          <w:color w:val="auto"/>
          <w:sz w:val="22"/>
          <w:highlight w:val="none"/>
          <w:lang w:eastAsia="zh-CN"/>
        </w:rPr>
        <w:t>：</w:t>
      </w:r>
      <w:r>
        <w:rPr>
          <w:rFonts w:hint="eastAsia"/>
          <w:color w:val="auto"/>
          <w:sz w:val="22"/>
          <w:highlight w:val="none"/>
          <w:lang w:val="en-US" w:eastAsia="zh-CN"/>
        </w:rPr>
        <w:t>00</w:t>
      </w:r>
      <w:r>
        <w:rPr>
          <w:color w:val="auto"/>
          <w:sz w:val="22"/>
          <w:highlight w:val="none"/>
        </w:rPr>
        <w:t>前（节假日除外）将书面材料签字（盖章）并密封后送至</w:t>
      </w:r>
      <w:r>
        <w:rPr>
          <w:color w:val="auto"/>
          <w:kern w:val="0"/>
          <w:sz w:val="22"/>
          <w:highlight w:val="none"/>
        </w:rPr>
        <w:t>鹿城区清源路142号海外传播大楼四楼</w:t>
      </w:r>
      <w:r>
        <w:rPr>
          <w:color w:val="auto"/>
          <w:sz w:val="22"/>
          <w:highlight w:val="none"/>
        </w:rPr>
        <w:t>，外地可传真送达，传真：0577-86185186，传真件必须签字（盖章）。同时将电子文档发送至以下信箱：629981664@qq.com。</w:t>
      </w:r>
    </w:p>
    <w:p w14:paraId="13E545FD">
      <w:pPr>
        <w:widowControl/>
        <w:spacing w:line="360" w:lineRule="auto"/>
        <w:ind w:firstLine="440" w:firstLineChars="200"/>
        <w:jc w:val="left"/>
        <w:rPr>
          <w:color w:val="auto"/>
          <w:sz w:val="22"/>
          <w:highlight w:val="none"/>
        </w:rPr>
      </w:pPr>
      <w:r>
        <w:rPr>
          <w:color w:val="auto"/>
          <w:sz w:val="22"/>
          <w:highlight w:val="none"/>
        </w:rPr>
        <w:t>联系</w:t>
      </w:r>
      <w:r>
        <w:rPr>
          <w:color w:val="auto"/>
          <w:sz w:val="22"/>
          <w:szCs w:val="22"/>
          <w:highlight w:val="none"/>
        </w:rPr>
        <w:t>人：潘工  联系电话：15868541472。对逾期送达的意见、建议</w:t>
      </w:r>
      <w:r>
        <w:rPr>
          <w:color w:val="auto"/>
          <w:sz w:val="22"/>
          <w:highlight w:val="none"/>
        </w:rPr>
        <w:t>书恕不接受。</w:t>
      </w:r>
    </w:p>
    <w:p w14:paraId="370D72E9">
      <w:pPr>
        <w:widowControl/>
        <w:spacing w:line="360" w:lineRule="auto"/>
        <w:jc w:val="left"/>
        <w:rPr>
          <w:color w:val="auto"/>
          <w:kern w:val="0"/>
          <w:sz w:val="22"/>
          <w:highlight w:val="none"/>
        </w:rPr>
      </w:pPr>
      <w:r>
        <w:rPr>
          <w:color w:val="auto"/>
          <w:kern w:val="0"/>
          <w:sz w:val="22"/>
          <w:highlight w:val="none"/>
        </w:rPr>
        <w:t>附：采购文件</w:t>
      </w:r>
    </w:p>
    <w:p w14:paraId="7D27B47B">
      <w:pPr>
        <w:pStyle w:val="9"/>
        <w:rPr>
          <w:color w:val="auto"/>
          <w:highlight w:val="none"/>
        </w:rPr>
      </w:pPr>
    </w:p>
    <w:p w14:paraId="1484EB8B">
      <w:pPr>
        <w:widowControl/>
        <w:spacing w:line="360" w:lineRule="auto"/>
        <w:jc w:val="right"/>
        <w:rPr>
          <w:rFonts w:hint="eastAsia" w:eastAsia="宋体"/>
          <w:color w:val="auto"/>
          <w:kern w:val="0"/>
          <w:sz w:val="22"/>
          <w:highlight w:val="none"/>
          <w:lang w:eastAsia="zh-CN"/>
        </w:rPr>
      </w:pPr>
      <w:r>
        <w:rPr>
          <w:rFonts w:hint="eastAsia"/>
          <w:color w:val="auto"/>
          <w:kern w:val="0"/>
          <w:sz w:val="22"/>
          <w:highlight w:val="none"/>
          <w:lang w:eastAsia="zh-CN"/>
        </w:rPr>
        <w:t>温州市数据集团有限公司</w:t>
      </w:r>
    </w:p>
    <w:p w14:paraId="6583FDE8">
      <w:pPr>
        <w:widowControl/>
        <w:spacing w:line="360" w:lineRule="auto"/>
        <w:jc w:val="right"/>
        <w:rPr>
          <w:color w:val="auto"/>
          <w:kern w:val="0"/>
          <w:sz w:val="22"/>
          <w:szCs w:val="22"/>
          <w:highlight w:val="none"/>
        </w:rPr>
      </w:pPr>
      <w:r>
        <w:rPr>
          <w:color w:val="auto"/>
          <w:kern w:val="0"/>
          <w:sz w:val="22"/>
          <w:szCs w:val="22"/>
          <w:highlight w:val="none"/>
        </w:rPr>
        <w:t>浙江工汇项目管理有限公司</w:t>
      </w:r>
    </w:p>
    <w:p w14:paraId="5D79B619">
      <w:pPr>
        <w:widowControl/>
        <w:spacing w:line="360" w:lineRule="auto"/>
        <w:jc w:val="right"/>
        <w:rPr>
          <w:color w:val="auto"/>
          <w:kern w:val="0"/>
          <w:sz w:val="22"/>
          <w:highlight w:val="none"/>
        </w:rPr>
      </w:pPr>
      <w:r>
        <w:rPr>
          <w:color w:val="auto"/>
          <w:kern w:val="0"/>
          <w:sz w:val="22"/>
          <w:highlight w:val="none"/>
        </w:rPr>
        <w:t>2025年</w:t>
      </w:r>
      <w:r>
        <w:rPr>
          <w:rFonts w:hint="eastAsia"/>
          <w:color w:val="auto"/>
          <w:kern w:val="0"/>
          <w:sz w:val="22"/>
          <w:highlight w:val="none"/>
          <w:lang w:val="en-US" w:eastAsia="zh-CN"/>
        </w:rPr>
        <w:t>10</w:t>
      </w:r>
      <w:r>
        <w:rPr>
          <w:color w:val="auto"/>
          <w:kern w:val="0"/>
          <w:sz w:val="22"/>
          <w:highlight w:val="none"/>
        </w:rPr>
        <w:t>月</w:t>
      </w:r>
      <w:r>
        <w:rPr>
          <w:rFonts w:hint="eastAsia"/>
          <w:color w:val="auto"/>
          <w:kern w:val="0"/>
          <w:sz w:val="22"/>
          <w:highlight w:val="none"/>
          <w:lang w:val="en-US" w:eastAsia="zh-CN"/>
        </w:rPr>
        <w:t>30</w:t>
      </w:r>
      <w:r>
        <w:rPr>
          <w:color w:val="auto"/>
          <w:kern w:val="0"/>
          <w:sz w:val="22"/>
          <w:highlight w:val="none"/>
        </w:rPr>
        <w:t>日</w:t>
      </w:r>
    </w:p>
    <w:p w14:paraId="502B5569">
      <w:pPr>
        <w:widowControl/>
        <w:spacing w:line="360" w:lineRule="auto"/>
        <w:jc w:val="center"/>
        <w:rPr>
          <w:b/>
          <w:bCs/>
          <w:color w:val="auto"/>
          <w:sz w:val="32"/>
          <w:szCs w:val="32"/>
          <w:highlight w:val="none"/>
        </w:rPr>
      </w:pPr>
      <w:r>
        <w:rPr>
          <w:color w:val="auto"/>
          <w:kern w:val="0"/>
          <w:sz w:val="22"/>
          <w:highlight w:val="none"/>
        </w:rPr>
        <w:br w:type="page"/>
      </w:r>
      <w:bookmarkStart w:id="23" w:name="_Toc389760259"/>
      <w:r>
        <w:rPr>
          <w:b/>
          <w:bCs/>
          <w:color w:val="auto"/>
          <w:sz w:val="32"/>
          <w:szCs w:val="32"/>
          <w:highlight w:val="none"/>
        </w:rPr>
        <w:t>投标</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23"/>
      <w:r>
        <w:rPr>
          <w:b/>
          <w:bCs/>
          <w:color w:val="auto"/>
          <w:sz w:val="32"/>
          <w:szCs w:val="32"/>
          <w:highlight w:val="none"/>
        </w:rPr>
        <w:t>人须知前附表</w:t>
      </w:r>
    </w:p>
    <w:tbl>
      <w:tblPr>
        <w:tblStyle w:val="2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092"/>
        <w:gridCol w:w="7051"/>
      </w:tblGrid>
      <w:tr w14:paraId="546039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tblHeader/>
        </w:trPr>
        <w:tc>
          <w:tcPr>
            <w:tcW w:w="705" w:type="dxa"/>
            <w:shd w:val="clear" w:color="auto" w:fill="C2D69B"/>
            <w:vAlign w:val="center"/>
          </w:tcPr>
          <w:p w14:paraId="2F6B9ED1">
            <w:pPr>
              <w:spacing w:before="60" w:after="60"/>
              <w:jc w:val="center"/>
              <w:rPr>
                <w:color w:val="auto"/>
                <w:kern w:val="0"/>
                <w:sz w:val="22"/>
                <w:szCs w:val="22"/>
                <w:highlight w:val="none"/>
              </w:rPr>
            </w:pPr>
            <w:r>
              <w:rPr>
                <w:color w:val="auto"/>
                <w:kern w:val="0"/>
                <w:sz w:val="22"/>
                <w:szCs w:val="22"/>
                <w:highlight w:val="none"/>
              </w:rPr>
              <w:t>序号</w:t>
            </w:r>
          </w:p>
        </w:tc>
        <w:tc>
          <w:tcPr>
            <w:tcW w:w="2092" w:type="dxa"/>
            <w:shd w:val="clear" w:color="auto" w:fill="C2D69B"/>
            <w:vAlign w:val="center"/>
          </w:tcPr>
          <w:p w14:paraId="46E6B68C">
            <w:pPr>
              <w:spacing w:before="60" w:after="60"/>
              <w:jc w:val="left"/>
              <w:rPr>
                <w:color w:val="auto"/>
                <w:kern w:val="0"/>
                <w:sz w:val="22"/>
                <w:szCs w:val="22"/>
                <w:highlight w:val="none"/>
              </w:rPr>
            </w:pPr>
            <w:r>
              <w:rPr>
                <w:color w:val="auto"/>
                <w:kern w:val="0"/>
                <w:sz w:val="22"/>
                <w:szCs w:val="22"/>
                <w:highlight w:val="none"/>
              </w:rPr>
              <w:t>条款名称</w:t>
            </w:r>
          </w:p>
        </w:tc>
        <w:tc>
          <w:tcPr>
            <w:tcW w:w="7051" w:type="dxa"/>
            <w:shd w:val="clear" w:color="auto" w:fill="C2D69B"/>
            <w:vAlign w:val="center"/>
          </w:tcPr>
          <w:p w14:paraId="234DA1C1">
            <w:pPr>
              <w:spacing w:before="60" w:after="60"/>
              <w:jc w:val="center"/>
              <w:rPr>
                <w:color w:val="auto"/>
                <w:kern w:val="0"/>
                <w:sz w:val="22"/>
                <w:szCs w:val="22"/>
                <w:highlight w:val="none"/>
              </w:rPr>
            </w:pPr>
            <w:r>
              <w:rPr>
                <w:color w:val="auto"/>
                <w:kern w:val="0"/>
                <w:sz w:val="22"/>
                <w:szCs w:val="22"/>
                <w:highlight w:val="none"/>
              </w:rPr>
              <w:t>编列内容</w:t>
            </w:r>
          </w:p>
        </w:tc>
      </w:tr>
      <w:tr w14:paraId="368E7F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705" w:type="dxa"/>
            <w:vAlign w:val="center"/>
          </w:tcPr>
          <w:p w14:paraId="13F7D8C9">
            <w:pPr>
              <w:spacing w:before="60" w:after="60"/>
              <w:jc w:val="center"/>
              <w:rPr>
                <w:color w:val="auto"/>
                <w:kern w:val="0"/>
                <w:sz w:val="22"/>
                <w:szCs w:val="22"/>
                <w:highlight w:val="none"/>
              </w:rPr>
            </w:pPr>
            <w:r>
              <w:rPr>
                <w:color w:val="auto"/>
                <w:kern w:val="0"/>
                <w:sz w:val="22"/>
                <w:szCs w:val="22"/>
                <w:highlight w:val="none"/>
              </w:rPr>
              <w:t>1</w:t>
            </w:r>
          </w:p>
        </w:tc>
        <w:tc>
          <w:tcPr>
            <w:tcW w:w="2092" w:type="dxa"/>
            <w:vAlign w:val="center"/>
          </w:tcPr>
          <w:p w14:paraId="50DAD6BC">
            <w:pPr>
              <w:spacing w:before="60" w:after="60"/>
              <w:jc w:val="left"/>
              <w:rPr>
                <w:color w:val="auto"/>
                <w:kern w:val="0"/>
                <w:sz w:val="22"/>
                <w:szCs w:val="22"/>
                <w:highlight w:val="none"/>
              </w:rPr>
            </w:pPr>
            <w:r>
              <w:rPr>
                <w:color w:val="auto"/>
                <w:kern w:val="0"/>
                <w:sz w:val="22"/>
                <w:szCs w:val="22"/>
                <w:highlight w:val="none"/>
              </w:rPr>
              <w:t>采购人</w:t>
            </w:r>
          </w:p>
        </w:tc>
        <w:tc>
          <w:tcPr>
            <w:tcW w:w="7051" w:type="dxa"/>
            <w:vAlign w:val="center"/>
          </w:tcPr>
          <w:p w14:paraId="67A25706">
            <w:pPr>
              <w:spacing w:before="60" w:after="60"/>
              <w:rPr>
                <w:color w:val="auto"/>
                <w:kern w:val="0"/>
                <w:sz w:val="22"/>
                <w:szCs w:val="22"/>
                <w:highlight w:val="none"/>
              </w:rPr>
            </w:pPr>
            <w:r>
              <w:rPr>
                <w:color w:val="auto"/>
                <w:kern w:val="0"/>
                <w:sz w:val="22"/>
                <w:szCs w:val="22"/>
                <w:highlight w:val="none"/>
              </w:rPr>
              <w:t>采购人名称：</w:t>
            </w:r>
            <w:r>
              <w:rPr>
                <w:rFonts w:hint="eastAsia"/>
                <w:color w:val="auto"/>
                <w:kern w:val="0"/>
                <w:sz w:val="22"/>
                <w:szCs w:val="22"/>
                <w:highlight w:val="none"/>
                <w:lang w:eastAsia="zh-CN"/>
              </w:rPr>
              <w:t>温州市数据集团有限公司</w:t>
            </w:r>
            <w:r>
              <w:rPr>
                <w:color w:val="auto"/>
                <w:kern w:val="0"/>
                <w:sz w:val="22"/>
                <w:szCs w:val="22"/>
                <w:highlight w:val="none"/>
              </w:rPr>
              <w:t xml:space="preserve">        </w:t>
            </w:r>
          </w:p>
          <w:p w14:paraId="7AA42071">
            <w:pPr>
              <w:spacing w:before="60" w:after="60"/>
              <w:rPr>
                <w:rFonts w:hint="default" w:eastAsia="宋体"/>
                <w:color w:val="auto"/>
                <w:kern w:val="0"/>
                <w:sz w:val="22"/>
                <w:szCs w:val="22"/>
                <w:highlight w:val="none"/>
                <w:lang w:val="en-US" w:eastAsia="zh-CN"/>
              </w:rPr>
            </w:pPr>
            <w:r>
              <w:rPr>
                <w:rFonts w:hint="eastAsia"/>
                <w:color w:val="auto"/>
                <w:kern w:val="0"/>
                <w:sz w:val="22"/>
                <w:szCs w:val="22"/>
                <w:highlight w:val="none"/>
              </w:rPr>
              <w:t>联系人：</w:t>
            </w:r>
            <w:r>
              <w:rPr>
                <w:rFonts w:hint="eastAsia"/>
                <w:color w:val="auto"/>
                <w:kern w:val="0"/>
                <w:sz w:val="22"/>
                <w:szCs w:val="22"/>
                <w:highlight w:val="none"/>
                <w:lang w:val="en-US" w:eastAsia="zh-CN"/>
              </w:rPr>
              <w:t>陈先生</w:t>
            </w:r>
          </w:p>
          <w:p w14:paraId="7B442B91">
            <w:pPr>
              <w:spacing w:before="60" w:after="60"/>
              <w:rPr>
                <w:color w:val="auto"/>
                <w:kern w:val="0"/>
                <w:sz w:val="22"/>
                <w:szCs w:val="22"/>
                <w:highlight w:val="none"/>
              </w:rPr>
            </w:pPr>
            <w:r>
              <w:rPr>
                <w:rFonts w:hint="eastAsia"/>
                <w:color w:val="auto"/>
                <w:kern w:val="0"/>
                <w:sz w:val="22"/>
                <w:szCs w:val="22"/>
                <w:highlight w:val="none"/>
              </w:rPr>
              <w:t>联系电话：0577-88785069</w:t>
            </w:r>
          </w:p>
        </w:tc>
      </w:tr>
      <w:tr w14:paraId="6498CE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705" w:type="dxa"/>
            <w:vAlign w:val="center"/>
          </w:tcPr>
          <w:p w14:paraId="3BA96844">
            <w:pPr>
              <w:spacing w:before="60" w:after="60"/>
              <w:jc w:val="center"/>
              <w:rPr>
                <w:color w:val="auto"/>
                <w:kern w:val="0"/>
                <w:sz w:val="22"/>
                <w:szCs w:val="22"/>
                <w:highlight w:val="none"/>
              </w:rPr>
            </w:pPr>
            <w:r>
              <w:rPr>
                <w:color w:val="auto"/>
                <w:kern w:val="0"/>
                <w:sz w:val="22"/>
                <w:szCs w:val="22"/>
                <w:highlight w:val="none"/>
              </w:rPr>
              <w:t>2</w:t>
            </w:r>
          </w:p>
        </w:tc>
        <w:tc>
          <w:tcPr>
            <w:tcW w:w="2092" w:type="dxa"/>
            <w:vAlign w:val="center"/>
          </w:tcPr>
          <w:p w14:paraId="2218C65B">
            <w:pPr>
              <w:spacing w:before="60" w:after="60"/>
              <w:jc w:val="left"/>
              <w:rPr>
                <w:color w:val="auto"/>
                <w:kern w:val="0"/>
                <w:sz w:val="22"/>
                <w:szCs w:val="22"/>
                <w:highlight w:val="none"/>
              </w:rPr>
            </w:pPr>
            <w:r>
              <w:rPr>
                <w:color w:val="auto"/>
                <w:kern w:val="0"/>
                <w:sz w:val="22"/>
                <w:szCs w:val="22"/>
                <w:highlight w:val="none"/>
              </w:rPr>
              <w:t>招标代理</w:t>
            </w:r>
          </w:p>
        </w:tc>
        <w:tc>
          <w:tcPr>
            <w:tcW w:w="7051" w:type="dxa"/>
            <w:vAlign w:val="center"/>
          </w:tcPr>
          <w:p w14:paraId="43C74221">
            <w:pPr>
              <w:spacing w:before="60" w:after="60"/>
              <w:rPr>
                <w:color w:val="auto"/>
                <w:kern w:val="0"/>
                <w:sz w:val="22"/>
                <w:szCs w:val="22"/>
                <w:highlight w:val="none"/>
              </w:rPr>
            </w:pPr>
            <w:r>
              <w:rPr>
                <w:color w:val="auto"/>
                <w:kern w:val="0"/>
                <w:sz w:val="22"/>
                <w:szCs w:val="22"/>
                <w:highlight w:val="none"/>
              </w:rPr>
              <w:t xml:space="preserve">代理机构名称：浙江工汇项目管理有限公司                          </w:t>
            </w:r>
          </w:p>
          <w:p w14:paraId="4B49497A">
            <w:pPr>
              <w:spacing w:before="60" w:after="60"/>
              <w:rPr>
                <w:snapToGrid w:val="0"/>
                <w:color w:val="auto"/>
                <w:kern w:val="0"/>
                <w:sz w:val="22"/>
                <w:szCs w:val="22"/>
                <w:highlight w:val="none"/>
              </w:rPr>
            </w:pPr>
            <w:r>
              <w:rPr>
                <w:bCs/>
                <w:color w:val="auto"/>
                <w:kern w:val="0"/>
                <w:sz w:val="22"/>
                <w:szCs w:val="22"/>
                <w:highlight w:val="none"/>
              </w:rPr>
              <w:t>地 址：鹿城区清源路142号海外传播大楼四楼</w:t>
            </w:r>
          </w:p>
          <w:p w14:paraId="78FC1301">
            <w:pPr>
              <w:spacing w:before="60" w:after="60"/>
              <w:rPr>
                <w:color w:val="auto"/>
                <w:kern w:val="0"/>
                <w:sz w:val="22"/>
                <w:szCs w:val="22"/>
                <w:highlight w:val="none"/>
              </w:rPr>
            </w:pPr>
            <w:r>
              <w:rPr>
                <w:color w:val="auto"/>
                <w:kern w:val="0"/>
                <w:sz w:val="22"/>
                <w:szCs w:val="22"/>
                <w:highlight w:val="none"/>
              </w:rPr>
              <w:t>联系人</w:t>
            </w:r>
            <w:r>
              <w:rPr>
                <w:bCs/>
                <w:color w:val="auto"/>
                <w:kern w:val="0"/>
                <w:sz w:val="22"/>
                <w:szCs w:val="22"/>
                <w:highlight w:val="none"/>
              </w:rPr>
              <w:t>：潘工，电话：15868541472</w:t>
            </w:r>
          </w:p>
        </w:tc>
      </w:tr>
      <w:tr w14:paraId="6F1976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05" w:type="dxa"/>
            <w:vAlign w:val="center"/>
          </w:tcPr>
          <w:p w14:paraId="4049D732">
            <w:pPr>
              <w:spacing w:before="60" w:after="60"/>
              <w:jc w:val="center"/>
              <w:rPr>
                <w:color w:val="auto"/>
                <w:kern w:val="0"/>
                <w:sz w:val="22"/>
                <w:szCs w:val="22"/>
                <w:highlight w:val="none"/>
              </w:rPr>
            </w:pPr>
            <w:r>
              <w:rPr>
                <w:color w:val="auto"/>
                <w:kern w:val="0"/>
                <w:sz w:val="22"/>
                <w:szCs w:val="22"/>
                <w:highlight w:val="none"/>
              </w:rPr>
              <w:t>3</w:t>
            </w:r>
          </w:p>
        </w:tc>
        <w:tc>
          <w:tcPr>
            <w:tcW w:w="2092" w:type="dxa"/>
            <w:vAlign w:val="center"/>
          </w:tcPr>
          <w:p w14:paraId="63917183">
            <w:pPr>
              <w:spacing w:before="60" w:after="60"/>
              <w:jc w:val="left"/>
              <w:rPr>
                <w:color w:val="auto"/>
                <w:kern w:val="0"/>
                <w:sz w:val="22"/>
                <w:szCs w:val="22"/>
                <w:highlight w:val="none"/>
              </w:rPr>
            </w:pPr>
            <w:r>
              <w:rPr>
                <w:color w:val="auto"/>
                <w:kern w:val="0"/>
                <w:sz w:val="22"/>
                <w:szCs w:val="22"/>
                <w:highlight w:val="none"/>
              </w:rPr>
              <w:t>项目名称及编号</w:t>
            </w:r>
          </w:p>
        </w:tc>
        <w:tc>
          <w:tcPr>
            <w:tcW w:w="7051" w:type="dxa"/>
            <w:vAlign w:val="center"/>
          </w:tcPr>
          <w:p w14:paraId="039975D8">
            <w:pPr>
              <w:spacing w:before="60" w:after="60"/>
              <w:rPr>
                <w:rFonts w:hint="eastAsia" w:eastAsia="宋体"/>
                <w:snapToGrid w:val="0"/>
                <w:color w:val="auto"/>
                <w:kern w:val="0"/>
                <w:sz w:val="22"/>
                <w:szCs w:val="22"/>
                <w:highlight w:val="none"/>
                <w:lang w:eastAsia="zh-CN"/>
              </w:rPr>
            </w:pPr>
            <w:r>
              <w:rPr>
                <w:rFonts w:hint="eastAsia"/>
                <w:snapToGrid w:val="0"/>
                <w:color w:val="auto"/>
                <w:kern w:val="0"/>
                <w:sz w:val="22"/>
                <w:szCs w:val="22"/>
                <w:highlight w:val="none"/>
              </w:rPr>
              <w:t>项目名称：</w:t>
            </w:r>
            <w:r>
              <w:rPr>
                <w:rFonts w:hint="eastAsia"/>
                <w:bCs/>
                <w:color w:val="auto"/>
                <w:kern w:val="0"/>
                <w:sz w:val="22"/>
                <w:szCs w:val="22"/>
                <w:highlight w:val="none"/>
                <w:lang w:eastAsia="zh-CN"/>
              </w:rPr>
              <w:t>温州城市数据空间项目监理服务</w:t>
            </w:r>
          </w:p>
          <w:p w14:paraId="0DA9477A">
            <w:pPr>
              <w:spacing w:before="60" w:after="60"/>
              <w:rPr>
                <w:rFonts w:hint="eastAsia" w:eastAsia="宋体"/>
                <w:color w:val="auto"/>
                <w:sz w:val="22"/>
                <w:szCs w:val="22"/>
                <w:highlight w:val="none"/>
                <w:lang w:eastAsia="zh-CN"/>
              </w:rPr>
            </w:pPr>
            <w:r>
              <w:rPr>
                <w:rFonts w:hint="eastAsia"/>
                <w:color w:val="auto"/>
                <w:sz w:val="22"/>
                <w:szCs w:val="22"/>
                <w:highlight w:val="none"/>
              </w:rPr>
              <w:t>采购</w:t>
            </w:r>
            <w:r>
              <w:rPr>
                <w:rFonts w:hint="eastAsia"/>
                <w:snapToGrid w:val="0"/>
                <w:color w:val="auto"/>
                <w:kern w:val="0"/>
                <w:sz w:val="22"/>
                <w:szCs w:val="22"/>
                <w:highlight w:val="none"/>
              </w:rPr>
              <w:t>编号：WGSS-GYNY-Z-2025020</w:t>
            </w:r>
          </w:p>
        </w:tc>
      </w:tr>
      <w:tr w14:paraId="55A993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05" w:type="dxa"/>
            <w:vAlign w:val="center"/>
          </w:tcPr>
          <w:p w14:paraId="49B5C6A2">
            <w:pPr>
              <w:spacing w:before="60" w:after="60"/>
              <w:jc w:val="center"/>
              <w:rPr>
                <w:color w:val="auto"/>
                <w:kern w:val="0"/>
                <w:sz w:val="22"/>
                <w:szCs w:val="22"/>
                <w:highlight w:val="none"/>
              </w:rPr>
            </w:pPr>
            <w:r>
              <w:rPr>
                <w:color w:val="auto"/>
                <w:kern w:val="0"/>
                <w:sz w:val="22"/>
                <w:szCs w:val="22"/>
                <w:highlight w:val="none"/>
              </w:rPr>
              <w:t>4</w:t>
            </w:r>
          </w:p>
        </w:tc>
        <w:tc>
          <w:tcPr>
            <w:tcW w:w="2092" w:type="dxa"/>
            <w:vAlign w:val="center"/>
          </w:tcPr>
          <w:p w14:paraId="06237AA6">
            <w:pPr>
              <w:spacing w:before="60" w:after="60"/>
              <w:jc w:val="left"/>
              <w:rPr>
                <w:color w:val="auto"/>
                <w:kern w:val="0"/>
                <w:sz w:val="22"/>
                <w:szCs w:val="22"/>
                <w:highlight w:val="none"/>
              </w:rPr>
            </w:pPr>
            <w:r>
              <w:rPr>
                <w:color w:val="auto"/>
                <w:kern w:val="0"/>
                <w:sz w:val="22"/>
                <w:szCs w:val="22"/>
                <w:highlight w:val="none"/>
              </w:rPr>
              <w:t>采购内容</w:t>
            </w:r>
          </w:p>
        </w:tc>
        <w:tc>
          <w:tcPr>
            <w:tcW w:w="7051" w:type="dxa"/>
            <w:vAlign w:val="center"/>
          </w:tcPr>
          <w:p w14:paraId="133D417F">
            <w:pPr>
              <w:spacing w:before="60" w:after="60"/>
              <w:rPr>
                <w:color w:val="auto"/>
                <w:kern w:val="0"/>
                <w:sz w:val="22"/>
                <w:szCs w:val="22"/>
                <w:highlight w:val="none"/>
              </w:rPr>
            </w:pPr>
            <w:r>
              <w:rPr>
                <w:rFonts w:hint="eastAsia"/>
                <w:b/>
                <w:bCs/>
                <w:color w:val="auto"/>
                <w:kern w:val="0"/>
                <w:sz w:val="22"/>
                <w:szCs w:val="22"/>
                <w:highlight w:val="none"/>
                <w:lang w:eastAsia="zh-CN"/>
              </w:rPr>
              <w:t>温州城市数据空间项目监理服务</w:t>
            </w:r>
            <w:r>
              <w:rPr>
                <w:b/>
                <w:bCs/>
                <w:color w:val="auto"/>
                <w:kern w:val="0"/>
                <w:sz w:val="22"/>
                <w:szCs w:val="22"/>
                <w:highlight w:val="none"/>
              </w:rPr>
              <w:t>，</w:t>
            </w:r>
            <w:r>
              <w:rPr>
                <w:bCs/>
                <w:color w:val="auto"/>
                <w:kern w:val="0"/>
                <w:sz w:val="22"/>
                <w:szCs w:val="22"/>
                <w:highlight w:val="none"/>
              </w:rPr>
              <w:t>具体采购内容见本项目采购文件相关部分。</w:t>
            </w:r>
          </w:p>
        </w:tc>
      </w:tr>
      <w:tr w14:paraId="584D60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05" w:type="dxa"/>
            <w:vAlign w:val="center"/>
          </w:tcPr>
          <w:p w14:paraId="476CDD0D">
            <w:pPr>
              <w:spacing w:before="60" w:after="60"/>
              <w:jc w:val="center"/>
              <w:rPr>
                <w:color w:val="auto"/>
                <w:kern w:val="0"/>
                <w:sz w:val="22"/>
                <w:szCs w:val="22"/>
                <w:highlight w:val="none"/>
              </w:rPr>
            </w:pPr>
            <w:r>
              <w:rPr>
                <w:color w:val="auto"/>
                <w:kern w:val="0"/>
                <w:sz w:val="22"/>
                <w:szCs w:val="22"/>
                <w:highlight w:val="none"/>
              </w:rPr>
              <w:t>5</w:t>
            </w:r>
          </w:p>
        </w:tc>
        <w:tc>
          <w:tcPr>
            <w:tcW w:w="2092" w:type="dxa"/>
            <w:vAlign w:val="center"/>
          </w:tcPr>
          <w:p w14:paraId="4457E12B">
            <w:pPr>
              <w:spacing w:before="60" w:after="60"/>
              <w:jc w:val="left"/>
              <w:rPr>
                <w:b/>
                <w:color w:val="auto"/>
                <w:kern w:val="0"/>
                <w:sz w:val="22"/>
                <w:szCs w:val="22"/>
                <w:highlight w:val="none"/>
                <w:u w:val="single"/>
              </w:rPr>
            </w:pPr>
            <w:r>
              <w:rPr>
                <w:b/>
                <w:bCs/>
                <w:color w:val="auto"/>
                <w:sz w:val="22"/>
                <w:szCs w:val="22"/>
                <w:highlight w:val="none"/>
                <w:u w:val="single"/>
              </w:rPr>
              <w:t>▲</w:t>
            </w:r>
            <w:r>
              <w:rPr>
                <w:b/>
                <w:color w:val="auto"/>
                <w:kern w:val="0"/>
                <w:sz w:val="22"/>
                <w:szCs w:val="22"/>
                <w:highlight w:val="none"/>
                <w:u w:val="single"/>
              </w:rPr>
              <w:t>投标人资格要求</w:t>
            </w:r>
          </w:p>
        </w:tc>
        <w:tc>
          <w:tcPr>
            <w:tcW w:w="7051" w:type="dxa"/>
            <w:vAlign w:val="center"/>
          </w:tcPr>
          <w:p w14:paraId="13E9312D">
            <w:pPr>
              <w:spacing w:before="60" w:after="60"/>
              <w:rPr>
                <w:b/>
                <w:color w:val="auto"/>
                <w:kern w:val="0"/>
                <w:sz w:val="22"/>
                <w:szCs w:val="22"/>
                <w:highlight w:val="none"/>
              </w:rPr>
            </w:pPr>
            <w:r>
              <w:rPr>
                <w:b/>
                <w:color w:val="auto"/>
                <w:kern w:val="0"/>
                <w:sz w:val="22"/>
                <w:szCs w:val="22"/>
                <w:highlight w:val="none"/>
                <w:u w:val="single"/>
              </w:rPr>
              <w:t>详见采购公告内容中相关要求。</w:t>
            </w:r>
          </w:p>
        </w:tc>
      </w:tr>
      <w:tr w14:paraId="7B8D0B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05" w:type="dxa"/>
            <w:vAlign w:val="center"/>
          </w:tcPr>
          <w:p w14:paraId="0120E761">
            <w:pPr>
              <w:spacing w:before="60" w:after="60"/>
              <w:jc w:val="center"/>
              <w:rPr>
                <w:color w:val="auto"/>
                <w:kern w:val="0"/>
                <w:sz w:val="22"/>
                <w:szCs w:val="22"/>
                <w:highlight w:val="none"/>
              </w:rPr>
            </w:pPr>
            <w:r>
              <w:rPr>
                <w:color w:val="auto"/>
                <w:kern w:val="0"/>
                <w:sz w:val="22"/>
                <w:szCs w:val="22"/>
                <w:highlight w:val="none"/>
              </w:rPr>
              <w:t>6</w:t>
            </w:r>
          </w:p>
        </w:tc>
        <w:tc>
          <w:tcPr>
            <w:tcW w:w="2092" w:type="dxa"/>
            <w:vAlign w:val="center"/>
          </w:tcPr>
          <w:p w14:paraId="61C5CF76">
            <w:pPr>
              <w:spacing w:before="60" w:after="60"/>
              <w:jc w:val="left"/>
              <w:rPr>
                <w:color w:val="auto"/>
                <w:kern w:val="0"/>
                <w:sz w:val="22"/>
                <w:szCs w:val="22"/>
                <w:highlight w:val="none"/>
              </w:rPr>
            </w:pPr>
            <w:r>
              <w:rPr>
                <w:color w:val="auto"/>
                <w:kern w:val="0"/>
                <w:sz w:val="22"/>
                <w:szCs w:val="22"/>
                <w:highlight w:val="none"/>
              </w:rPr>
              <w:t>踏勘现场</w:t>
            </w:r>
          </w:p>
        </w:tc>
        <w:tc>
          <w:tcPr>
            <w:tcW w:w="7051" w:type="dxa"/>
            <w:vAlign w:val="center"/>
          </w:tcPr>
          <w:p w14:paraId="1192C279">
            <w:pPr>
              <w:spacing w:before="60" w:after="60"/>
              <w:rPr>
                <w:color w:val="auto"/>
                <w:kern w:val="0"/>
                <w:sz w:val="22"/>
                <w:szCs w:val="22"/>
                <w:highlight w:val="none"/>
              </w:rPr>
            </w:pPr>
            <w:r>
              <w:rPr>
                <w:b/>
                <w:snapToGrid w:val="0"/>
                <w:color w:val="auto"/>
                <w:sz w:val="22"/>
                <w:szCs w:val="22"/>
                <w:highlight w:val="none"/>
              </w:rPr>
              <w:sym w:font="Wingdings" w:char="F0FE"/>
            </w:r>
            <w:r>
              <w:rPr>
                <w:bCs/>
                <w:snapToGrid w:val="0"/>
                <w:color w:val="auto"/>
                <w:sz w:val="22"/>
                <w:szCs w:val="22"/>
                <w:highlight w:val="none"/>
              </w:rPr>
              <w:t>不</w:t>
            </w:r>
            <w:r>
              <w:rPr>
                <w:color w:val="auto"/>
                <w:kern w:val="0"/>
                <w:sz w:val="22"/>
                <w:szCs w:val="22"/>
                <w:highlight w:val="none"/>
              </w:rPr>
              <w:t>组织</w:t>
            </w:r>
          </w:p>
        </w:tc>
      </w:tr>
      <w:tr w14:paraId="0953A4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05" w:type="dxa"/>
            <w:vAlign w:val="center"/>
          </w:tcPr>
          <w:p w14:paraId="7F95991E">
            <w:pPr>
              <w:spacing w:before="60" w:after="60"/>
              <w:jc w:val="center"/>
              <w:rPr>
                <w:color w:val="auto"/>
                <w:kern w:val="0"/>
                <w:sz w:val="22"/>
                <w:szCs w:val="22"/>
                <w:highlight w:val="none"/>
              </w:rPr>
            </w:pPr>
            <w:r>
              <w:rPr>
                <w:color w:val="auto"/>
                <w:kern w:val="0"/>
                <w:sz w:val="22"/>
                <w:szCs w:val="22"/>
                <w:highlight w:val="none"/>
              </w:rPr>
              <w:t>7</w:t>
            </w:r>
          </w:p>
        </w:tc>
        <w:tc>
          <w:tcPr>
            <w:tcW w:w="2092" w:type="dxa"/>
            <w:vAlign w:val="center"/>
          </w:tcPr>
          <w:p w14:paraId="583B6434">
            <w:pPr>
              <w:spacing w:before="60" w:after="60"/>
              <w:jc w:val="left"/>
              <w:rPr>
                <w:color w:val="auto"/>
                <w:kern w:val="0"/>
                <w:sz w:val="22"/>
                <w:szCs w:val="22"/>
                <w:highlight w:val="none"/>
              </w:rPr>
            </w:pPr>
            <w:r>
              <w:rPr>
                <w:color w:val="auto"/>
                <w:kern w:val="0"/>
                <w:sz w:val="22"/>
                <w:szCs w:val="22"/>
                <w:highlight w:val="none"/>
              </w:rPr>
              <w:t>投标预备会</w:t>
            </w:r>
          </w:p>
        </w:tc>
        <w:tc>
          <w:tcPr>
            <w:tcW w:w="7051" w:type="dxa"/>
            <w:vAlign w:val="center"/>
          </w:tcPr>
          <w:p w14:paraId="6D66DE44">
            <w:pPr>
              <w:spacing w:before="60" w:after="60"/>
              <w:rPr>
                <w:color w:val="auto"/>
                <w:kern w:val="0"/>
                <w:sz w:val="22"/>
                <w:szCs w:val="22"/>
                <w:highlight w:val="none"/>
              </w:rPr>
            </w:pPr>
            <w:r>
              <w:rPr>
                <w:b/>
                <w:snapToGrid w:val="0"/>
                <w:color w:val="auto"/>
                <w:sz w:val="22"/>
                <w:szCs w:val="22"/>
                <w:highlight w:val="none"/>
              </w:rPr>
              <w:sym w:font="Wingdings" w:char="F0FE"/>
            </w:r>
            <w:r>
              <w:rPr>
                <w:color w:val="auto"/>
                <w:kern w:val="0"/>
                <w:sz w:val="22"/>
                <w:szCs w:val="22"/>
                <w:highlight w:val="none"/>
              </w:rPr>
              <w:t>不召开</w:t>
            </w:r>
          </w:p>
        </w:tc>
      </w:tr>
      <w:tr w14:paraId="18E9F0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05" w:type="dxa"/>
            <w:vAlign w:val="center"/>
          </w:tcPr>
          <w:p w14:paraId="652B40FA">
            <w:pPr>
              <w:spacing w:before="60" w:after="60"/>
              <w:jc w:val="center"/>
              <w:rPr>
                <w:color w:val="auto"/>
                <w:kern w:val="0"/>
                <w:sz w:val="22"/>
                <w:szCs w:val="22"/>
                <w:highlight w:val="none"/>
              </w:rPr>
            </w:pPr>
            <w:r>
              <w:rPr>
                <w:color w:val="auto"/>
                <w:kern w:val="0"/>
                <w:sz w:val="22"/>
                <w:szCs w:val="22"/>
                <w:highlight w:val="none"/>
              </w:rPr>
              <w:t>8</w:t>
            </w:r>
          </w:p>
        </w:tc>
        <w:tc>
          <w:tcPr>
            <w:tcW w:w="2092" w:type="dxa"/>
            <w:vAlign w:val="center"/>
          </w:tcPr>
          <w:p w14:paraId="15018D4E">
            <w:pPr>
              <w:spacing w:before="60" w:after="60"/>
              <w:jc w:val="left"/>
              <w:rPr>
                <w:b/>
                <w:color w:val="auto"/>
                <w:kern w:val="0"/>
                <w:sz w:val="22"/>
                <w:szCs w:val="22"/>
                <w:highlight w:val="none"/>
                <w:u w:val="single"/>
              </w:rPr>
            </w:pPr>
            <w:r>
              <w:rPr>
                <w:b/>
                <w:color w:val="auto"/>
                <w:kern w:val="0"/>
                <w:sz w:val="22"/>
                <w:szCs w:val="22"/>
                <w:highlight w:val="none"/>
                <w:u w:val="single"/>
              </w:rPr>
              <w:t>▲投标截止时间</w:t>
            </w:r>
          </w:p>
        </w:tc>
        <w:tc>
          <w:tcPr>
            <w:tcW w:w="7051" w:type="dxa"/>
            <w:vAlign w:val="center"/>
          </w:tcPr>
          <w:p w14:paraId="254EC0C8">
            <w:pPr>
              <w:spacing w:before="60" w:after="60"/>
              <w:rPr>
                <w:b/>
                <w:color w:val="auto"/>
                <w:kern w:val="0"/>
                <w:sz w:val="22"/>
                <w:szCs w:val="22"/>
                <w:highlight w:val="none"/>
                <w:u w:val="single"/>
              </w:rPr>
            </w:pPr>
            <w:r>
              <w:rPr>
                <w:b/>
                <w:bCs/>
                <w:color w:val="auto"/>
                <w:kern w:val="0"/>
                <w:sz w:val="22"/>
                <w:szCs w:val="22"/>
                <w:highlight w:val="none"/>
                <w:u w:val="single"/>
              </w:rPr>
              <w:t>详见采购公告</w:t>
            </w:r>
          </w:p>
        </w:tc>
      </w:tr>
      <w:tr w14:paraId="7EB6C7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705" w:type="dxa"/>
            <w:vAlign w:val="center"/>
          </w:tcPr>
          <w:p w14:paraId="2A48D40C">
            <w:pPr>
              <w:spacing w:before="60" w:after="60"/>
              <w:jc w:val="center"/>
              <w:rPr>
                <w:color w:val="auto"/>
                <w:kern w:val="0"/>
                <w:sz w:val="22"/>
                <w:szCs w:val="22"/>
                <w:highlight w:val="none"/>
              </w:rPr>
            </w:pPr>
            <w:r>
              <w:rPr>
                <w:color w:val="auto"/>
                <w:kern w:val="0"/>
                <w:sz w:val="22"/>
                <w:szCs w:val="22"/>
                <w:highlight w:val="none"/>
              </w:rPr>
              <w:t>9</w:t>
            </w:r>
          </w:p>
        </w:tc>
        <w:tc>
          <w:tcPr>
            <w:tcW w:w="2092" w:type="dxa"/>
            <w:vAlign w:val="center"/>
          </w:tcPr>
          <w:p w14:paraId="3FDA562A">
            <w:pPr>
              <w:spacing w:before="60" w:after="60"/>
              <w:jc w:val="left"/>
              <w:rPr>
                <w:color w:val="auto"/>
                <w:kern w:val="0"/>
                <w:sz w:val="22"/>
                <w:szCs w:val="22"/>
                <w:highlight w:val="none"/>
              </w:rPr>
            </w:pPr>
            <w:r>
              <w:rPr>
                <w:color w:val="auto"/>
                <w:kern w:val="0"/>
                <w:sz w:val="22"/>
                <w:szCs w:val="22"/>
                <w:highlight w:val="none"/>
              </w:rPr>
              <w:t>偏离</w:t>
            </w:r>
          </w:p>
        </w:tc>
        <w:tc>
          <w:tcPr>
            <w:tcW w:w="7051" w:type="dxa"/>
            <w:vAlign w:val="center"/>
          </w:tcPr>
          <w:p w14:paraId="7515E0A0">
            <w:pPr>
              <w:spacing w:before="60" w:after="60"/>
              <w:rPr>
                <w:color w:val="auto"/>
                <w:kern w:val="0"/>
                <w:sz w:val="22"/>
                <w:szCs w:val="22"/>
                <w:highlight w:val="none"/>
              </w:rPr>
            </w:pPr>
            <w:r>
              <w:rPr>
                <w:color w:val="auto"/>
                <w:kern w:val="0"/>
                <w:sz w:val="22"/>
                <w:szCs w:val="22"/>
                <w:highlight w:val="none"/>
              </w:rPr>
              <w:t>偏差允许幅度及其处理方法：允许细微偏差，不允许重大偏差。由评标委员会判断，细微偏差要求投标人在评标结束前予以澄清、说明或补正，不接受要求进行的，评标委员会有权做无效标处理，详见评标办法。</w:t>
            </w:r>
          </w:p>
        </w:tc>
      </w:tr>
      <w:tr w14:paraId="72F178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05" w:type="dxa"/>
            <w:vAlign w:val="center"/>
          </w:tcPr>
          <w:p w14:paraId="682A19DA">
            <w:pPr>
              <w:spacing w:before="60" w:after="60"/>
              <w:jc w:val="center"/>
              <w:rPr>
                <w:color w:val="auto"/>
                <w:kern w:val="0"/>
                <w:sz w:val="22"/>
                <w:szCs w:val="22"/>
                <w:highlight w:val="none"/>
              </w:rPr>
            </w:pPr>
            <w:r>
              <w:rPr>
                <w:color w:val="auto"/>
                <w:kern w:val="0"/>
                <w:sz w:val="22"/>
                <w:szCs w:val="22"/>
                <w:highlight w:val="none"/>
              </w:rPr>
              <w:t>10</w:t>
            </w:r>
          </w:p>
        </w:tc>
        <w:tc>
          <w:tcPr>
            <w:tcW w:w="2092" w:type="dxa"/>
            <w:vAlign w:val="center"/>
          </w:tcPr>
          <w:p w14:paraId="276A7B5B">
            <w:pPr>
              <w:spacing w:before="60" w:after="60"/>
              <w:jc w:val="left"/>
              <w:rPr>
                <w:b/>
                <w:color w:val="auto"/>
                <w:kern w:val="0"/>
                <w:sz w:val="22"/>
                <w:szCs w:val="22"/>
                <w:highlight w:val="none"/>
                <w:u w:val="single"/>
              </w:rPr>
            </w:pPr>
            <w:r>
              <w:rPr>
                <w:b/>
                <w:color w:val="auto"/>
                <w:kern w:val="0"/>
                <w:sz w:val="22"/>
                <w:szCs w:val="22"/>
                <w:highlight w:val="none"/>
                <w:u w:val="single"/>
              </w:rPr>
              <w:t>▲投标有效期</w:t>
            </w:r>
          </w:p>
        </w:tc>
        <w:tc>
          <w:tcPr>
            <w:tcW w:w="7051" w:type="dxa"/>
            <w:vAlign w:val="center"/>
          </w:tcPr>
          <w:p w14:paraId="3322D0F6">
            <w:pPr>
              <w:spacing w:before="60" w:after="60"/>
              <w:rPr>
                <w:color w:val="auto"/>
                <w:kern w:val="0"/>
                <w:sz w:val="22"/>
                <w:szCs w:val="22"/>
                <w:highlight w:val="none"/>
                <w:u w:val="single"/>
              </w:rPr>
            </w:pPr>
            <w:r>
              <w:rPr>
                <w:b/>
                <w:color w:val="auto"/>
                <w:sz w:val="22"/>
                <w:szCs w:val="22"/>
                <w:highlight w:val="none"/>
                <w:u w:val="single"/>
              </w:rPr>
              <w:t>提交投标文件截止之日起90天内有效</w:t>
            </w:r>
            <w:r>
              <w:rPr>
                <w:color w:val="auto"/>
                <w:sz w:val="22"/>
                <w:szCs w:val="22"/>
                <w:highlight w:val="none"/>
                <w:u w:val="single"/>
              </w:rPr>
              <w:t>。</w:t>
            </w:r>
          </w:p>
        </w:tc>
      </w:tr>
      <w:tr w14:paraId="12EA6B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05" w:type="dxa"/>
            <w:vAlign w:val="center"/>
          </w:tcPr>
          <w:p w14:paraId="7872986E">
            <w:pPr>
              <w:spacing w:before="60" w:after="60"/>
              <w:jc w:val="center"/>
              <w:rPr>
                <w:color w:val="auto"/>
                <w:kern w:val="0"/>
                <w:sz w:val="22"/>
                <w:szCs w:val="22"/>
                <w:highlight w:val="none"/>
              </w:rPr>
            </w:pPr>
            <w:r>
              <w:rPr>
                <w:color w:val="auto"/>
                <w:kern w:val="0"/>
                <w:sz w:val="22"/>
                <w:szCs w:val="22"/>
                <w:highlight w:val="none"/>
              </w:rPr>
              <w:t>11</w:t>
            </w:r>
          </w:p>
        </w:tc>
        <w:tc>
          <w:tcPr>
            <w:tcW w:w="2092" w:type="dxa"/>
            <w:vAlign w:val="center"/>
          </w:tcPr>
          <w:p w14:paraId="5C233A90">
            <w:pPr>
              <w:spacing w:before="60" w:after="60"/>
              <w:jc w:val="left"/>
              <w:rPr>
                <w:b/>
                <w:color w:val="auto"/>
                <w:kern w:val="0"/>
                <w:sz w:val="22"/>
                <w:szCs w:val="22"/>
                <w:highlight w:val="none"/>
                <w:u w:val="single"/>
              </w:rPr>
            </w:pPr>
            <w:r>
              <w:rPr>
                <w:b/>
                <w:color w:val="auto"/>
                <w:kern w:val="0"/>
                <w:sz w:val="22"/>
                <w:szCs w:val="22"/>
                <w:highlight w:val="none"/>
                <w:u w:val="single"/>
              </w:rPr>
              <w:t>▲投标保证金</w:t>
            </w:r>
          </w:p>
        </w:tc>
        <w:tc>
          <w:tcPr>
            <w:tcW w:w="7051" w:type="dxa"/>
            <w:vAlign w:val="center"/>
          </w:tcPr>
          <w:p w14:paraId="2B3DF2AA">
            <w:pPr>
              <w:spacing w:before="60" w:after="60"/>
              <w:rPr>
                <w:b/>
                <w:color w:val="auto"/>
                <w:kern w:val="0"/>
                <w:sz w:val="22"/>
                <w:szCs w:val="22"/>
                <w:highlight w:val="none"/>
              </w:rPr>
            </w:pPr>
            <w:r>
              <w:rPr>
                <w:b/>
                <w:color w:val="auto"/>
                <w:sz w:val="22"/>
                <w:szCs w:val="22"/>
                <w:highlight w:val="none"/>
                <w:u w:val="single"/>
              </w:rPr>
              <w:t>详见采购公告内容。</w:t>
            </w:r>
          </w:p>
        </w:tc>
      </w:tr>
      <w:tr w14:paraId="7AA8E4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05" w:type="dxa"/>
            <w:vAlign w:val="center"/>
          </w:tcPr>
          <w:p w14:paraId="018FF19C">
            <w:pPr>
              <w:spacing w:before="60" w:after="60"/>
              <w:jc w:val="center"/>
              <w:rPr>
                <w:color w:val="auto"/>
                <w:kern w:val="0"/>
                <w:sz w:val="22"/>
                <w:szCs w:val="22"/>
                <w:highlight w:val="none"/>
              </w:rPr>
            </w:pPr>
            <w:r>
              <w:rPr>
                <w:color w:val="auto"/>
                <w:kern w:val="0"/>
                <w:sz w:val="22"/>
                <w:szCs w:val="22"/>
                <w:highlight w:val="none"/>
              </w:rPr>
              <w:t>12</w:t>
            </w:r>
          </w:p>
        </w:tc>
        <w:tc>
          <w:tcPr>
            <w:tcW w:w="2092" w:type="dxa"/>
            <w:vAlign w:val="center"/>
          </w:tcPr>
          <w:p w14:paraId="44BABBA7">
            <w:pPr>
              <w:spacing w:before="60" w:after="60"/>
              <w:jc w:val="left"/>
              <w:rPr>
                <w:color w:val="auto"/>
                <w:kern w:val="0"/>
                <w:sz w:val="22"/>
                <w:szCs w:val="22"/>
                <w:highlight w:val="none"/>
              </w:rPr>
            </w:pPr>
            <w:r>
              <w:rPr>
                <w:color w:val="auto"/>
                <w:kern w:val="0"/>
                <w:sz w:val="22"/>
                <w:szCs w:val="22"/>
                <w:highlight w:val="none"/>
              </w:rPr>
              <w:t>投标文件组成</w:t>
            </w:r>
          </w:p>
        </w:tc>
        <w:tc>
          <w:tcPr>
            <w:tcW w:w="7051" w:type="dxa"/>
            <w:vAlign w:val="center"/>
          </w:tcPr>
          <w:p w14:paraId="7E33449C">
            <w:pPr>
              <w:spacing w:before="60" w:after="60"/>
              <w:rPr>
                <w:color w:val="auto"/>
                <w:kern w:val="0"/>
                <w:sz w:val="22"/>
                <w:szCs w:val="22"/>
                <w:highlight w:val="none"/>
              </w:rPr>
            </w:pPr>
            <w:r>
              <w:rPr>
                <w:b/>
                <w:bCs/>
                <w:color w:val="auto"/>
                <w:sz w:val="22"/>
                <w:szCs w:val="22"/>
                <w:highlight w:val="none"/>
                <w:lang w:bidi="ar"/>
              </w:rPr>
              <w:t>完整的《投标文件》由“资格文件”、“报价文件”和“商务技术文件”三个部分组成。</w:t>
            </w:r>
          </w:p>
        </w:tc>
      </w:tr>
      <w:tr w14:paraId="611626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05" w:type="dxa"/>
            <w:vAlign w:val="center"/>
          </w:tcPr>
          <w:p w14:paraId="239A7FBE">
            <w:pPr>
              <w:spacing w:before="60" w:after="60"/>
              <w:jc w:val="center"/>
              <w:rPr>
                <w:color w:val="auto"/>
                <w:kern w:val="0"/>
                <w:sz w:val="22"/>
                <w:szCs w:val="22"/>
                <w:highlight w:val="none"/>
              </w:rPr>
            </w:pPr>
            <w:r>
              <w:rPr>
                <w:color w:val="auto"/>
                <w:kern w:val="0"/>
                <w:sz w:val="22"/>
                <w:szCs w:val="22"/>
                <w:highlight w:val="none"/>
              </w:rPr>
              <w:t>13</w:t>
            </w:r>
          </w:p>
        </w:tc>
        <w:tc>
          <w:tcPr>
            <w:tcW w:w="2092" w:type="dxa"/>
            <w:vAlign w:val="center"/>
          </w:tcPr>
          <w:p w14:paraId="18B43641">
            <w:pPr>
              <w:spacing w:before="60" w:after="60"/>
              <w:jc w:val="left"/>
              <w:rPr>
                <w:color w:val="auto"/>
                <w:kern w:val="0"/>
                <w:sz w:val="22"/>
                <w:szCs w:val="22"/>
                <w:highlight w:val="none"/>
              </w:rPr>
            </w:pPr>
            <w:r>
              <w:rPr>
                <w:b/>
                <w:bCs/>
                <w:color w:val="auto"/>
                <w:kern w:val="0"/>
                <w:sz w:val="22"/>
                <w:szCs w:val="22"/>
                <w:highlight w:val="none"/>
              </w:rPr>
              <w:t>投标文件的编制</w:t>
            </w:r>
          </w:p>
        </w:tc>
        <w:tc>
          <w:tcPr>
            <w:tcW w:w="7051" w:type="dxa"/>
            <w:vAlign w:val="center"/>
          </w:tcPr>
          <w:p w14:paraId="7814E823">
            <w:pPr>
              <w:spacing w:before="60" w:after="60"/>
              <w:rPr>
                <w:color w:val="auto"/>
                <w:kern w:val="0"/>
                <w:sz w:val="22"/>
                <w:szCs w:val="22"/>
                <w:highlight w:val="none"/>
              </w:rPr>
            </w:pPr>
            <w:r>
              <w:rPr>
                <w:b/>
                <w:bCs/>
                <w:color w:val="auto"/>
                <w:kern w:val="0"/>
                <w:sz w:val="22"/>
                <w:szCs w:val="22"/>
                <w:highlight w:val="none"/>
              </w:rPr>
              <w:t>按照本采购文件要求编制投标文件。</w:t>
            </w:r>
          </w:p>
        </w:tc>
      </w:tr>
      <w:tr w14:paraId="506059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05" w:type="dxa"/>
            <w:vAlign w:val="center"/>
          </w:tcPr>
          <w:p w14:paraId="762F48AE">
            <w:pPr>
              <w:spacing w:before="60" w:after="60"/>
              <w:jc w:val="center"/>
              <w:rPr>
                <w:color w:val="auto"/>
                <w:kern w:val="0"/>
                <w:sz w:val="22"/>
                <w:szCs w:val="22"/>
                <w:highlight w:val="none"/>
              </w:rPr>
            </w:pPr>
            <w:r>
              <w:rPr>
                <w:color w:val="auto"/>
                <w:kern w:val="0"/>
                <w:sz w:val="22"/>
                <w:szCs w:val="22"/>
                <w:highlight w:val="none"/>
              </w:rPr>
              <w:t>14</w:t>
            </w:r>
          </w:p>
        </w:tc>
        <w:tc>
          <w:tcPr>
            <w:tcW w:w="2092" w:type="dxa"/>
            <w:vAlign w:val="center"/>
          </w:tcPr>
          <w:p w14:paraId="1B4DFC5E">
            <w:pPr>
              <w:spacing w:before="60" w:after="60"/>
              <w:jc w:val="left"/>
              <w:rPr>
                <w:b/>
                <w:bCs/>
                <w:color w:val="auto"/>
                <w:kern w:val="0"/>
                <w:sz w:val="22"/>
                <w:szCs w:val="22"/>
                <w:highlight w:val="none"/>
              </w:rPr>
            </w:pPr>
            <w:r>
              <w:rPr>
                <w:b/>
                <w:bCs/>
                <w:color w:val="auto"/>
                <w:sz w:val="22"/>
                <w:szCs w:val="22"/>
                <w:highlight w:val="none"/>
                <w:lang w:bidi="ar"/>
              </w:rPr>
              <w:t>投标文件的签章</w:t>
            </w:r>
          </w:p>
        </w:tc>
        <w:tc>
          <w:tcPr>
            <w:tcW w:w="7051" w:type="dxa"/>
            <w:vAlign w:val="center"/>
          </w:tcPr>
          <w:p w14:paraId="1610EF5E">
            <w:pPr>
              <w:spacing w:before="60" w:after="60"/>
              <w:rPr>
                <w:b/>
                <w:bCs/>
                <w:color w:val="auto"/>
                <w:kern w:val="0"/>
                <w:sz w:val="22"/>
                <w:szCs w:val="22"/>
                <w:highlight w:val="none"/>
              </w:rPr>
            </w:pPr>
            <w:r>
              <w:rPr>
                <w:b/>
                <w:bCs/>
                <w:color w:val="auto"/>
                <w:kern w:val="0"/>
                <w:sz w:val="22"/>
                <w:szCs w:val="22"/>
                <w:highlight w:val="none"/>
              </w:rPr>
              <w:t>投标文件</w:t>
            </w:r>
            <w:r>
              <w:rPr>
                <w:b/>
                <w:bCs/>
                <w:color w:val="auto"/>
                <w:sz w:val="22"/>
                <w:szCs w:val="22"/>
                <w:highlight w:val="none"/>
                <w:lang w:bidi="ar"/>
              </w:rPr>
              <w:t>资格文件、报价文件</w:t>
            </w:r>
            <w:r>
              <w:rPr>
                <w:b/>
                <w:bCs/>
                <w:color w:val="auto"/>
                <w:kern w:val="0"/>
                <w:sz w:val="22"/>
                <w:szCs w:val="22"/>
                <w:highlight w:val="none"/>
              </w:rPr>
              <w:t>、</w:t>
            </w:r>
            <w:r>
              <w:rPr>
                <w:b/>
                <w:bCs/>
                <w:color w:val="auto"/>
                <w:sz w:val="22"/>
                <w:szCs w:val="22"/>
                <w:highlight w:val="none"/>
                <w:lang w:bidi="ar"/>
              </w:rPr>
              <w:t>商务技术文件</w:t>
            </w:r>
            <w:r>
              <w:rPr>
                <w:b/>
                <w:bCs/>
                <w:color w:val="auto"/>
                <w:kern w:val="0"/>
                <w:sz w:val="22"/>
                <w:szCs w:val="22"/>
                <w:highlight w:val="none"/>
              </w:rPr>
              <w:t>分别密封于包封袋中，并在封套的封口处加盖投标供应商单位公章或由法定代表人（法定负责人）或其授权代表签字</w:t>
            </w:r>
          </w:p>
        </w:tc>
      </w:tr>
      <w:tr w14:paraId="47E701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705" w:type="dxa"/>
            <w:vAlign w:val="center"/>
          </w:tcPr>
          <w:p w14:paraId="6D18EC76">
            <w:pPr>
              <w:spacing w:before="60" w:after="60"/>
              <w:jc w:val="center"/>
              <w:rPr>
                <w:color w:val="auto"/>
                <w:kern w:val="0"/>
                <w:sz w:val="22"/>
                <w:szCs w:val="22"/>
                <w:highlight w:val="none"/>
              </w:rPr>
            </w:pPr>
            <w:r>
              <w:rPr>
                <w:color w:val="auto"/>
                <w:kern w:val="0"/>
                <w:sz w:val="22"/>
                <w:szCs w:val="22"/>
                <w:highlight w:val="none"/>
              </w:rPr>
              <w:t>15</w:t>
            </w:r>
          </w:p>
        </w:tc>
        <w:tc>
          <w:tcPr>
            <w:tcW w:w="2092" w:type="dxa"/>
            <w:vAlign w:val="center"/>
          </w:tcPr>
          <w:p w14:paraId="11C5E8A0">
            <w:pPr>
              <w:spacing w:before="60" w:after="60"/>
              <w:jc w:val="left"/>
              <w:rPr>
                <w:color w:val="auto"/>
                <w:kern w:val="0"/>
                <w:sz w:val="22"/>
                <w:szCs w:val="22"/>
                <w:highlight w:val="none"/>
              </w:rPr>
            </w:pPr>
            <w:r>
              <w:rPr>
                <w:b/>
                <w:bCs/>
                <w:color w:val="auto"/>
                <w:sz w:val="22"/>
                <w:szCs w:val="22"/>
                <w:highlight w:val="none"/>
                <w:lang w:bidi="ar"/>
              </w:rPr>
              <w:t>投标文件份数</w:t>
            </w:r>
          </w:p>
        </w:tc>
        <w:tc>
          <w:tcPr>
            <w:tcW w:w="7051" w:type="dxa"/>
            <w:vAlign w:val="center"/>
          </w:tcPr>
          <w:p w14:paraId="11E6BEF4">
            <w:pPr>
              <w:spacing w:before="60" w:after="60"/>
              <w:rPr>
                <w:b/>
                <w:bCs/>
                <w:color w:val="auto"/>
                <w:kern w:val="0"/>
                <w:sz w:val="22"/>
                <w:szCs w:val="22"/>
                <w:highlight w:val="none"/>
              </w:rPr>
            </w:pPr>
            <w:r>
              <w:rPr>
                <w:b/>
                <w:bCs/>
                <w:color w:val="auto"/>
                <w:kern w:val="0"/>
                <w:sz w:val="22"/>
                <w:szCs w:val="22"/>
                <w:highlight w:val="none"/>
              </w:rPr>
              <w:t>资格文件一式</w:t>
            </w:r>
            <w:r>
              <w:rPr>
                <w:rFonts w:hint="eastAsia"/>
                <w:b/>
                <w:bCs/>
                <w:color w:val="auto"/>
                <w:kern w:val="0"/>
                <w:sz w:val="22"/>
                <w:szCs w:val="22"/>
                <w:highlight w:val="none"/>
                <w:lang w:val="en-US" w:eastAsia="zh-CN"/>
              </w:rPr>
              <w:t>5</w:t>
            </w:r>
            <w:r>
              <w:rPr>
                <w:b/>
                <w:bCs/>
                <w:color w:val="auto"/>
                <w:kern w:val="0"/>
                <w:sz w:val="22"/>
                <w:szCs w:val="22"/>
                <w:highlight w:val="none"/>
              </w:rPr>
              <w:t>份，正本1份，副本</w:t>
            </w:r>
            <w:r>
              <w:rPr>
                <w:rFonts w:hint="eastAsia"/>
                <w:b/>
                <w:bCs/>
                <w:color w:val="auto"/>
                <w:kern w:val="0"/>
                <w:sz w:val="22"/>
                <w:szCs w:val="22"/>
                <w:highlight w:val="none"/>
                <w:lang w:val="en-US" w:eastAsia="zh-CN"/>
              </w:rPr>
              <w:t>4</w:t>
            </w:r>
            <w:r>
              <w:rPr>
                <w:b/>
                <w:bCs/>
                <w:color w:val="auto"/>
                <w:kern w:val="0"/>
                <w:sz w:val="22"/>
                <w:szCs w:val="22"/>
                <w:highlight w:val="none"/>
              </w:rPr>
              <w:t>份。</w:t>
            </w:r>
          </w:p>
          <w:p w14:paraId="1714F9BF">
            <w:pPr>
              <w:spacing w:before="60" w:after="60"/>
              <w:rPr>
                <w:b/>
                <w:bCs/>
                <w:color w:val="auto"/>
                <w:kern w:val="0"/>
                <w:sz w:val="22"/>
                <w:szCs w:val="22"/>
                <w:highlight w:val="none"/>
              </w:rPr>
            </w:pPr>
            <w:r>
              <w:rPr>
                <w:b/>
                <w:bCs/>
                <w:color w:val="auto"/>
                <w:kern w:val="0"/>
                <w:sz w:val="22"/>
                <w:szCs w:val="22"/>
                <w:highlight w:val="none"/>
              </w:rPr>
              <w:t>报价文件一式</w:t>
            </w:r>
            <w:r>
              <w:rPr>
                <w:rFonts w:hint="eastAsia"/>
                <w:b/>
                <w:bCs/>
                <w:color w:val="auto"/>
                <w:kern w:val="0"/>
                <w:sz w:val="22"/>
                <w:szCs w:val="22"/>
                <w:highlight w:val="none"/>
                <w:lang w:val="en-US" w:eastAsia="zh-CN"/>
              </w:rPr>
              <w:t>5</w:t>
            </w:r>
            <w:r>
              <w:rPr>
                <w:b/>
                <w:bCs/>
                <w:color w:val="auto"/>
                <w:kern w:val="0"/>
                <w:sz w:val="22"/>
                <w:szCs w:val="22"/>
                <w:highlight w:val="none"/>
              </w:rPr>
              <w:t>份，正本1份，副本</w:t>
            </w:r>
            <w:r>
              <w:rPr>
                <w:rFonts w:hint="eastAsia"/>
                <w:b/>
                <w:bCs/>
                <w:color w:val="auto"/>
                <w:kern w:val="0"/>
                <w:sz w:val="22"/>
                <w:szCs w:val="22"/>
                <w:highlight w:val="none"/>
                <w:lang w:val="en-US" w:eastAsia="zh-CN"/>
              </w:rPr>
              <w:t>4</w:t>
            </w:r>
            <w:r>
              <w:rPr>
                <w:b/>
                <w:bCs/>
                <w:color w:val="auto"/>
                <w:kern w:val="0"/>
                <w:sz w:val="22"/>
                <w:szCs w:val="22"/>
                <w:highlight w:val="none"/>
              </w:rPr>
              <w:t>份。</w:t>
            </w:r>
          </w:p>
          <w:p w14:paraId="4C93ED4A">
            <w:pPr>
              <w:spacing w:before="60" w:after="60"/>
              <w:rPr>
                <w:b/>
                <w:bCs/>
                <w:color w:val="auto"/>
                <w:kern w:val="0"/>
                <w:sz w:val="22"/>
                <w:szCs w:val="22"/>
                <w:highlight w:val="none"/>
              </w:rPr>
            </w:pPr>
            <w:r>
              <w:rPr>
                <w:b/>
                <w:bCs/>
                <w:color w:val="auto"/>
                <w:kern w:val="0"/>
                <w:sz w:val="22"/>
                <w:szCs w:val="22"/>
                <w:highlight w:val="none"/>
              </w:rPr>
              <w:t>商务技术文件一式</w:t>
            </w:r>
            <w:r>
              <w:rPr>
                <w:rFonts w:hint="eastAsia"/>
                <w:b/>
                <w:bCs/>
                <w:color w:val="auto"/>
                <w:kern w:val="0"/>
                <w:sz w:val="22"/>
                <w:szCs w:val="22"/>
                <w:highlight w:val="none"/>
                <w:lang w:val="en-US" w:eastAsia="zh-CN"/>
              </w:rPr>
              <w:t>5</w:t>
            </w:r>
            <w:r>
              <w:rPr>
                <w:b/>
                <w:bCs/>
                <w:color w:val="auto"/>
                <w:kern w:val="0"/>
                <w:sz w:val="22"/>
                <w:szCs w:val="22"/>
                <w:highlight w:val="none"/>
              </w:rPr>
              <w:t>份，正本1份，副本</w:t>
            </w:r>
            <w:r>
              <w:rPr>
                <w:rFonts w:hint="eastAsia"/>
                <w:b/>
                <w:bCs/>
                <w:color w:val="auto"/>
                <w:kern w:val="0"/>
                <w:sz w:val="22"/>
                <w:szCs w:val="22"/>
                <w:highlight w:val="none"/>
                <w:lang w:val="en-US" w:eastAsia="zh-CN"/>
              </w:rPr>
              <w:t>4</w:t>
            </w:r>
            <w:r>
              <w:rPr>
                <w:b/>
                <w:bCs/>
                <w:color w:val="auto"/>
                <w:kern w:val="0"/>
                <w:sz w:val="22"/>
                <w:szCs w:val="22"/>
                <w:highlight w:val="none"/>
              </w:rPr>
              <w:t>份。</w:t>
            </w:r>
          </w:p>
          <w:p w14:paraId="0280D1CC">
            <w:pPr>
              <w:pStyle w:val="8"/>
              <w:spacing w:before="60" w:after="60"/>
              <w:rPr>
                <w:color w:val="auto"/>
                <w:sz w:val="22"/>
                <w:szCs w:val="22"/>
                <w:highlight w:val="none"/>
              </w:rPr>
            </w:pPr>
            <w:r>
              <w:rPr>
                <w:b/>
                <w:bCs/>
                <w:color w:val="auto"/>
                <w:kern w:val="0"/>
                <w:sz w:val="22"/>
                <w:szCs w:val="22"/>
                <w:highlight w:val="none"/>
              </w:rPr>
              <w:t>电子投标文件1份，须所有投标文件盖章扫描后放置于U盘内。</w:t>
            </w:r>
          </w:p>
        </w:tc>
      </w:tr>
      <w:tr w14:paraId="184815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705" w:type="dxa"/>
            <w:vAlign w:val="center"/>
          </w:tcPr>
          <w:p w14:paraId="0927554A">
            <w:pPr>
              <w:spacing w:before="60" w:after="60"/>
              <w:jc w:val="center"/>
              <w:rPr>
                <w:color w:val="auto"/>
                <w:kern w:val="0"/>
                <w:sz w:val="22"/>
                <w:szCs w:val="22"/>
                <w:highlight w:val="none"/>
              </w:rPr>
            </w:pPr>
            <w:r>
              <w:rPr>
                <w:color w:val="auto"/>
                <w:kern w:val="0"/>
                <w:sz w:val="22"/>
                <w:szCs w:val="22"/>
                <w:highlight w:val="none"/>
              </w:rPr>
              <w:t>16</w:t>
            </w:r>
          </w:p>
        </w:tc>
        <w:tc>
          <w:tcPr>
            <w:tcW w:w="2092" w:type="dxa"/>
            <w:vAlign w:val="center"/>
          </w:tcPr>
          <w:p w14:paraId="1DFEC0F0">
            <w:pPr>
              <w:spacing w:before="60" w:after="60"/>
              <w:rPr>
                <w:color w:val="auto"/>
                <w:kern w:val="0"/>
                <w:sz w:val="22"/>
                <w:szCs w:val="22"/>
                <w:highlight w:val="none"/>
                <w:u w:val="single"/>
              </w:rPr>
            </w:pPr>
            <w:r>
              <w:rPr>
                <w:color w:val="auto"/>
                <w:kern w:val="0"/>
                <w:sz w:val="22"/>
                <w:szCs w:val="22"/>
                <w:highlight w:val="none"/>
              </w:rPr>
              <w:t>包装要求</w:t>
            </w:r>
          </w:p>
        </w:tc>
        <w:tc>
          <w:tcPr>
            <w:tcW w:w="7051" w:type="dxa"/>
            <w:vAlign w:val="center"/>
          </w:tcPr>
          <w:p w14:paraId="7FB210B1">
            <w:pPr>
              <w:spacing w:before="60" w:after="60"/>
              <w:rPr>
                <w:color w:val="auto"/>
                <w:kern w:val="0"/>
                <w:sz w:val="22"/>
                <w:szCs w:val="22"/>
                <w:highlight w:val="none"/>
                <w:u w:val="single"/>
              </w:rPr>
            </w:pPr>
            <w:r>
              <w:rPr>
                <w:color w:val="auto"/>
                <w:kern w:val="0"/>
                <w:sz w:val="22"/>
                <w:szCs w:val="22"/>
                <w:highlight w:val="none"/>
              </w:rPr>
              <w:t>投标文件资格文件、报价文件、商务技术文件分别密封于包封袋中，并在封套的封口处加盖投标供应商单位公章或由法定代表人（法定负责人）或其授权代表签字。电子投标文件放置于报价文件中一并密封。</w:t>
            </w:r>
          </w:p>
        </w:tc>
      </w:tr>
      <w:tr w14:paraId="3D9622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05" w:type="dxa"/>
            <w:vAlign w:val="center"/>
          </w:tcPr>
          <w:p w14:paraId="6BABBA6E">
            <w:pPr>
              <w:spacing w:before="60" w:after="60"/>
              <w:jc w:val="center"/>
              <w:rPr>
                <w:color w:val="auto"/>
                <w:kern w:val="0"/>
                <w:sz w:val="22"/>
                <w:szCs w:val="22"/>
                <w:highlight w:val="none"/>
              </w:rPr>
            </w:pPr>
            <w:r>
              <w:rPr>
                <w:color w:val="auto"/>
                <w:kern w:val="0"/>
                <w:sz w:val="22"/>
                <w:szCs w:val="22"/>
                <w:highlight w:val="none"/>
              </w:rPr>
              <w:t>17</w:t>
            </w:r>
          </w:p>
        </w:tc>
        <w:tc>
          <w:tcPr>
            <w:tcW w:w="2092" w:type="dxa"/>
            <w:vAlign w:val="center"/>
          </w:tcPr>
          <w:p w14:paraId="7C6A9067">
            <w:pPr>
              <w:spacing w:before="60" w:after="60"/>
              <w:rPr>
                <w:color w:val="auto"/>
                <w:kern w:val="0"/>
                <w:sz w:val="22"/>
                <w:szCs w:val="22"/>
                <w:highlight w:val="none"/>
              </w:rPr>
            </w:pPr>
            <w:r>
              <w:rPr>
                <w:color w:val="auto"/>
                <w:kern w:val="0"/>
                <w:sz w:val="22"/>
                <w:szCs w:val="22"/>
                <w:highlight w:val="none"/>
              </w:rPr>
              <w:t>递交投标</w:t>
            </w:r>
          </w:p>
          <w:p w14:paraId="0CFAB45C">
            <w:pPr>
              <w:spacing w:before="60" w:after="60"/>
              <w:rPr>
                <w:color w:val="auto"/>
                <w:kern w:val="0"/>
                <w:sz w:val="22"/>
                <w:szCs w:val="22"/>
                <w:highlight w:val="none"/>
              </w:rPr>
            </w:pPr>
            <w:r>
              <w:rPr>
                <w:color w:val="auto"/>
                <w:kern w:val="0"/>
                <w:sz w:val="22"/>
                <w:szCs w:val="22"/>
                <w:highlight w:val="none"/>
              </w:rPr>
              <w:t>文件地点</w:t>
            </w:r>
          </w:p>
        </w:tc>
        <w:tc>
          <w:tcPr>
            <w:tcW w:w="7051" w:type="dxa"/>
            <w:vAlign w:val="center"/>
          </w:tcPr>
          <w:p w14:paraId="3AA191E1">
            <w:pPr>
              <w:spacing w:before="60" w:after="60"/>
              <w:rPr>
                <w:color w:val="auto"/>
                <w:kern w:val="0"/>
                <w:sz w:val="22"/>
                <w:szCs w:val="22"/>
                <w:highlight w:val="none"/>
              </w:rPr>
            </w:pPr>
            <w:r>
              <w:rPr>
                <w:color w:val="auto"/>
                <w:kern w:val="0"/>
                <w:sz w:val="22"/>
                <w:szCs w:val="22"/>
                <w:highlight w:val="none"/>
              </w:rPr>
              <w:t>详见采购公告</w:t>
            </w:r>
          </w:p>
        </w:tc>
      </w:tr>
      <w:tr w14:paraId="70DFBC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5" w:type="dxa"/>
            <w:vAlign w:val="center"/>
          </w:tcPr>
          <w:p w14:paraId="2F7DFDCD">
            <w:pPr>
              <w:spacing w:before="60" w:after="60"/>
              <w:jc w:val="center"/>
              <w:rPr>
                <w:color w:val="auto"/>
                <w:kern w:val="0"/>
                <w:sz w:val="22"/>
                <w:szCs w:val="22"/>
                <w:highlight w:val="none"/>
              </w:rPr>
            </w:pPr>
            <w:r>
              <w:rPr>
                <w:color w:val="auto"/>
                <w:kern w:val="0"/>
                <w:sz w:val="22"/>
                <w:szCs w:val="22"/>
                <w:highlight w:val="none"/>
              </w:rPr>
              <w:t>18</w:t>
            </w:r>
          </w:p>
        </w:tc>
        <w:tc>
          <w:tcPr>
            <w:tcW w:w="2092" w:type="dxa"/>
            <w:vAlign w:val="center"/>
          </w:tcPr>
          <w:p w14:paraId="1F6E7F2A">
            <w:pPr>
              <w:spacing w:before="60" w:after="60"/>
              <w:rPr>
                <w:color w:val="auto"/>
                <w:kern w:val="0"/>
                <w:sz w:val="22"/>
                <w:szCs w:val="22"/>
                <w:highlight w:val="none"/>
              </w:rPr>
            </w:pPr>
            <w:r>
              <w:rPr>
                <w:color w:val="auto"/>
                <w:kern w:val="0"/>
                <w:sz w:val="22"/>
                <w:szCs w:val="22"/>
                <w:highlight w:val="none"/>
              </w:rPr>
              <w:t>开标时间</w:t>
            </w:r>
          </w:p>
          <w:p w14:paraId="734F149C">
            <w:pPr>
              <w:spacing w:before="60" w:after="60"/>
              <w:rPr>
                <w:color w:val="auto"/>
                <w:kern w:val="0"/>
                <w:sz w:val="22"/>
                <w:szCs w:val="22"/>
                <w:highlight w:val="none"/>
              </w:rPr>
            </w:pPr>
            <w:r>
              <w:rPr>
                <w:color w:val="auto"/>
                <w:kern w:val="0"/>
                <w:sz w:val="22"/>
                <w:szCs w:val="22"/>
                <w:highlight w:val="none"/>
              </w:rPr>
              <w:t>和地点</w:t>
            </w:r>
          </w:p>
        </w:tc>
        <w:tc>
          <w:tcPr>
            <w:tcW w:w="7051" w:type="dxa"/>
            <w:vAlign w:val="center"/>
          </w:tcPr>
          <w:p w14:paraId="64E8753E">
            <w:pPr>
              <w:spacing w:before="60" w:after="60"/>
              <w:rPr>
                <w:color w:val="auto"/>
                <w:kern w:val="0"/>
                <w:sz w:val="22"/>
                <w:szCs w:val="22"/>
                <w:highlight w:val="none"/>
              </w:rPr>
            </w:pPr>
            <w:r>
              <w:rPr>
                <w:color w:val="auto"/>
                <w:kern w:val="0"/>
                <w:sz w:val="22"/>
                <w:szCs w:val="22"/>
                <w:highlight w:val="none"/>
              </w:rPr>
              <w:t>开标时间：同投标文件递交截止时间</w:t>
            </w:r>
          </w:p>
          <w:p w14:paraId="3392A447">
            <w:pPr>
              <w:spacing w:before="60" w:after="60"/>
              <w:rPr>
                <w:color w:val="auto"/>
                <w:kern w:val="0"/>
                <w:sz w:val="22"/>
                <w:szCs w:val="22"/>
                <w:highlight w:val="none"/>
              </w:rPr>
            </w:pPr>
            <w:r>
              <w:rPr>
                <w:color w:val="auto"/>
                <w:kern w:val="0"/>
                <w:sz w:val="22"/>
                <w:szCs w:val="22"/>
                <w:highlight w:val="none"/>
              </w:rPr>
              <w:t>开标地点：详见采购公告</w:t>
            </w:r>
          </w:p>
        </w:tc>
      </w:tr>
      <w:tr w14:paraId="7F53D9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05" w:type="dxa"/>
            <w:vAlign w:val="center"/>
          </w:tcPr>
          <w:p w14:paraId="13DCF2EA">
            <w:pPr>
              <w:spacing w:before="60" w:after="60"/>
              <w:jc w:val="center"/>
              <w:rPr>
                <w:color w:val="auto"/>
                <w:kern w:val="0"/>
                <w:sz w:val="22"/>
                <w:szCs w:val="22"/>
                <w:highlight w:val="none"/>
              </w:rPr>
            </w:pPr>
            <w:r>
              <w:rPr>
                <w:color w:val="auto"/>
                <w:kern w:val="0"/>
                <w:sz w:val="22"/>
                <w:szCs w:val="22"/>
                <w:highlight w:val="none"/>
              </w:rPr>
              <w:t>19</w:t>
            </w:r>
          </w:p>
        </w:tc>
        <w:tc>
          <w:tcPr>
            <w:tcW w:w="2092" w:type="dxa"/>
            <w:vAlign w:val="center"/>
          </w:tcPr>
          <w:p w14:paraId="04BA6EEE">
            <w:pPr>
              <w:spacing w:before="60" w:after="60"/>
              <w:rPr>
                <w:color w:val="auto"/>
                <w:kern w:val="0"/>
                <w:sz w:val="22"/>
                <w:szCs w:val="22"/>
                <w:highlight w:val="none"/>
              </w:rPr>
            </w:pPr>
            <w:r>
              <w:rPr>
                <w:color w:val="auto"/>
                <w:kern w:val="0"/>
                <w:sz w:val="22"/>
                <w:szCs w:val="22"/>
                <w:highlight w:val="none"/>
              </w:rPr>
              <w:t>开评标程序</w:t>
            </w:r>
          </w:p>
        </w:tc>
        <w:tc>
          <w:tcPr>
            <w:tcW w:w="7051" w:type="dxa"/>
            <w:vAlign w:val="center"/>
          </w:tcPr>
          <w:p w14:paraId="2C1C6A45">
            <w:pPr>
              <w:spacing w:before="60" w:after="60"/>
              <w:rPr>
                <w:bCs/>
                <w:color w:val="auto"/>
                <w:sz w:val="22"/>
                <w:szCs w:val="22"/>
                <w:highlight w:val="none"/>
              </w:rPr>
            </w:pPr>
            <w:r>
              <w:rPr>
                <w:color w:val="auto"/>
                <w:kern w:val="0"/>
                <w:sz w:val="22"/>
                <w:szCs w:val="22"/>
                <w:highlight w:val="none"/>
              </w:rPr>
              <w:t>密封情况检查</w:t>
            </w:r>
            <w:r>
              <w:rPr>
                <w:color w:val="auto"/>
                <w:kern w:val="0"/>
                <w:sz w:val="22"/>
                <w:szCs w:val="22"/>
                <w:highlight w:val="none"/>
              </w:rPr>
              <w:sym w:font="Wingdings" w:char="F0E8"/>
            </w:r>
            <w:r>
              <w:rPr>
                <w:color w:val="auto"/>
                <w:kern w:val="0"/>
                <w:sz w:val="22"/>
                <w:szCs w:val="22"/>
                <w:highlight w:val="none"/>
              </w:rPr>
              <w:t>开启</w:t>
            </w:r>
            <w:r>
              <w:rPr>
                <w:color w:val="auto"/>
                <w:sz w:val="22"/>
                <w:szCs w:val="22"/>
                <w:highlight w:val="none"/>
              </w:rPr>
              <w:t>所有投标文件</w:t>
            </w:r>
            <w:r>
              <w:rPr>
                <w:color w:val="auto"/>
                <w:sz w:val="22"/>
                <w:szCs w:val="22"/>
                <w:highlight w:val="none"/>
              </w:rPr>
              <w:sym w:font="Wingdings" w:char="F0E8"/>
            </w:r>
            <w:r>
              <w:rPr>
                <w:color w:val="auto"/>
                <w:sz w:val="22"/>
                <w:szCs w:val="22"/>
                <w:highlight w:val="none"/>
              </w:rPr>
              <w:t>资格审查</w:t>
            </w:r>
            <w:r>
              <w:rPr>
                <w:color w:val="auto"/>
                <w:sz w:val="22"/>
                <w:szCs w:val="22"/>
                <w:highlight w:val="none"/>
              </w:rPr>
              <w:sym w:font="Wingdings" w:char="F0E8"/>
            </w:r>
            <w:r>
              <w:rPr>
                <w:color w:val="auto"/>
                <w:sz w:val="22"/>
                <w:szCs w:val="22"/>
                <w:highlight w:val="none"/>
              </w:rPr>
              <w:t>符合性审查</w:t>
            </w:r>
            <w:r>
              <w:rPr>
                <w:color w:val="auto"/>
                <w:sz w:val="22"/>
                <w:szCs w:val="22"/>
                <w:highlight w:val="none"/>
              </w:rPr>
              <w:sym w:font="Wingdings" w:char="F0E8"/>
            </w:r>
            <w:r>
              <w:rPr>
                <w:rFonts w:hint="eastAsia"/>
                <w:color w:val="auto"/>
                <w:sz w:val="22"/>
                <w:szCs w:val="22"/>
                <w:highlight w:val="none"/>
                <w:lang w:eastAsia="zh-CN"/>
              </w:rPr>
              <w:t>商务技术文件</w:t>
            </w:r>
            <w:r>
              <w:rPr>
                <w:color w:val="auto"/>
                <w:sz w:val="22"/>
                <w:szCs w:val="22"/>
                <w:highlight w:val="none"/>
              </w:rPr>
              <w:t>评审</w:t>
            </w:r>
            <w:r>
              <w:rPr>
                <w:color w:val="auto"/>
                <w:sz w:val="22"/>
                <w:szCs w:val="22"/>
                <w:highlight w:val="none"/>
              </w:rPr>
              <w:sym w:font="Wingdings" w:char="F0E8"/>
            </w:r>
            <w:r>
              <w:rPr>
                <w:color w:val="auto"/>
                <w:sz w:val="22"/>
                <w:szCs w:val="22"/>
                <w:highlight w:val="none"/>
              </w:rPr>
              <w:t>报价评审</w:t>
            </w:r>
            <w:r>
              <w:rPr>
                <w:color w:val="auto"/>
                <w:sz w:val="22"/>
                <w:szCs w:val="22"/>
                <w:highlight w:val="none"/>
              </w:rPr>
              <w:sym w:font="Wingdings" w:char="F0E8"/>
            </w:r>
            <w:r>
              <w:rPr>
                <w:color w:val="auto"/>
                <w:sz w:val="22"/>
                <w:szCs w:val="22"/>
                <w:highlight w:val="none"/>
              </w:rPr>
              <w:t>评分汇总</w:t>
            </w:r>
            <w:r>
              <w:rPr>
                <w:color w:val="auto"/>
                <w:sz w:val="22"/>
                <w:szCs w:val="22"/>
                <w:highlight w:val="none"/>
              </w:rPr>
              <w:sym w:font="Wingdings" w:char="F0E8"/>
            </w:r>
            <w:r>
              <w:rPr>
                <w:color w:val="auto"/>
                <w:sz w:val="22"/>
                <w:szCs w:val="22"/>
                <w:highlight w:val="none"/>
              </w:rPr>
              <w:t>提交评审报告</w:t>
            </w:r>
          </w:p>
        </w:tc>
      </w:tr>
      <w:tr w14:paraId="1E41C8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05" w:type="dxa"/>
            <w:vAlign w:val="center"/>
          </w:tcPr>
          <w:p w14:paraId="0D63C2F3">
            <w:pPr>
              <w:spacing w:before="60" w:after="60"/>
              <w:jc w:val="center"/>
              <w:rPr>
                <w:color w:val="auto"/>
                <w:kern w:val="0"/>
                <w:sz w:val="22"/>
                <w:szCs w:val="22"/>
                <w:highlight w:val="none"/>
              </w:rPr>
            </w:pPr>
            <w:r>
              <w:rPr>
                <w:color w:val="auto"/>
                <w:kern w:val="0"/>
                <w:sz w:val="22"/>
                <w:szCs w:val="22"/>
                <w:highlight w:val="none"/>
              </w:rPr>
              <w:t>20</w:t>
            </w:r>
          </w:p>
        </w:tc>
        <w:tc>
          <w:tcPr>
            <w:tcW w:w="2092" w:type="dxa"/>
            <w:vAlign w:val="center"/>
          </w:tcPr>
          <w:p w14:paraId="49D07F65">
            <w:pPr>
              <w:spacing w:before="60" w:after="60"/>
              <w:jc w:val="left"/>
              <w:rPr>
                <w:color w:val="auto"/>
                <w:kern w:val="0"/>
                <w:sz w:val="22"/>
                <w:szCs w:val="22"/>
                <w:highlight w:val="none"/>
              </w:rPr>
            </w:pPr>
            <w:r>
              <w:rPr>
                <w:color w:val="auto"/>
                <w:kern w:val="0"/>
                <w:sz w:val="22"/>
                <w:szCs w:val="22"/>
                <w:highlight w:val="none"/>
              </w:rPr>
              <w:t>潜在供应商</w:t>
            </w:r>
          </w:p>
        </w:tc>
        <w:tc>
          <w:tcPr>
            <w:tcW w:w="7051" w:type="dxa"/>
            <w:vAlign w:val="center"/>
          </w:tcPr>
          <w:p w14:paraId="73E79118">
            <w:pPr>
              <w:spacing w:before="60" w:after="60"/>
              <w:rPr>
                <w:color w:val="auto"/>
                <w:kern w:val="0"/>
                <w:sz w:val="22"/>
                <w:szCs w:val="22"/>
                <w:highlight w:val="none"/>
              </w:rPr>
            </w:pPr>
            <w:r>
              <w:rPr>
                <w:color w:val="auto"/>
                <w:kern w:val="0"/>
                <w:sz w:val="22"/>
                <w:szCs w:val="22"/>
                <w:highlight w:val="none"/>
              </w:rPr>
              <w:t>潜在供应商需在乐采云平台（https://www.lecaiyun.com）进行免费注册，具体详见乐采云平台供应商注册要求。</w:t>
            </w:r>
          </w:p>
        </w:tc>
      </w:tr>
      <w:tr w14:paraId="632EBD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05" w:type="dxa"/>
            <w:vAlign w:val="center"/>
          </w:tcPr>
          <w:p w14:paraId="0F946393">
            <w:pPr>
              <w:spacing w:before="60" w:after="60"/>
              <w:jc w:val="center"/>
              <w:rPr>
                <w:color w:val="auto"/>
                <w:kern w:val="0"/>
                <w:sz w:val="22"/>
                <w:szCs w:val="22"/>
                <w:highlight w:val="none"/>
              </w:rPr>
            </w:pPr>
            <w:r>
              <w:rPr>
                <w:color w:val="auto"/>
                <w:kern w:val="0"/>
                <w:sz w:val="22"/>
                <w:szCs w:val="22"/>
                <w:highlight w:val="none"/>
              </w:rPr>
              <w:t>21</w:t>
            </w:r>
          </w:p>
        </w:tc>
        <w:tc>
          <w:tcPr>
            <w:tcW w:w="2092" w:type="dxa"/>
            <w:vAlign w:val="center"/>
          </w:tcPr>
          <w:p w14:paraId="3F08BAA8">
            <w:pPr>
              <w:spacing w:before="60" w:after="60"/>
              <w:jc w:val="left"/>
              <w:rPr>
                <w:color w:val="auto"/>
                <w:kern w:val="0"/>
                <w:sz w:val="22"/>
                <w:szCs w:val="22"/>
                <w:highlight w:val="none"/>
              </w:rPr>
            </w:pPr>
            <w:r>
              <w:rPr>
                <w:color w:val="auto"/>
                <w:kern w:val="0"/>
                <w:sz w:val="22"/>
                <w:szCs w:val="22"/>
                <w:highlight w:val="none"/>
              </w:rPr>
              <w:t>评标委员会</w:t>
            </w:r>
          </w:p>
          <w:p w14:paraId="2B2F64C8">
            <w:pPr>
              <w:spacing w:before="60" w:after="60"/>
              <w:jc w:val="left"/>
              <w:rPr>
                <w:color w:val="auto"/>
                <w:kern w:val="0"/>
                <w:sz w:val="22"/>
                <w:szCs w:val="22"/>
                <w:highlight w:val="none"/>
              </w:rPr>
            </w:pPr>
            <w:r>
              <w:rPr>
                <w:color w:val="auto"/>
                <w:kern w:val="0"/>
                <w:sz w:val="22"/>
                <w:szCs w:val="22"/>
                <w:highlight w:val="none"/>
              </w:rPr>
              <w:t>的组建</w:t>
            </w:r>
          </w:p>
        </w:tc>
        <w:tc>
          <w:tcPr>
            <w:tcW w:w="7051" w:type="dxa"/>
            <w:vAlign w:val="center"/>
          </w:tcPr>
          <w:p w14:paraId="45798C52">
            <w:pPr>
              <w:spacing w:before="60" w:after="60"/>
              <w:rPr>
                <w:snapToGrid w:val="0"/>
                <w:color w:val="auto"/>
                <w:sz w:val="22"/>
                <w:szCs w:val="22"/>
                <w:highlight w:val="none"/>
              </w:rPr>
            </w:pPr>
            <w:r>
              <w:rPr>
                <w:color w:val="auto"/>
                <w:kern w:val="0"/>
                <w:sz w:val="22"/>
                <w:szCs w:val="22"/>
                <w:highlight w:val="none"/>
              </w:rPr>
              <w:t>由采购人或招标代理机构依法组建，成员包括采购人代表和评审专家，成员人数为五人或以上单数，其中评审专家不少于成员总数的三分之二。</w:t>
            </w:r>
          </w:p>
        </w:tc>
      </w:tr>
      <w:tr w14:paraId="37F16D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05" w:type="dxa"/>
            <w:vAlign w:val="center"/>
          </w:tcPr>
          <w:p w14:paraId="5875C0A5">
            <w:pPr>
              <w:spacing w:before="60" w:after="60"/>
              <w:jc w:val="center"/>
              <w:rPr>
                <w:color w:val="auto"/>
                <w:kern w:val="0"/>
                <w:sz w:val="22"/>
                <w:szCs w:val="22"/>
                <w:highlight w:val="none"/>
              </w:rPr>
            </w:pPr>
            <w:r>
              <w:rPr>
                <w:color w:val="auto"/>
                <w:kern w:val="0"/>
                <w:sz w:val="22"/>
                <w:szCs w:val="22"/>
                <w:highlight w:val="none"/>
              </w:rPr>
              <w:t>22</w:t>
            </w:r>
          </w:p>
        </w:tc>
        <w:tc>
          <w:tcPr>
            <w:tcW w:w="2092" w:type="dxa"/>
            <w:vAlign w:val="center"/>
          </w:tcPr>
          <w:p w14:paraId="049BE441">
            <w:pPr>
              <w:spacing w:before="60" w:after="60"/>
              <w:jc w:val="left"/>
              <w:rPr>
                <w:color w:val="auto"/>
                <w:kern w:val="0"/>
                <w:sz w:val="22"/>
                <w:szCs w:val="22"/>
                <w:highlight w:val="none"/>
              </w:rPr>
            </w:pPr>
            <w:r>
              <w:rPr>
                <w:color w:val="auto"/>
                <w:kern w:val="0"/>
                <w:sz w:val="22"/>
                <w:szCs w:val="22"/>
                <w:highlight w:val="none"/>
              </w:rPr>
              <w:t>中标通知书及合同备案</w:t>
            </w:r>
          </w:p>
        </w:tc>
        <w:tc>
          <w:tcPr>
            <w:tcW w:w="7051" w:type="dxa"/>
            <w:vAlign w:val="center"/>
          </w:tcPr>
          <w:p w14:paraId="5F72B472">
            <w:pPr>
              <w:spacing w:before="60" w:after="60"/>
              <w:rPr>
                <w:bCs/>
                <w:snapToGrid w:val="0"/>
                <w:color w:val="auto"/>
                <w:sz w:val="22"/>
                <w:szCs w:val="22"/>
                <w:highlight w:val="none"/>
              </w:rPr>
            </w:pPr>
            <w:r>
              <w:rPr>
                <w:bCs/>
                <w:snapToGrid w:val="0"/>
                <w:color w:val="auto"/>
                <w:sz w:val="22"/>
                <w:szCs w:val="22"/>
                <w:highlight w:val="none"/>
              </w:rPr>
              <w:t>（1）中标人须在中标通知书发出之日起30天内与采购人签订合同。</w:t>
            </w:r>
          </w:p>
          <w:p w14:paraId="42706E8A">
            <w:pPr>
              <w:spacing w:before="60" w:after="60"/>
              <w:rPr>
                <w:snapToGrid w:val="0"/>
                <w:color w:val="auto"/>
                <w:sz w:val="22"/>
                <w:szCs w:val="22"/>
                <w:highlight w:val="none"/>
              </w:rPr>
            </w:pPr>
            <w:r>
              <w:rPr>
                <w:bCs/>
                <w:snapToGrid w:val="0"/>
                <w:color w:val="auto"/>
                <w:sz w:val="22"/>
                <w:szCs w:val="22"/>
                <w:highlight w:val="none"/>
              </w:rPr>
              <w:t>（2）合同签订后，中标人应在2天内将合同扫描件电子版发给招标代理机构，由招标代理机构负责备案。邮箱：629981664@qq.com。</w:t>
            </w:r>
          </w:p>
        </w:tc>
      </w:tr>
      <w:tr w14:paraId="15598C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50" w:hRule="atLeast"/>
        </w:trPr>
        <w:tc>
          <w:tcPr>
            <w:tcW w:w="705" w:type="dxa"/>
            <w:vAlign w:val="center"/>
          </w:tcPr>
          <w:p w14:paraId="3CA80E69">
            <w:pPr>
              <w:spacing w:before="60" w:after="60"/>
              <w:jc w:val="center"/>
              <w:rPr>
                <w:color w:val="auto"/>
                <w:kern w:val="0"/>
                <w:sz w:val="22"/>
                <w:szCs w:val="22"/>
                <w:highlight w:val="none"/>
              </w:rPr>
            </w:pPr>
            <w:r>
              <w:rPr>
                <w:color w:val="auto"/>
                <w:kern w:val="0"/>
                <w:sz w:val="22"/>
                <w:szCs w:val="22"/>
                <w:highlight w:val="none"/>
              </w:rPr>
              <w:t>23</w:t>
            </w:r>
          </w:p>
        </w:tc>
        <w:tc>
          <w:tcPr>
            <w:tcW w:w="2092" w:type="dxa"/>
            <w:vAlign w:val="center"/>
          </w:tcPr>
          <w:p w14:paraId="3D12EDB6">
            <w:pPr>
              <w:spacing w:before="60" w:after="60"/>
              <w:jc w:val="left"/>
              <w:rPr>
                <w:color w:val="auto"/>
                <w:kern w:val="0"/>
                <w:sz w:val="22"/>
                <w:szCs w:val="22"/>
                <w:highlight w:val="none"/>
              </w:rPr>
            </w:pPr>
            <w:r>
              <w:rPr>
                <w:color w:val="auto"/>
                <w:kern w:val="0"/>
                <w:sz w:val="22"/>
                <w:szCs w:val="22"/>
                <w:highlight w:val="none"/>
              </w:rPr>
              <w:t>注意事项</w:t>
            </w:r>
          </w:p>
        </w:tc>
        <w:tc>
          <w:tcPr>
            <w:tcW w:w="7051" w:type="dxa"/>
            <w:vAlign w:val="center"/>
          </w:tcPr>
          <w:p w14:paraId="4F94BDF8">
            <w:pPr>
              <w:spacing w:before="60" w:after="60"/>
              <w:rPr>
                <w:color w:val="auto"/>
                <w:sz w:val="22"/>
                <w:szCs w:val="22"/>
                <w:highlight w:val="none"/>
              </w:rPr>
            </w:pPr>
            <w:r>
              <w:rPr>
                <w:color w:val="auto"/>
                <w:sz w:val="22"/>
                <w:szCs w:val="22"/>
                <w:highlight w:val="none"/>
              </w:rPr>
              <w:t>（1）本采购文件中如有前后不一致的，一律以本</w:t>
            </w:r>
            <w:r>
              <w:rPr>
                <w:rFonts w:hint="eastAsia"/>
                <w:color w:val="auto"/>
                <w:sz w:val="22"/>
                <w:szCs w:val="22"/>
                <w:highlight w:val="none"/>
                <w:lang w:eastAsia="zh-CN"/>
              </w:rPr>
              <w:t>“</w:t>
            </w:r>
            <w:r>
              <w:rPr>
                <w:color w:val="auto"/>
                <w:sz w:val="22"/>
                <w:szCs w:val="22"/>
                <w:highlight w:val="none"/>
              </w:rPr>
              <w:t>投标供应商须知前附表</w:t>
            </w:r>
            <w:r>
              <w:rPr>
                <w:rFonts w:hint="eastAsia"/>
                <w:color w:val="auto"/>
                <w:sz w:val="22"/>
                <w:szCs w:val="22"/>
                <w:highlight w:val="none"/>
                <w:lang w:eastAsia="zh-CN"/>
              </w:rPr>
              <w:t>”</w:t>
            </w:r>
            <w:r>
              <w:rPr>
                <w:color w:val="auto"/>
                <w:sz w:val="22"/>
                <w:szCs w:val="22"/>
                <w:highlight w:val="none"/>
              </w:rPr>
              <w:t>为准；</w:t>
            </w:r>
          </w:p>
          <w:p w14:paraId="64CC6689">
            <w:pPr>
              <w:spacing w:before="60" w:after="60"/>
              <w:rPr>
                <w:color w:val="auto"/>
                <w:sz w:val="22"/>
                <w:szCs w:val="22"/>
                <w:highlight w:val="none"/>
              </w:rPr>
            </w:pPr>
            <w:r>
              <w:rPr>
                <w:color w:val="auto"/>
                <w:sz w:val="22"/>
                <w:szCs w:val="22"/>
                <w:highlight w:val="none"/>
              </w:rPr>
              <w:t>（2）本采购文件涉及的时间为</w:t>
            </w:r>
            <w:r>
              <w:rPr>
                <w:rFonts w:hint="eastAsia"/>
                <w:color w:val="auto"/>
                <w:sz w:val="22"/>
                <w:szCs w:val="22"/>
                <w:highlight w:val="none"/>
                <w:lang w:eastAsia="zh-CN"/>
              </w:rPr>
              <w:t>“</w:t>
            </w:r>
            <w:r>
              <w:rPr>
                <w:color w:val="auto"/>
                <w:sz w:val="22"/>
                <w:szCs w:val="22"/>
                <w:highlight w:val="none"/>
              </w:rPr>
              <w:t>北京时间</w:t>
            </w:r>
            <w:r>
              <w:rPr>
                <w:rFonts w:hint="eastAsia"/>
                <w:color w:val="auto"/>
                <w:sz w:val="22"/>
                <w:szCs w:val="22"/>
                <w:highlight w:val="none"/>
                <w:lang w:eastAsia="zh-CN"/>
              </w:rPr>
              <w:t>”</w:t>
            </w:r>
            <w:r>
              <w:rPr>
                <w:color w:val="auto"/>
                <w:sz w:val="22"/>
                <w:szCs w:val="22"/>
                <w:highlight w:val="none"/>
              </w:rPr>
              <w:t>；</w:t>
            </w:r>
          </w:p>
          <w:p w14:paraId="4F3AC759">
            <w:pPr>
              <w:spacing w:before="60" w:after="60"/>
              <w:rPr>
                <w:color w:val="auto"/>
                <w:sz w:val="22"/>
                <w:szCs w:val="22"/>
                <w:highlight w:val="none"/>
              </w:rPr>
            </w:pPr>
            <w:r>
              <w:rPr>
                <w:color w:val="auto"/>
                <w:sz w:val="22"/>
                <w:szCs w:val="22"/>
                <w:highlight w:val="none"/>
              </w:rPr>
              <w:t>（3）本采购文件涉及的货币为</w:t>
            </w:r>
            <w:r>
              <w:rPr>
                <w:rFonts w:hint="eastAsia"/>
                <w:color w:val="auto"/>
                <w:sz w:val="22"/>
                <w:szCs w:val="22"/>
                <w:highlight w:val="none"/>
                <w:lang w:eastAsia="zh-CN"/>
              </w:rPr>
              <w:t>“</w:t>
            </w:r>
            <w:r>
              <w:rPr>
                <w:color w:val="auto"/>
                <w:sz w:val="22"/>
                <w:szCs w:val="22"/>
                <w:highlight w:val="none"/>
              </w:rPr>
              <w:t>人民币</w:t>
            </w:r>
            <w:r>
              <w:rPr>
                <w:rFonts w:hint="eastAsia"/>
                <w:color w:val="auto"/>
                <w:sz w:val="22"/>
                <w:szCs w:val="22"/>
                <w:highlight w:val="none"/>
                <w:lang w:eastAsia="zh-CN"/>
              </w:rPr>
              <w:t>”</w:t>
            </w:r>
            <w:r>
              <w:rPr>
                <w:color w:val="auto"/>
                <w:sz w:val="22"/>
                <w:szCs w:val="22"/>
                <w:highlight w:val="none"/>
              </w:rPr>
              <w:t>；</w:t>
            </w:r>
          </w:p>
          <w:p w14:paraId="49E5E922">
            <w:pPr>
              <w:spacing w:before="60" w:after="60"/>
              <w:rPr>
                <w:color w:val="auto"/>
                <w:sz w:val="22"/>
                <w:szCs w:val="22"/>
                <w:highlight w:val="none"/>
              </w:rPr>
            </w:pPr>
            <w:r>
              <w:rPr>
                <w:color w:val="auto"/>
                <w:sz w:val="22"/>
                <w:szCs w:val="22"/>
                <w:highlight w:val="none"/>
              </w:rPr>
              <w:t>（4）采购文件资料费用：招标代理公司将收取本项目采购文件的工本费500元/份；</w:t>
            </w:r>
          </w:p>
          <w:p w14:paraId="7D2B15AF">
            <w:pPr>
              <w:spacing w:before="60" w:after="60"/>
              <w:rPr>
                <w:rFonts w:hint="eastAsia" w:eastAsia="宋体"/>
                <w:b/>
                <w:bCs/>
                <w:color w:val="auto"/>
                <w:sz w:val="22"/>
                <w:szCs w:val="22"/>
                <w:highlight w:val="none"/>
                <w:u w:val="single"/>
                <w:lang w:eastAsia="zh-CN"/>
              </w:rPr>
            </w:pPr>
            <w:r>
              <w:rPr>
                <w:rFonts w:hint="eastAsia"/>
                <w:b/>
                <w:bCs/>
                <w:color w:val="auto"/>
                <w:sz w:val="22"/>
                <w:szCs w:val="22"/>
                <w:highlight w:val="none"/>
              </w:rPr>
              <w:t>（</w:t>
            </w:r>
            <w:r>
              <w:rPr>
                <w:b/>
                <w:bCs/>
                <w:color w:val="auto"/>
                <w:sz w:val="22"/>
                <w:szCs w:val="22"/>
                <w:highlight w:val="none"/>
              </w:rPr>
              <w:t>5</w:t>
            </w:r>
            <w:r>
              <w:rPr>
                <w:rFonts w:hint="eastAsia"/>
                <w:b/>
                <w:bCs/>
                <w:color w:val="auto"/>
                <w:sz w:val="22"/>
                <w:szCs w:val="22"/>
                <w:highlight w:val="none"/>
              </w:rPr>
              <w:t>）</w:t>
            </w:r>
            <w:r>
              <w:rPr>
                <w:rFonts w:hint="eastAsia"/>
                <w:b/>
                <w:bCs/>
                <w:color w:val="auto"/>
                <w:sz w:val="22"/>
                <w:szCs w:val="22"/>
                <w:highlight w:val="none"/>
                <w:u w:val="single"/>
              </w:rPr>
              <w:t>采购监督管理部门：</w:t>
            </w:r>
            <w:r>
              <w:rPr>
                <w:rFonts w:hint="eastAsia"/>
                <w:b/>
                <w:bCs/>
                <w:color w:val="auto"/>
                <w:sz w:val="22"/>
                <w:szCs w:val="22"/>
                <w:highlight w:val="none"/>
                <w:u w:val="single"/>
                <w:lang w:eastAsia="zh-CN"/>
              </w:rPr>
              <w:t>温州市工业与能源发展集团有限公司纪检监察室；</w:t>
            </w:r>
          </w:p>
          <w:p w14:paraId="29F2D132">
            <w:pPr>
              <w:spacing w:before="60" w:after="60"/>
              <w:rPr>
                <w:rFonts w:hint="eastAsia" w:eastAsia="宋体"/>
                <w:color w:val="auto"/>
                <w:sz w:val="22"/>
                <w:szCs w:val="22"/>
                <w:highlight w:val="none"/>
                <w:lang w:eastAsia="zh-CN"/>
              </w:rPr>
            </w:pPr>
            <w:r>
              <w:rPr>
                <w:b/>
                <w:bCs/>
                <w:color w:val="auto"/>
                <w:sz w:val="22"/>
                <w:szCs w:val="22"/>
                <w:highlight w:val="none"/>
                <w:u w:val="single"/>
              </w:rPr>
              <w:t>联系方式：</w:t>
            </w:r>
            <w:r>
              <w:rPr>
                <w:rFonts w:hint="eastAsia"/>
                <w:b/>
                <w:bCs/>
                <w:color w:val="auto"/>
                <w:sz w:val="22"/>
                <w:szCs w:val="22"/>
                <w:highlight w:val="none"/>
                <w:u w:val="single"/>
                <w:lang w:eastAsia="zh-CN"/>
              </w:rPr>
              <w:t>0577-55598012。</w:t>
            </w:r>
          </w:p>
        </w:tc>
      </w:tr>
      <w:tr w14:paraId="59F219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705" w:type="dxa"/>
            <w:vAlign w:val="center"/>
          </w:tcPr>
          <w:p w14:paraId="715464DE">
            <w:pPr>
              <w:spacing w:before="60" w:after="60"/>
              <w:jc w:val="center"/>
              <w:rPr>
                <w:color w:val="auto"/>
                <w:kern w:val="0"/>
                <w:sz w:val="22"/>
                <w:szCs w:val="22"/>
                <w:highlight w:val="none"/>
              </w:rPr>
            </w:pPr>
            <w:bookmarkStart w:id="24" w:name="_Toc262105499"/>
            <w:bookmarkStart w:id="25" w:name="_Toc221374622"/>
            <w:bookmarkStart w:id="26" w:name="_Toc249758708"/>
            <w:bookmarkStart w:id="27" w:name="_Toc223715994"/>
            <w:bookmarkStart w:id="28" w:name="_Toc245191310"/>
            <w:bookmarkStart w:id="29" w:name="_Toc246261261"/>
            <w:bookmarkStart w:id="30" w:name="_Toc245722277"/>
            <w:bookmarkStart w:id="31" w:name="_Toc222114875"/>
            <w:bookmarkStart w:id="32" w:name="_Toc239145350"/>
            <w:bookmarkStart w:id="33" w:name="_Toc389760260"/>
            <w:bookmarkStart w:id="34" w:name="_Toc241404198"/>
            <w:bookmarkStart w:id="35" w:name="_Toc262049414"/>
            <w:bookmarkStart w:id="36" w:name="_Toc249758860"/>
            <w:bookmarkStart w:id="37" w:name="_Toc221423615"/>
            <w:bookmarkStart w:id="38" w:name="_Toc221356882"/>
            <w:bookmarkStart w:id="39" w:name="_Toc221356947"/>
            <w:r>
              <w:rPr>
                <w:color w:val="auto"/>
                <w:kern w:val="0"/>
                <w:sz w:val="22"/>
                <w:szCs w:val="22"/>
                <w:highlight w:val="none"/>
              </w:rPr>
              <w:t>24</w:t>
            </w:r>
          </w:p>
        </w:tc>
        <w:tc>
          <w:tcPr>
            <w:tcW w:w="2092" w:type="dxa"/>
            <w:vAlign w:val="center"/>
          </w:tcPr>
          <w:p w14:paraId="2987661B">
            <w:pPr>
              <w:spacing w:before="60" w:after="60"/>
              <w:rPr>
                <w:b/>
                <w:bCs/>
                <w:color w:val="auto"/>
                <w:sz w:val="22"/>
                <w:szCs w:val="22"/>
                <w:highlight w:val="none"/>
              </w:rPr>
            </w:pPr>
            <w:r>
              <w:rPr>
                <w:b/>
                <w:bCs/>
                <w:color w:val="auto"/>
                <w:sz w:val="22"/>
                <w:szCs w:val="22"/>
                <w:highlight w:val="none"/>
              </w:rPr>
              <w:t>其他注意事项</w:t>
            </w:r>
          </w:p>
        </w:tc>
        <w:tc>
          <w:tcPr>
            <w:tcW w:w="7051" w:type="dxa"/>
            <w:vAlign w:val="center"/>
          </w:tcPr>
          <w:p w14:paraId="3ABB008A">
            <w:pPr>
              <w:spacing w:before="60" w:after="60"/>
              <w:rPr>
                <w:b/>
                <w:bCs/>
                <w:color w:val="auto"/>
                <w:sz w:val="22"/>
                <w:szCs w:val="22"/>
                <w:highlight w:val="none"/>
              </w:rPr>
            </w:pPr>
            <w:r>
              <w:rPr>
                <w:b/>
                <w:bCs/>
                <w:color w:val="auto"/>
                <w:sz w:val="22"/>
                <w:szCs w:val="22"/>
                <w:highlight w:val="none"/>
                <w:u w:val="single"/>
              </w:rPr>
              <w:t>如发现采购文件中存在含糊不清的，请在规定的询疑截止时间前向采购人、采购代理书面提出，逾期不得再对采购文件的条款提出疑问。</w:t>
            </w:r>
          </w:p>
        </w:tc>
      </w:tr>
      <w:tr w14:paraId="6602DE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9848" w:type="dxa"/>
            <w:gridSpan w:val="3"/>
            <w:vAlign w:val="center"/>
          </w:tcPr>
          <w:p w14:paraId="50FA499D">
            <w:pPr>
              <w:spacing w:before="60" w:after="60"/>
              <w:rPr>
                <w:b/>
                <w:bCs/>
                <w:color w:val="auto"/>
                <w:sz w:val="22"/>
                <w:szCs w:val="22"/>
                <w:highlight w:val="none"/>
                <w:u w:val="single"/>
              </w:rPr>
            </w:pPr>
            <w:r>
              <w:rPr>
                <w:bCs/>
                <w:color w:val="auto"/>
                <w:sz w:val="22"/>
                <w:szCs w:val="22"/>
                <w:highlight w:val="none"/>
              </w:rPr>
              <w:t>“投标供应商须知前附表”中的内容是对“投标供应商须知”正文的补充和说明，“投标供应商须知”正文与“投标供应商须知前附表”的内容不一致时，以“投标供应商须知前附表”为准。</w:t>
            </w:r>
          </w:p>
        </w:tc>
      </w:tr>
    </w:tbl>
    <w:p w14:paraId="5F9CDBF2">
      <w:pPr>
        <w:pStyle w:val="2"/>
        <w:spacing w:line="240" w:lineRule="auto"/>
        <w:rPr>
          <w:rFonts w:ascii="Times New Roman" w:eastAsia="宋体"/>
          <w:color w:val="auto"/>
          <w:sz w:val="36"/>
          <w:szCs w:val="36"/>
          <w:highlight w:val="none"/>
        </w:rPr>
      </w:pPr>
      <w:r>
        <w:rPr>
          <w:rFonts w:ascii="Times New Roman" w:eastAsia="宋体"/>
          <w:color w:val="auto"/>
          <w:sz w:val="36"/>
          <w:szCs w:val="36"/>
          <w:highlight w:val="none"/>
        </w:rPr>
        <w:br w:type="page"/>
      </w:r>
      <w:bookmarkStart w:id="40" w:name="_Toc14296"/>
      <w:r>
        <w:rPr>
          <w:rFonts w:ascii="Times New Roman" w:eastAsia="宋体"/>
          <w:color w:val="auto"/>
          <w:sz w:val="36"/>
          <w:szCs w:val="36"/>
          <w:highlight w:val="none"/>
        </w:rPr>
        <w:t>第一部分    投标人须知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19DF0ACB">
      <w:pPr>
        <w:spacing w:before="100" w:beforeAutospacing="1" w:after="100" w:afterAutospacing="1" w:line="240" w:lineRule="auto"/>
        <w:jc w:val="center"/>
        <w:outlineLvl w:val="1"/>
        <w:rPr>
          <w:b/>
          <w:bCs/>
          <w:color w:val="auto"/>
          <w:sz w:val="26"/>
          <w:szCs w:val="26"/>
          <w:highlight w:val="none"/>
        </w:rPr>
      </w:pPr>
      <w:bookmarkStart w:id="41" w:name="_Toc221374623"/>
      <w:bookmarkStart w:id="42" w:name="_Toc245191311"/>
      <w:bookmarkStart w:id="43" w:name="_Toc241404199"/>
      <w:bookmarkStart w:id="44" w:name="_Toc221356948"/>
      <w:bookmarkStart w:id="45" w:name="_Toc222114876"/>
      <w:bookmarkStart w:id="46" w:name="_Toc262105500"/>
      <w:bookmarkStart w:id="47" w:name="_Toc389760261"/>
      <w:bookmarkStart w:id="48" w:name="_Toc249758709"/>
      <w:bookmarkStart w:id="49" w:name="_Toc221423616"/>
      <w:bookmarkStart w:id="50" w:name="_Toc221356883"/>
      <w:bookmarkStart w:id="51" w:name="_Toc27947"/>
      <w:bookmarkStart w:id="52" w:name="_Toc223715995"/>
      <w:bookmarkStart w:id="53" w:name="_Toc245722278"/>
      <w:bookmarkStart w:id="54" w:name="_Toc262049415"/>
      <w:bookmarkStart w:id="55" w:name="_Toc239145351"/>
      <w:bookmarkStart w:id="56" w:name="_Toc249758861"/>
      <w:bookmarkStart w:id="57" w:name="_Toc246261262"/>
      <w:r>
        <w:rPr>
          <w:b/>
          <w:bCs/>
          <w:color w:val="auto"/>
          <w:sz w:val="26"/>
          <w:szCs w:val="26"/>
          <w:highlight w:val="none"/>
        </w:rPr>
        <w:t>一、  说明</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370FA0D5">
      <w:pPr>
        <w:tabs>
          <w:tab w:val="left" w:pos="540"/>
        </w:tabs>
        <w:spacing w:line="360" w:lineRule="auto"/>
        <w:rPr>
          <w:color w:val="auto"/>
          <w:sz w:val="22"/>
          <w:szCs w:val="22"/>
          <w:highlight w:val="none"/>
        </w:rPr>
      </w:pPr>
      <w:r>
        <w:rPr>
          <w:color w:val="auto"/>
          <w:sz w:val="22"/>
          <w:szCs w:val="22"/>
          <w:highlight w:val="none"/>
        </w:rPr>
        <w:t>1.本次采购是按照《温州市市属国有企业采购管理办法》等有关法律、法规组织和实施的。</w:t>
      </w:r>
    </w:p>
    <w:p w14:paraId="38EED378">
      <w:pPr>
        <w:tabs>
          <w:tab w:val="left" w:pos="540"/>
        </w:tabs>
        <w:spacing w:line="360" w:lineRule="auto"/>
        <w:rPr>
          <w:color w:val="auto"/>
          <w:sz w:val="22"/>
          <w:szCs w:val="22"/>
          <w:highlight w:val="none"/>
        </w:rPr>
      </w:pPr>
      <w:r>
        <w:rPr>
          <w:color w:val="auto"/>
          <w:sz w:val="22"/>
          <w:szCs w:val="22"/>
          <w:highlight w:val="none"/>
        </w:rPr>
        <w:t>2.合格投标人</w:t>
      </w:r>
    </w:p>
    <w:p w14:paraId="6EE1524D">
      <w:pPr>
        <w:spacing w:line="360" w:lineRule="auto"/>
        <w:ind w:firstLine="440" w:firstLineChars="200"/>
        <w:rPr>
          <w:color w:val="auto"/>
          <w:sz w:val="22"/>
          <w:szCs w:val="22"/>
          <w:highlight w:val="none"/>
        </w:rPr>
      </w:pPr>
      <w:r>
        <w:rPr>
          <w:color w:val="auto"/>
          <w:sz w:val="22"/>
          <w:szCs w:val="22"/>
          <w:highlight w:val="none"/>
        </w:rPr>
        <w:t>合格投标人要求以本项目采购公告及投标人须知前附表中描述为准。</w:t>
      </w:r>
    </w:p>
    <w:p w14:paraId="28B2A5FF">
      <w:pPr>
        <w:tabs>
          <w:tab w:val="left" w:pos="540"/>
        </w:tabs>
        <w:spacing w:line="360" w:lineRule="auto"/>
        <w:rPr>
          <w:color w:val="auto"/>
          <w:sz w:val="22"/>
          <w:szCs w:val="22"/>
          <w:highlight w:val="none"/>
        </w:rPr>
      </w:pPr>
      <w:r>
        <w:rPr>
          <w:color w:val="auto"/>
          <w:sz w:val="22"/>
          <w:szCs w:val="22"/>
          <w:highlight w:val="none"/>
        </w:rPr>
        <w:t>3.投标人代表</w:t>
      </w:r>
    </w:p>
    <w:p w14:paraId="60BB7F5B">
      <w:pPr>
        <w:spacing w:line="360" w:lineRule="auto"/>
        <w:ind w:firstLine="440" w:firstLineChars="200"/>
        <w:rPr>
          <w:color w:val="auto"/>
          <w:sz w:val="22"/>
          <w:szCs w:val="22"/>
          <w:highlight w:val="none"/>
        </w:rPr>
      </w:pPr>
      <w:r>
        <w:rPr>
          <w:color w:val="auto"/>
          <w:sz w:val="22"/>
          <w:szCs w:val="22"/>
          <w:highlight w:val="none"/>
        </w:rPr>
        <w:t>指全权代表投标人参加投标活动并签署投标文件的人。如果投标人代表不是法定代表人，须持有《法定代表人授权书》（见附件一）。</w:t>
      </w:r>
    </w:p>
    <w:p w14:paraId="2D54C286">
      <w:pPr>
        <w:tabs>
          <w:tab w:val="left" w:pos="540"/>
        </w:tabs>
        <w:spacing w:line="360" w:lineRule="auto"/>
        <w:rPr>
          <w:color w:val="auto"/>
          <w:sz w:val="22"/>
          <w:szCs w:val="22"/>
          <w:highlight w:val="none"/>
        </w:rPr>
      </w:pPr>
      <w:r>
        <w:rPr>
          <w:color w:val="auto"/>
          <w:sz w:val="22"/>
          <w:szCs w:val="22"/>
          <w:highlight w:val="none"/>
        </w:rPr>
        <w:t>4.投标费用</w:t>
      </w:r>
    </w:p>
    <w:p w14:paraId="571059CC">
      <w:pPr>
        <w:spacing w:line="360" w:lineRule="auto"/>
        <w:ind w:firstLine="440" w:firstLineChars="200"/>
        <w:rPr>
          <w:color w:val="auto"/>
          <w:sz w:val="22"/>
          <w:szCs w:val="22"/>
          <w:highlight w:val="none"/>
        </w:rPr>
      </w:pPr>
      <w:r>
        <w:rPr>
          <w:color w:val="auto"/>
          <w:sz w:val="22"/>
          <w:szCs w:val="22"/>
          <w:highlight w:val="none"/>
        </w:rPr>
        <w:t>投标人应承担所有与准备和参加投标有关的费用，不论投标的结果如何，采购人和招标代理机构均无义务和责任承担这些费用。</w:t>
      </w:r>
    </w:p>
    <w:p w14:paraId="06E3119A">
      <w:pPr>
        <w:spacing w:before="100" w:beforeAutospacing="1" w:after="100" w:afterAutospacing="1" w:line="360" w:lineRule="auto"/>
        <w:jc w:val="center"/>
        <w:outlineLvl w:val="1"/>
        <w:rPr>
          <w:b/>
          <w:bCs/>
          <w:color w:val="auto"/>
          <w:sz w:val="26"/>
          <w:szCs w:val="26"/>
          <w:highlight w:val="none"/>
        </w:rPr>
      </w:pPr>
      <w:bookmarkStart w:id="58" w:name="_Toc262105501"/>
      <w:bookmarkStart w:id="59" w:name="_Toc245191312"/>
      <w:bookmarkStart w:id="60" w:name="_Toc239145352"/>
      <w:bookmarkStart w:id="61" w:name="_Toc221423617"/>
      <w:bookmarkStart w:id="62" w:name="_Toc223715996"/>
      <w:bookmarkStart w:id="63" w:name="_Toc221374624"/>
      <w:bookmarkStart w:id="64" w:name="_Toc222114877"/>
      <w:bookmarkStart w:id="65" w:name="_Toc245722279"/>
      <w:bookmarkStart w:id="66" w:name="_Toc389760262"/>
      <w:bookmarkStart w:id="67" w:name="_Toc249758862"/>
      <w:bookmarkStart w:id="68" w:name="_Toc241404200"/>
      <w:bookmarkStart w:id="69" w:name="_Toc221356949"/>
      <w:bookmarkStart w:id="70" w:name="_Toc12815"/>
      <w:bookmarkStart w:id="71" w:name="_Toc249758710"/>
      <w:bookmarkStart w:id="72" w:name="_Toc246261263"/>
      <w:bookmarkStart w:id="73" w:name="_Toc221356884"/>
      <w:bookmarkStart w:id="74" w:name="_Toc262049416"/>
      <w:r>
        <w:rPr>
          <w:b/>
          <w:bCs/>
          <w:color w:val="auto"/>
          <w:sz w:val="26"/>
          <w:szCs w:val="26"/>
          <w:highlight w:val="none"/>
        </w:rPr>
        <w:t>二、 采购文件</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5B07AB7C">
      <w:pPr>
        <w:tabs>
          <w:tab w:val="left" w:pos="540"/>
        </w:tabs>
        <w:spacing w:line="360" w:lineRule="auto"/>
        <w:rPr>
          <w:color w:val="auto"/>
          <w:sz w:val="22"/>
          <w:szCs w:val="22"/>
          <w:highlight w:val="none"/>
        </w:rPr>
      </w:pPr>
      <w:r>
        <w:rPr>
          <w:color w:val="auto"/>
          <w:sz w:val="22"/>
          <w:szCs w:val="22"/>
          <w:highlight w:val="none"/>
        </w:rPr>
        <w:t>5.采购文件由采购文件目录所列内容及相关资料组成。</w:t>
      </w:r>
    </w:p>
    <w:p w14:paraId="1691C402">
      <w:pPr>
        <w:tabs>
          <w:tab w:val="left" w:pos="540"/>
        </w:tabs>
        <w:spacing w:line="360" w:lineRule="auto"/>
        <w:rPr>
          <w:color w:val="auto"/>
          <w:sz w:val="22"/>
          <w:szCs w:val="22"/>
          <w:highlight w:val="none"/>
        </w:rPr>
      </w:pPr>
      <w:r>
        <w:rPr>
          <w:color w:val="auto"/>
          <w:sz w:val="22"/>
          <w:szCs w:val="22"/>
          <w:highlight w:val="none"/>
        </w:rPr>
        <w:t>6.采购文件的澄清</w:t>
      </w:r>
    </w:p>
    <w:p w14:paraId="5C90DC5C">
      <w:pPr>
        <w:spacing w:line="360" w:lineRule="auto"/>
        <w:ind w:firstLine="440" w:firstLineChars="200"/>
        <w:rPr>
          <w:color w:val="auto"/>
          <w:sz w:val="22"/>
          <w:szCs w:val="22"/>
          <w:highlight w:val="none"/>
        </w:rPr>
      </w:pPr>
      <w:r>
        <w:rPr>
          <w:color w:val="auto"/>
          <w:sz w:val="22"/>
          <w:szCs w:val="22"/>
          <w:highlight w:val="none"/>
        </w:rPr>
        <w:t>供应商对采购文件如有疑点或未尽事宜要求澄清，或认为有必要进行说明或交流，投标供应商可以按采购公告的要求向采购人提出，采购人将用书面形式予以答复。如有必要，可将不说明问题来源的答复发给各有关投标供应商或召开答疑会。如果标书答疑期内未收到有关疑问，视为投标供应商完全同意采购文件所有条款，如对于采购文件相关表述以及未尽事宜如有争议，以采购人解释为准。</w:t>
      </w:r>
    </w:p>
    <w:p w14:paraId="44A13320">
      <w:pPr>
        <w:tabs>
          <w:tab w:val="left" w:pos="540"/>
        </w:tabs>
        <w:spacing w:line="360" w:lineRule="auto"/>
        <w:rPr>
          <w:color w:val="auto"/>
          <w:sz w:val="22"/>
          <w:szCs w:val="22"/>
          <w:highlight w:val="none"/>
        </w:rPr>
      </w:pPr>
      <w:r>
        <w:rPr>
          <w:color w:val="auto"/>
          <w:sz w:val="22"/>
          <w:szCs w:val="22"/>
          <w:highlight w:val="none"/>
        </w:rPr>
        <w:t>7.采购文件的修改</w:t>
      </w:r>
    </w:p>
    <w:p w14:paraId="31DE0C33">
      <w:pPr>
        <w:spacing w:line="360" w:lineRule="auto"/>
        <w:rPr>
          <w:rFonts w:hint="default" w:eastAsia="宋体"/>
          <w:color w:val="auto"/>
          <w:sz w:val="22"/>
          <w:szCs w:val="22"/>
          <w:highlight w:val="none"/>
          <w:lang w:val="en-US" w:eastAsia="zh-CN"/>
        </w:rPr>
      </w:pPr>
      <w:r>
        <w:rPr>
          <w:color w:val="auto"/>
          <w:sz w:val="22"/>
          <w:szCs w:val="22"/>
          <w:highlight w:val="none"/>
        </w:rPr>
        <w:t>7.1在投标截止期三个工作日前，采购人无论是出于何种原因，均可对采购文件用补充文件的方式进行修改，并在乐采云平台与温州市国有企业采购信息平台及其他指定信息发布媒体上发布更正公告。该修改的内容为采购文件的组成部分。采购人可以视采购具体情况在采购文件要求提交截止时间三个工作日前，作出延长投标截止时间和开标时间的决定，并在乐采云平台与温州市国有企业采购信息平台及其他指定信息发布媒体上发布变更公告</w:t>
      </w:r>
      <w:r>
        <w:rPr>
          <w:rFonts w:hint="eastAsia"/>
          <w:color w:val="auto"/>
          <w:sz w:val="22"/>
          <w:szCs w:val="22"/>
          <w:highlight w:val="none"/>
          <w:lang w:eastAsia="zh-CN"/>
        </w:rPr>
        <w:t>，</w:t>
      </w:r>
      <w:r>
        <w:rPr>
          <w:rFonts w:hint="eastAsia"/>
          <w:color w:val="auto"/>
          <w:sz w:val="22"/>
          <w:szCs w:val="22"/>
          <w:highlight w:val="none"/>
          <w:lang w:val="en-US" w:eastAsia="zh-CN"/>
        </w:rPr>
        <w:t>投标人自行查看，未及时查看对投标人造成影响的，投标人自行承担后果。</w:t>
      </w:r>
    </w:p>
    <w:p w14:paraId="477E0C35">
      <w:pPr>
        <w:spacing w:line="360" w:lineRule="auto"/>
        <w:rPr>
          <w:color w:val="auto"/>
          <w:sz w:val="22"/>
          <w:szCs w:val="22"/>
          <w:highlight w:val="none"/>
        </w:rPr>
      </w:pPr>
      <w:r>
        <w:rPr>
          <w:color w:val="auto"/>
          <w:sz w:val="22"/>
          <w:szCs w:val="22"/>
          <w:highlight w:val="none"/>
        </w:rPr>
        <w:t>7.2本项目投标人均可在本项目申请获取采购文件，并按采购文件规定的时间、地点递交投标文件（采购文件申请获取网址：https://www.lecaiyun.com；采购文件如有补充更正均见https://www.lecaiyun.com）。投标人须在开标截止时间前自行查看是否有补充更正文件，并按补充更正文件要求投标，否则责任自负。</w:t>
      </w:r>
    </w:p>
    <w:p w14:paraId="61245496">
      <w:pPr>
        <w:spacing w:before="100" w:beforeAutospacing="1" w:after="100" w:afterAutospacing="1" w:line="360" w:lineRule="auto"/>
        <w:jc w:val="center"/>
        <w:outlineLvl w:val="1"/>
        <w:rPr>
          <w:b/>
          <w:bCs/>
          <w:color w:val="auto"/>
          <w:sz w:val="26"/>
          <w:szCs w:val="26"/>
          <w:highlight w:val="none"/>
        </w:rPr>
      </w:pPr>
      <w:bookmarkStart w:id="75" w:name="_Toc246261264"/>
      <w:bookmarkStart w:id="76" w:name="_Toc245722280"/>
      <w:bookmarkStart w:id="77" w:name="_Toc249758711"/>
      <w:bookmarkStart w:id="78" w:name="_Toc222114878"/>
      <w:bookmarkStart w:id="79" w:name="_Toc239145353"/>
      <w:bookmarkStart w:id="80" w:name="_Toc223715997"/>
      <w:bookmarkStart w:id="81" w:name="_Toc241404201"/>
      <w:bookmarkStart w:id="82" w:name="_Toc221356885"/>
      <w:bookmarkStart w:id="83" w:name="_Toc15481"/>
      <w:bookmarkStart w:id="84" w:name="_Toc221423618"/>
      <w:bookmarkStart w:id="85" w:name="_Toc221374625"/>
      <w:bookmarkStart w:id="86" w:name="_Toc221356950"/>
      <w:bookmarkStart w:id="87" w:name="_Toc249758863"/>
      <w:bookmarkStart w:id="88" w:name="_Toc262049417"/>
      <w:bookmarkStart w:id="89" w:name="_Toc389760263"/>
      <w:bookmarkStart w:id="90" w:name="_Toc262105502"/>
      <w:bookmarkStart w:id="91" w:name="_Toc245191313"/>
      <w:r>
        <w:rPr>
          <w:b/>
          <w:bCs/>
          <w:color w:val="auto"/>
          <w:sz w:val="26"/>
          <w:szCs w:val="26"/>
          <w:highlight w:val="none"/>
        </w:rPr>
        <w:t>三、 投标文件的编制</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4F54DDD3">
      <w:pPr>
        <w:spacing w:line="360" w:lineRule="auto"/>
        <w:rPr>
          <w:color w:val="auto"/>
          <w:sz w:val="22"/>
          <w:szCs w:val="22"/>
          <w:highlight w:val="none"/>
        </w:rPr>
      </w:pPr>
      <w:r>
        <w:rPr>
          <w:color w:val="auto"/>
          <w:sz w:val="22"/>
          <w:szCs w:val="22"/>
          <w:highlight w:val="none"/>
        </w:rPr>
        <w:t>8.投标人应认真阅读采购文件中所有事项格式、条款和技术规范等。</w:t>
      </w:r>
      <w:r>
        <w:rPr>
          <w:b/>
          <w:bCs/>
          <w:color w:val="auto"/>
          <w:sz w:val="22"/>
          <w:szCs w:val="22"/>
          <w:highlight w:val="none"/>
        </w:rPr>
        <w:t>投标人没有按照采购文件要求提交全部资料，或者没有对采购文件各个方面做出实质性响应，导致投标被拒绝的风险由投标人自行承担。</w:t>
      </w:r>
    </w:p>
    <w:p w14:paraId="64E9FE0F">
      <w:pPr>
        <w:spacing w:line="360" w:lineRule="auto"/>
        <w:rPr>
          <w:bCs/>
          <w:color w:val="auto"/>
          <w:sz w:val="22"/>
          <w:szCs w:val="22"/>
          <w:highlight w:val="none"/>
        </w:rPr>
      </w:pPr>
      <w:r>
        <w:rPr>
          <w:bCs/>
          <w:color w:val="auto"/>
          <w:sz w:val="22"/>
          <w:szCs w:val="22"/>
          <w:highlight w:val="none"/>
        </w:rPr>
        <w:t>9.投标人法律责任</w:t>
      </w:r>
    </w:p>
    <w:p w14:paraId="0C3E6F52">
      <w:pPr>
        <w:tabs>
          <w:tab w:val="left" w:pos="1018"/>
        </w:tabs>
        <w:spacing w:line="360" w:lineRule="auto"/>
        <w:rPr>
          <w:color w:val="auto"/>
          <w:sz w:val="22"/>
          <w:szCs w:val="22"/>
          <w:highlight w:val="none"/>
        </w:rPr>
      </w:pPr>
      <w:r>
        <w:rPr>
          <w:color w:val="auto"/>
          <w:sz w:val="22"/>
          <w:szCs w:val="22"/>
          <w:highlight w:val="none"/>
        </w:rPr>
        <w:t>9.1</w:t>
      </w:r>
      <w:r>
        <w:rPr>
          <w:b/>
          <w:bCs/>
          <w:color w:val="auto"/>
          <w:sz w:val="22"/>
          <w:szCs w:val="22"/>
          <w:highlight w:val="none"/>
          <w:u w:val="single"/>
        </w:rPr>
        <w:t>投标人应保证所提供文件资料的真实性，所有文件资料必须是针对本次投标的。如发现投标人提供了虚假文件资料，其投标将被拒绝，并自行承担相应的法律责任。</w:t>
      </w:r>
    </w:p>
    <w:p w14:paraId="34DFFF97">
      <w:pPr>
        <w:spacing w:line="360" w:lineRule="auto"/>
        <w:rPr>
          <w:bCs/>
          <w:color w:val="auto"/>
          <w:sz w:val="22"/>
          <w:szCs w:val="22"/>
          <w:highlight w:val="none"/>
        </w:rPr>
      </w:pPr>
      <w:r>
        <w:rPr>
          <w:bCs/>
          <w:color w:val="auto"/>
          <w:sz w:val="22"/>
          <w:szCs w:val="22"/>
          <w:highlight w:val="none"/>
        </w:rPr>
        <w:t>10.投标文件的构成：</w:t>
      </w:r>
    </w:p>
    <w:p w14:paraId="16F1AB76">
      <w:pPr>
        <w:spacing w:line="360" w:lineRule="auto"/>
        <w:rPr>
          <w:color w:val="auto"/>
          <w:sz w:val="22"/>
          <w:szCs w:val="22"/>
          <w:highlight w:val="none"/>
        </w:rPr>
      </w:pPr>
      <w:r>
        <w:rPr>
          <w:color w:val="auto"/>
          <w:sz w:val="22"/>
          <w:szCs w:val="22"/>
          <w:highlight w:val="none"/>
        </w:rPr>
        <w:t>10.1完整的《投标文件》由“资格文件”、“报价文件”和“商务技术文件”三个部分组成：</w:t>
      </w:r>
    </w:p>
    <w:tbl>
      <w:tblPr>
        <w:tblStyle w:val="29"/>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764"/>
        <w:gridCol w:w="1273"/>
      </w:tblGrid>
      <w:tr w14:paraId="2F75C5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AC41112">
            <w:pPr>
              <w:spacing w:before="60" w:after="60"/>
              <w:jc w:val="center"/>
              <w:rPr>
                <w:b/>
                <w:color w:val="auto"/>
                <w:sz w:val="22"/>
                <w:szCs w:val="22"/>
                <w:highlight w:val="none"/>
              </w:rPr>
            </w:pPr>
            <w:r>
              <w:rPr>
                <w:b/>
                <w:color w:val="auto"/>
                <w:sz w:val="22"/>
                <w:szCs w:val="22"/>
                <w:highlight w:val="none"/>
              </w:rPr>
              <w:t>序号</w:t>
            </w:r>
          </w:p>
        </w:tc>
        <w:tc>
          <w:tcPr>
            <w:tcW w:w="7764" w:type="dxa"/>
            <w:vAlign w:val="center"/>
          </w:tcPr>
          <w:p w14:paraId="66AD20C2">
            <w:pPr>
              <w:spacing w:before="60" w:after="60"/>
              <w:jc w:val="center"/>
              <w:rPr>
                <w:b/>
                <w:color w:val="auto"/>
                <w:sz w:val="22"/>
                <w:szCs w:val="22"/>
                <w:highlight w:val="none"/>
              </w:rPr>
            </w:pPr>
            <w:r>
              <w:rPr>
                <w:b/>
                <w:color w:val="auto"/>
                <w:sz w:val="22"/>
                <w:szCs w:val="22"/>
                <w:highlight w:val="none"/>
              </w:rPr>
              <w:t>内容</w:t>
            </w:r>
          </w:p>
        </w:tc>
        <w:tc>
          <w:tcPr>
            <w:tcW w:w="1273" w:type="dxa"/>
            <w:vAlign w:val="center"/>
          </w:tcPr>
          <w:p w14:paraId="4AECFED5">
            <w:pPr>
              <w:spacing w:before="60" w:after="60"/>
              <w:jc w:val="center"/>
              <w:rPr>
                <w:b/>
                <w:color w:val="auto"/>
                <w:sz w:val="22"/>
                <w:szCs w:val="22"/>
                <w:highlight w:val="none"/>
              </w:rPr>
            </w:pPr>
            <w:r>
              <w:rPr>
                <w:b/>
                <w:color w:val="auto"/>
                <w:sz w:val="22"/>
                <w:szCs w:val="22"/>
                <w:highlight w:val="none"/>
              </w:rPr>
              <w:t>备注</w:t>
            </w:r>
          </w:p>
        </w:tc>
      </w:tr>
      <w:tr w14:paraId="7232B6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421AFA77">
            <w:pPr>
              <w:spacing w:before="60" w:after="60"/>
              <w:jc w:val="center"/>
              <w:rPr>
                <w:b/>
                <w:color w:val="auto"/>
                <w:sz w:val="22"/>
                <w:szCs w:val="22"/>
                <w:highlight w:val="none"/>
              </w:rPr>
            </w:pPr>
            <w:r>
              <w:rPr>
                <w:b/>
                <w:color w:val="auto"/>
                <w:sz w:val="22"/>
                <w:szCs w:val="22"/>
                <w:highlight w:val="none"/>
              </w:rPr>
              <w:t>1</w:t>
            </w:r>
          </w:p>
        </w:tc>
        <w:tc>
          <w:tcPr>
            <w:tcW w:w="7764" w:type="dxa"/>
            <w:vAlign w:val="center"/>
          </w:tcPr>
          <w:p w14:paraId="6C996B46">
            <w:pPr>
              <w:spacing w:before="60" w:after="60"/>
              <w:jc w:val="center"/>
              <w:rPr>
                <w:b/>
                <w:color w:val="auto"/>
                <w:sz w:val="22"/>
                <w:szCs w:val="22"/>
                <w:highlight w:val="none"/>
                <w:u w:val="single"/>
              </w:rPr>
            </w:pPr>
            <w:r>
              <w:rPr>
                <w:b/>
                <w:color w:val="auto"/>
                <w:sz w:val="22"/>
                <w:szCs w:val="22"/>
                <w:highlight w:val="none"/>
                <w:u w:val="single"/>
              </w:rPr>
              <w:t>▲资格文件（强制性要求，</w:t>
            </w:r>
            <w:r>
              <w:rPr>
                <w:b/>
                <w:color w:val="auto"/>
                <w:sz w:val="22"/>
                <w:szCs w:val="22"/>
                <w:highlight w:val="none"/>
                <w:u w:val="single"/>
                <w:lang w:val="zh-CN"/>
              </w:rPr>
              <w:t>供应商须按以下要求提供资格文件，否则资格性审查不通过的</w:t>
            </w:r>
            <w:r>
              <w:rPr>
                <w:b/>
                <w:color w:val="auto"/>
                <w:sz w:val="22"/>
                <w:szCs w:val="22"/>
                <w:highlight w:val="none"/>
                <w:u w:val="single"/>
              </w:rPr>
              <w:t>）</w:t>
            </w:r>
          </w:p>
        </w:tc>
        <w:tc>
          <w:tcPr>
            <w:tcW w:w="1273" w:type="dxa"/>
            <w:vAlign w:val="center"/>
          </w:tcPr>
          <w:p w14:paraId="437173F1">
            <w:pPr>
              <w:spacing w:before="60" w:after="60"/>
              <w:jc w:val="center"/>
              <w:rPr>
                <w:b/>
                <w:color w:val="auto"/>
                <w:sz w:val="22"/>
                <w:szCs w:val="22"/>
                <w:highlight w:val="none"/>
                <w:u w:val="single"/>
              </w:rPr>
            </w:pPr>
            <w:r>
              <w:rPr>
                <w:b/>
                <w:color w:val="auto"/>
                <w:sz w:val="22"/>
                <w:szCs w:val="22"/>
                <w:highlight w:val="none"/>
                <w:u w:val="single"/>
              </w:rPr>
              <w:t>见附件一</w:t>
            </w:r>
          </w:p>
        </w:tc>
      </w:tr>
      <w:tr w14:paraId="137823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C7F48C6">
            <w:pPr>
              <w:spacing w:before="60" w:after="60"/>
              <w:jc w:val="center"/>
              <w:rPr>
                <w:b/>
                <w:color w:val="auto"/>
                <w:sz w:val="22"/>
                <w:szCs w:val="22"/>
                <w:highlight w:val="none"/>
              </w:rPr>
            </w:pPr>
            <w:r>
              <w:rPr>
                <w:color w:val="auto"/>
                <w:sz w:val="22"/>
                <w:szCs w:val="22"/>
                <w:highlight w:val="none"/>
              </w:rPr>
              <w:t>1）</w:t>
            </w:r>
          </w:p>
        </w:tc>
        <w:tc>
          <w:tcPr>
            <w:tcW w:w="7764" w:type="dxa"/>
            <w:vAlign w:val="center"/>
          </w:tcPr>
          <w:p w14:paraId="05A8009A">
            <w:pPr>
              <w:spacing w:before="60" w:after="60"/>
              <w:rPr>
                <w:b/>
                <w:color w:val="auto"/>
                <w:sz w:val="22"/>
                <w:szCs w:val="22"/>
                <w:highlight w:val="none"/>
                <w:u w:val="single"/>
              </w:rPr>
            </w:pPr>
            <w:r>
              <w:rPr>
                <w:b/>
                <w:color w:val="auto"/>
                <w:sz w:val="22"/>
                <w:szCs w:val="22"/>
                <w:highlight w:val="none"/>
                <w:u w:val="single"/>
              </w:rPr>
              <w:t>营业执照(或事业法人登记证书或其它工商等登记证明材料；自然人参与国企采购，提供身份证)复制件；</w:t>
            </w:r>
          </w:p>
          <w:p w14:paraId="57841355">
            <w:pPr>
              <w:pStyle w:val="9"/>
              <w:spacing w:before="60" w:after="60"/>
              <w:ind w:left="442" w:hanging="442"/>
              <w:rPr>
                <w:b/>
                <w:color w:val="auto"/>
                <w:sz w:val="22"/>
                <w:szCs w:val="22"/>
                <w:highlight w:val="none"/>
                <w:u w:val="single"/>
              </w:rPr>
            </w:pPr>
            <w:r>
              <w:rPr>
                <w:b/>
                <w:color w:val="auto"/>
                <w:sz w:val="22"/>
                <w:szCs w:val="22"/>
                <w:highlight w:val="none"/>
                <w:u w:val="single"/>
              </w:rPr>
              <w:t>金融、保险、通讯等特定行业的全国性企业所设立的区域性分支机构，以及个</w:t>
            </w:r>
          </w:p>
          <w:p w14:paraId="1F32E6B6">
            <w:pPr>
              <w:pStyle w:val="9"/>
              <w:spacing w:before="60" w:after="60"/>
              <w:ind w:left="442" w:hanging="442"/>
              <w:rPr>
                <w:b/>
                <w:color w:val="auto"/>
                <w:sz w:val="22"/>
                <w:szCs w:val="22"/>
                <w:highlight w:val="none"/>
                <w:u w:val="single"/>
              </w:rPr>
            </w:pPr>
            <w:r>
              <w:rPr>
                <w:b/>
                <w:color w:val="auto"/>
                <w:sz w:val="22"/>
                <w:szCs w:val="22"/>
                <w:highlight w:val="none"/>
                <w:u w:val="single"/>
              </w:rPr>
              <w:t>体工商户、个人独资企业、合伙企业，如果已经依法办理了工商、税务和</w:t>
            </w:r>
          </w:p>
          <w:p w14:paraId="3649C974">
            <w:pPr>
              <w:pStyle w:val="9"/>
              <w:spacing w:before="60" w:after="60"/>
              <w:ind w:left="442" w:hanging="442"/>
              <w:rPr>
                <w:b/>
                <w:color w:val="auto"/>
                <w:sz w:val="22"/>
                <w:szCs w:val="22"/>
                <w:highlight w:val="none"/>
                <w:u w:val="single"/>
              </w:rPr>
            </w:pPr>
            <w:r>
              <w:rPr>
                <w:b/>
                <w:color w:val="auto"/>
                <w:sz w:val="22"/>
                <w:szCs w:val="22"/>
                <w:highlight w:val="none"/>
                <w:u w:val="single"/>
              </w:rPr>
              <w:t>社保登记手续，并且获得总公司（总机构）授权【或省级机构（一级机构），</w:t>
            </w:r>
          </w:p>
          <w:p w14:paraId="3D614889">
            <w:pPr>
              <w:pStyle w:val="9"/>
              <w:spacing w:before="60" w:after="60"/>
              <w:ind w:left="442" w:hanging="442"/>
              <w:rPr>
                <w:b/>
                <w:color w:val="auto"/>
                <w:sz w:val="22"/>
                <w:szCs w:val="22"/>
                <w:highlight w:val="none"/>
                <w:u w:val="single"/>
              </w:rPr>
            </w:pPr>
            <w:r>
              <w:rPr>
                <w:b/>
                <w:color w:val="auto"/>
                <w:sz w:val="22"/>
                <w:szCs w:val="22"/>
                <w:highlight w:val="none"/>
                <w:u w:val="single"/>
              </w:rPr>
              <w:t>如无明显确定为省级机构（一级机构）需提供证明】或能够提供房产权证或其</w:t>
            </w:r>
          </w:p>
          <w:p w14:paraId="3D9FD9E8">
            <w:pPr>
              <w:pStyle w:val="9"/>
              <w:spacing w:before="60" w:after="60"/>
              <w:ind w:left="442" w:hanging="442"/>
              <w:rPr>
                <w:b/>
                <w:color w:val="auto"/>
                <w:sz w:val="22"/>
                <w:szCs w:val="22"/>
                <w:highlight w:val="none"/>
                <w:u w:val="single"/>
              </w:rPr>
            </w:pPr>
            <w:r>
              <w:rPr>
                <w:b/>
                <w:color w:val="auto"/>
                <w:sz w:val="22"/>
                <w:szCs w:val="22"/>
                <w:highlight w:val="none"/>
                <w:u w:val="single"/>
              </w:rPr>
              <w:t>他有效财产证明材料（在投标文件中提供相关材料），证明其具备实际承担责</w:t>
            </w:r>
          </w:p>
          <w:p w14:paraId="52E0CD44">
            <w:pPr>
              <w:pStyle w:val="9"/>
              <w:spacing w:before="60" w:after="60"/>
              <w:ind w:left="442" w:hanging="442"/>
              <w:rPr>
                <w:b/>
                <w:color w:val="auto"/>
                <w:sz w:val="22"/>
                <w:szCs w:val="22"/>
                <w:highlight w:val="none"/>
                <w:u w:val="single"/>
              </w:rPr>
            </w:pPr>
            <w:r>
              <w:rPr>
                <w:b/>
                <w:color w:val="auto"/>
                <w:sz w:val="22"/>
                <w:szCs w:val="22"/>
                <w:highlight w:val="none"/>
                <w:u w:val="single"/>
              </w:rPr>
              <w:t>任的能力和法定的缔结合同能力，可以独立参加国企采购活动，由单位负责人</w:t>
            </w:r>
          </w:p>
          <w:p w14:paraId="7D82488D">
            <w:pPr>
              <w:pStyle w:val="9"/>
              <w:spacing w:before="60" w:after="60"/>
              <w:ind w:left="442" w:hanging="442"/>
              <w:rPr>
                <w:b/>
                <w:color w:val="auto"/>
                <w:sz w:val="22"/>
                <w:szCs w:val="22"/>
                <w:highlight w:val="none"/>
                <w:u w:val="single"/>
              </w:rPr>
            </w:pPr>
            <w:r>
              <w:rPr>
                <w:b/>
                <w:color w:val="auto"/>
                <w:sz w:val="22"/>
                <w:szCs w:val="22"/>
                <w:highlight w:val="none"/>
                <w:u w:val="single"/>
              </w:rPr>
              <w:t>签署相关文件材料；</w:t>
            </w:r>
          </w:p>
        </w:tc>
        <w:tc>
          <w:tcPr>
            <w:tcW w:w="1273" w:type="dxa"/>
            <w:vAlign w:val="center"/>
          </w:tcPr>
          <w:p w14:paraId="444820F5">
            <w:pPr>
              <w:spacing w:before="60" w:after="60"/>
              <w:jc w:val="center"/>
              <w:rPr>
                <w:b/>
                <w:color w:val="auto"/>
                <w:sz w:val="22"/>
                <w:szCs w:val="22"/>
                <w:highlight w:val="none"/>
                <w:u w:val="single"/>
              </w:rPr>
            </w:pPr>
            <w:r>
              <w:rPr>
                <w:b/>
                <w:color w:val="auto"/>
                <w:sz w:val="22"/>
                <w:szCs w:val="22"/>
                <w:highlight w:val="none"/>
                <w:u w:val="single"/>
              </w:rPr>
              <w:t>(1)</w:t>
            </w:r>
          </w:p>
        </w:tc>
      </w:tr>
      <w:tr w14:paraId="41A931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09" w:type="dxa"/>
            <w:vAlign w:val="center"/>
          </w:tcPr>
          <w:p w14:paraId="0164B686">
            <w:pPr>
              <w:spacing w:before="60" w:after="60"/>
              <w:jc w:val="center"/>
              <w:rPr>
                <w:b/>
                <w:color w:val="auto"/>
                <w:sz w:val="22"/>
                <w:szCs w:val="22"/>
                <w:highlight w:val="none"/>
              </w:rPr>
            </w:pPr>
            <w:r>
              <w:rPr>
                <w:color w:val="auto"/>
                <w:sz w:val="22"/>
                <w:szCs w:val="22"/>
                <w:highlight w:val="none"/>
              </w:rPr>
              <w:t>2）</w:t>
            </w:r>
          </w:p>
        </w:tc>
        <w:tc>
          <w:tcPr>
            <w:tcW w:w="7764" w:type="dxa"/>
            <w:vAlign w:val="center"/>
          </w:tcPr>
          <w:p w14:paraId="4DF2F37E">
            <w:pPr>
              <w:pStyle w:val="9"/>
              <w:spacing w:before="60" w:after="60"/>
              <w:ind w:left="-2" w:firstLine="0" w:firstLineChars="0"/>
              <w:rPr>
                <w:b/>
                <w:color w:val="auto"/>
                <w:sz w:val="22"/>
                <w:szCs w:val="22"/>
                <w:highlight w:val="none"/>
                <w:u w:val="single"/>
              </w:rPr>
            </w:pPr>
            <w:r>
              <w:rPr>
                <w:b/>
                <w:color w:val="auto"/>
                <w:sz w:val="22"/>
                <w:szCs w:val="22"/>
                <w:highlight w:val="none"/>
                <w:u w:val="single"/>
              </w:rPr>
              <w:t>具有良好的商业信誉和健全的财务会计制度：提供具有良好的商业信誉和健全的财务会计制度的承诺函；</w:t>
            </w:r>
          </w:p>
        </w:tc>
        <w:tc>
          <w:tcPr>
            <w:tcW w:w="1273" w:type="dxa"/>
            <w:vAlign w:val="center"/>
          </w:tcPr>
          <w:p w14:paraId="5751A864">
            <w:pPr>
              <w:spacing w:before="60" w:after="60"/>
              <w:jc w:val="center"/>
              <w:rPr>
                <w:b/>
                <w:color w:val="auto"/>
                <w:sz w:val="22"/>
                <w:szCs w:val="22"/>
                <w:highlight w:val="none"/>
                <w:u w:val="single"/>
              </w:rPr>
            </w:pPr>
            <w:r>
              <w:rPr>
                <w:b/>
                <w:color w:val="auto"/>
                <w:sz w:val="22"/>
                <w:szCs w:val="22"/>
                <w:highlight w:val="none"/>
                <w:u w:val="single"/>
              </w:rPr>
              <w:t>(2)</w:t>
            </w:r>
          </w:p>
        </w:tc>
      </w:tr>
      <w:tr w14:paraId="181BEC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6CB6B028">
            <w:pPr>
              <w:spacing w:before="60" w:after="60"/>
              <w:jc w:val="center"/>
              <w:rPr>
                <w:b/>
                <w:color w:val="auto"/>
                <w:sz w:val="22"/>
                <w:szCs w:val="22"/>
                <w:highlight w:val="none"/>
              </w:rPr>
            </w:pPr>
            <w:r>
              <w:rPr>
                <w:color w:val="auto"/>
                <w:sz w:val="22"/>
                <w:szCs w:val="22"/>
                <w:highlight w:val="none"/>
              </w:rPr>
              <w:t>3）</w:t>
            </w:r>
          </w:p>
        </w:tc>
        <w:tc>
          <w:tcPr>
            <w:tcW w:w="7764" w:type="dxa"/>
            <w:vAlign w:val="center"/>
          </w:tcPr>
          <w:p w14:paraId="0DCC7FCA">
            <w:pPr>
              <w:pStyle w:val="9"/>
              <w:spacing w:before="60" w:after="60"/>
              <w:ind w:left="442" w:hanging="442"/>
              <w:rPr>
                <w:b/>
                <w:color w:val="auto"/>
                <w:sz w:val="22"/>
                <w:szCs w:val="22"/>
                <w:highlight w:val="none"/>
                <w:u w:val="single"/>
              </w:rPr>
            </w:pPr>
            <w:r>
              <w:rPr>
                <w:b/>
                <w:color w:val="auto"/>
                <w:sz w:val="22"/>
                <w:szCs w:val="22"/>
                <w:highlight w:val="none"/>
                <w:u w:val="single"/>
              </w:rPr>
              <w:t>具有履行合同所必需的设备和专业技术能力的承诺函；</w:t>
            </w:r>
          </w:p>
        </w:tc>
        <w:tc>
          <w:tcPr>
            <w:tcW w:w="1273" w:type="dxa"/>
            <w:vAlign w:val="center"/>
          </w:tcPr>
          <w:p w14:paraId="0FD3BC3A">
            <w:pPr>
              <w:spacing w:before="60" w:after="60"/>
              <w:jc w:val="center"/>
              <w:rPr>
                <w:b/>
                <w:color w:val="auto"/>
                <w:sz w:val="22"/>
                <w:szCs w:val="22"/>
                <w:highlight w:val="none"/>
                <w:u w:val="single"/>
              </w:rPr>
            </w:pPr>
            <w:r>
              <w:rPr>
                <w:b/>
                <w:color w:val="auto"/>
                <w:sz w:val="22"/>
                <w:szCs w:val="22"/>
                <w:highlight w:val="none"/>
                <w:u w:val="single"/>
              </w:rPr>
              <w:t>(3)</w:t>
            </w:r>
          </w:p>
        </w:tc>
      </w:tr>
      <w:tr w14:paraId="424706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617AF925">
            <w:pPr>
              <w:spacing w:before="60" w:after="60"/>
              <w:jc w:val="center"/>
              <w:rPr>
                <w:b/>
                <w:color w:val="auto"/>
                <w:sz w:val="22"/>
                <w:szCs w:val="22"/>
                <w:highlight w:val="none"/>
              </w:rPr>
            </w:pPr>
            <w:r>
              <w:rPr>
                <w:color w:val="auto"/>
                <w:sz w:val="22"/>
                <w:szCs w:val="22"/>
                <w:highlight w:val="none"/>
              </w:rPr>
              <w:t>4）</w:t>
            </w:r>
          </w:p>
        </w:tc>
        <w:tc>
          <w:tcPr>
            <w:tcW w:w="7764" w:type="dxa"/>
            <w:vAlign w:val="center"/>
          </w:tcPr>
          <w:p w14:paraId="4C3A0488">
            <w:pPr>
              <w:pStyle w:val="9"/>
              <w:spacing w:before="60" w:after="60"/>
              <w:ind w:left="442" w:hanging="442"/>
              <w:rPr>
                <w:b/>
                <w:color w:val="auto"/>
                <w:sz w:val="22"/>
                <w:szCs w:val="22"/>
                <w:highlight w:val="none"/>
                <w:u w:val="single"/>
              </w:rPr>
            </w:pPr>
            <w:r>
              <w:rPr>
                <w:b/>
                <w:color w:val="auto"/>
                <w:sz w:val="22"/>
                <w:szCs w:val="22"/>
                <w:highlight w:val="none"/>
                <w:u w:val="single"/>
              </w:rPr>
              <w:t>依法缴纳税收和社会保障资金的承诺函；</w:t>
            </w:r>
          </w:p>
        </w:tc>
        <w:tc>
          <w:tcPr>
            <w:tcW w:w="1273" w:type="dxa"/>
            <w:vAlign w:val="center"/>
          </w:tcPr>
          <w:p w14:paraId="039D82B3">
            <w:pPr>
              <w:spacing w:before="60" w:after="60"/>
              <w:jc w:val="center"/>
              <w:rPr>
                <w:b/>
                <w:color w:val="auto"/>
                <w:sz w:val="22"/>
                <w:szCs w:val="22"/>
                <w:highlight w:val="none"/>
                <w:u w:val="single"/>
              </w:rPr>
            </w:pPr>
            <w:r>
              <w:rPr>
                <w:b/>
                <w:color w:val="auto"/>
                <w:sz w:val="22"/>
                <w:szCs w:val="22"/>
                <w:highlight w:val="none"/>
                <w:u w:val="single"/>
              </w:rPr>
              <w:t>(4)</w:t>
            </w:r>
          </w:p>
        </w:tc>
      </w:tr>
      <w:tr w14:paraId="0B929E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F0FC558">
            <w:pPr>
              <w:spacing w:before="60" w:after="60"/>
              <w:jc w:val="center"/>
              <w:rPr>
                <w:b/>
                <w:color w:val="auto"/>
                <w:sz w:val="22"/>
                <w:szCs w:val="22"/>
                <w:highlight w:val="none"/>
              </w:rPr>
            </w:pPr>
            <w:r>
              <w:rPr>
                <w:color w:val="auto"/>
                <w:sz w:val="22"/>
                <w:szCs w:val="22"/>
                <w:highlight w:val="none"/>
              </w:rPr>
              <w:t>5）</w:t>
            </w:r>
          </w:p>
        </w:tc>
        <w:tc>
          <w:tcPr>
            <w:tcW w:w="7764" w:type="dxa"/>
            <w:vAlign w:val="center"/>
          </w:tcPr>
          <w:p w14:paraId="53CE591A">
            <w:pPr>
              <w:pStyle w:val="9"/>
              <w:spacing w:before="60" w:after="60"/>
              <w:ind w:left="-2" w:firstLine="0" w:firstLineChars="0"/>
              <w:rPr>
                <w:b/>
                <w:color w:val="auto"/>
                <w:sz w:val="22"/>
                <w:szCs w:val="22"/>
                <w:highlight w:val="none"/>
                <w:u w:val="single"/>
              </w:rPr>
            </w:pPr>
            <w:r>
              <w:rPr>
                <w:b/>
                <w:color w:val="auto"/>
                <w:sz w:val="22"/>
                <w:szCs w:val="22"/>
                <w:highlight w:val="none"/>
                <w:u w:val="single"/>
              </w:rPr>
              <w:t>参加国企采购活动前3年内（新成立不满三年的组织机构自成立之日起算）在经营活动中没有重大违法记录的声明函；</w:t>
            </w:r>
          </w:p>
        </w:tc>
        <w:tc>
          <w:tcPr>
            <w:tcW w:w="1273" w:type="dxa"/>
            <w:vAlign w:val="center"/>
          </w:tcPr>
          <w:p w14:paraId="5AAF3F80">
            <w:pPr>
              <w:spacing w:before="60" w:after="60"/>
              <w:jc w:val="center"/>
              <w:rPr>
                <w:b/>
                <w:color w:val="auto"/>
                <w:sz w:val="22"/>
                <w:szCs w:val="22"/>
                <w:highlight w:val="none"/>
                <w:u w:val="single"/>
              </w:rPr>
            </w:pPr>
            <w:r>
              <w:rPr>
                <w:b/>
                <w:color w:val="auto"/>
                <w:sz w:val="22"/>
                <w:szCs w:val="22"/>
                <w:highlight w:val="none"/>
                <w:u w:val="single"/>
              </w:rPr>
              <w:t>(5)</w:t>
            </w:r>
          </w:p>
        </w:tc>
      </w:tr>
      <w:tr w14:paraId="6D6AAB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39FF343">
            <w:pPr>
              <w:spacing w:before="60" w:after="60"/>
              <w:jc w:val="center"/>
              <w:rPr>
                <w:b/>
                <w:color w:val="auto"/>
                <w:sz w:val="22"/>
                <w:szCs w:val="22"/>
                <w:highlight w:val="none"/>
              </w:rPr>
            </w:pPr>
            <w:r>
              <w:rPr>
                <w:color w:val="auto"/>
                <w:sz w:val="22"/>
                <w:szCs w:val="22"/>
                <w:highlight w:val="none"/>
              </w:rPr>
              <w:t>6）</w:t>
            </w:r>
          </w:p>
        </w:tc>
        <w:tc>
          <w:tcPr>
            <w:tcW w:w="7764" w:type="dxa"/>
            <w:vAlign w:val="center"/>
          </w:tcPr>
          <w:p w14:paraId="339B04FA">
            <w:pPr>
              <w:pStyle w:val="9"/>
              <w:spacing w:before="60" w:after="60"/>
              <w:ind w:left="-2" w:firstLine="0" w:firstLineChars="0"/>
              <w:rPr>
                <w:b/>
                <w:color w:val="auto"/>
                <w:sz w:val="22"/>
                <w:szCs w:val="22"/>
                <w:highlight w:val="none"/>
                <w:u w:val="single"/>
              </w:rPr>
            </w:pPr>
            <w:r>
              <w:rPr>
                <w:b/>
                <w:color w:val="auto"/>
                <w:sz w:val="22"/>
                <w:szCs w:val="22"/>
                <w:highlight w:val="none"/>
                <w:u w:val="single"/>
              </w:rPr>
              <w:t>单位负责人为同一人或者存在直接控股、管理关系的不同供应商，不得参加同一合同项下的国企采购活动承诺函；</w:t>
            </w:r>
          </w:p>
        </w:tc>
        <w:tc>
          <w:tcPr>
            <w:tcW w:w="1273" w:type="dxa"/>
            <w:vAlign w:val="center"/>
          </w:tcPr>
          <w:p w14:paraId="6A814349">
            <w:pPr>
              <w:spacing w:before="60" w:after="60"/>
              <w:jc w:val="center"/>
              <w:rPr>
                <w:b/>
                <w:color w:val="auto"/>
                <w:sz w:val="22"/>
                <w:szCs w:val="22"/>
                <w:highlight w:val="none"/>
                <w:u w:val="single"/>
              </w:rPr>
            </w:pPr>
            <w:r>
              <w:rPr>
                <w:b/>
                <w:color w:val="auto"/>
                <w:sz w:val="22"/>
                <w:szCs w:val="22"/>
                <w:highlight w:val="none"/>
                <w:u w:val="single"/>
              </w:rPr>
              <w:t>(6)</w:t>
            </w:r>
          </w:p>
        </w:tc>
      </w:tr>
      <w:tr w14:paraId="16BC67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F993E02">
            <w:pPr>
              <w:spacing w:before="60" w:after="60"/>
              <w:jc w:val="center"/>
              <w:rPr>
                <w:b/>
                <w:color w:val="auto"/>
                <w:sz w:val="22"/>
                <w:szCs w:val="22"/>
                <w:highlight w:val="none"/>
              </w:rPr>
            </w:pPr>
            <w:r>
              <w:rPr>
                <w:color w:val="auto"/>
                <w:sz w:val="22"/>
                <w:szCs w:val="22"/>
                <w:highlight w:val="none"/>
              </w:rPr>
              <w:t>7）</w:t>
            </w:r>
          </w:p>
        </w:tc>
        <w:tc>
          <w:tcPr>
            <w:tcW w:w="7764" w:type="dxa"/>
            <w:vAlign w:val="center"/>
          </w:tcPr>
          <w:p w14:paraId="68515EDD">
            <w:pPr>
              <w:pStyle w:val="9"/>
              <w:spacing w:before="60" w:after="60"/>
              <w:ind w:left="442" w:hanging="442"/>
              <w:rPr>
                <w:b/>
                <w:color w:val="auto"/>
                <w:sz w:val="22"/>
                <w:szCs w:val="22"/>
                <w:highlight w:val="none"/>
                <w:u w:val="single"/>
              </w:rPr>
            </w:pPr>
            <w:r>
              <w:rPr>
                <w:b/>
                <w:color w:val="auto"/>
                <w:sz w:val="22"/>
                <w:szCs w:val="22"/>
                <w:highlight w:val="none"/>
                <w:u w:val="single"/>
                <w:lang w:val="zh-CN"/>
              </w:rPr>
              <w:t>投标供应商没有失信记录承诺函；</w:t>
            </w:r>
          </w:p>
        </w:tc>
        <w:tc>
          <w:tcPr>
            <w:tcW w:w="1273" w:type="dxa"/>
            <w:vAlign w:val="center"/>
          </w:tcPr>
          <w:p w14:paraId="1BC09BDA">
            <w:pPr>
              <w:spacing w:before="60" w:after="60"/>
              <w:jc w:val="center"/>
              <w:rPr>
                <w:b/>
                <w:color w:val="auto"/>
                <w:sz w:val="22"/>
                <w:szCs w:val="22"/>
                <w:highlight w:val="none"/>
                <w:u w:val="single"/>
              </w:rPr>
            </w:pPr>
            <w:r>
              <w:rPr>
                <w:b/>
                <w:color w:val="auto"/>
                <w:sz w:val="22"/>
                <w:szCs w:val="22"/>
                <w:highlight w:val="none"/>
                <w:u w:val="single"/>
              </w:rPr>
              <w:t>(7)</w:t>
            </w:r>
          </w:p>
        </w:tc>
      </w:tr>
      <w:tr w14:paraId="645925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3AC72217">
            <w:pPr>
              <w:spacing w:before="60" w:after="60"/>
              <w:jc w:val="center"/>
              <w:rPr>
                <w:color w:val="auto"/>
                <w:sz w:val="22"/>
                <w:szCs w:val="22"/>
                <w:highlight w:val="none"/>
              </w:rPr>
            </w:pPr>
            <w:r>
              <w:rPr>
                <w:color w:val="auto"/>
                <w:sz w:val="22"/>
                <w:szCs w:val="22"/>
                <w:highlight w:val="none"/>
              </w:rPr>
              <w:t>8）</w:t>
            </w:r>
          </w:p>
        </w:tc>
        <w:tc>
          <w:tcPr>
            <w:tcW w:w="7764" w:type="dxa"/>
            <w:vAlign w:val="center"/>
          </w:tcPr>
          <w:p w14:paraId="470F5C0B">
            <w:pPr>
              <w:pStyle w:val="9"/>
              <w:spacing w:before="60" w:after="60"/>
              <w:ind w:left="442" w:hanging="442"/>
              <w:rPr>
                <w:b/>
                <w:color w:val="auto"/>
                <w:sz w:val="22"/>
                <w:szCs w:val="22"/>
                <w:highlight w:val="none"/>
                <w:u w:val="single"/>
              </w:rPr>
            </w:pPr>
            <w:r>
              <w:rPr>
                <w:b/>
                <w:color w:val="auto"/>
                <w:sz w:val="22"/>
                <w:szCs w:val="22"/>
                <w:highlight w:val="none"/>
                <w:u w:val="single"/>
              </w:rPr>
              <w:t>投标保证金缴纳凭证</w:t>
            </w:r>
          </w:p>
        </w:tc>
        <w:tc>
          <w:tcPr>
            <w:tcW w:w="1273" w:type="dxa"/>
            <w:vAlign w:val="center"/>
          </w:tcPr>
          <w:p w14:paraId="3C4AE2AF">
            <w:pPr>
              <w:spacing w:before="60" w:after="60"/>
              <w:jc w:val="center"/>
              <w:rPr>
                <w:b/>
                <w:color w:val="auto"/>
                <w:sz w:val="22"/>
                <w:szCs w:val="22"/>
                <w:highlight w:val="none"/>
                <w:u w:val="single"/>
              </w:rPr>
            </w:pPr>
            <w:r>
              <w:rPr>
                <w:b/>
                <w:color w:val="auto"/>
                <w:sz w:val="22"/>
                <w:szCs w:val="22"/>
                <w:highlight w:val="none"/>
                <w:u w:val="single"/>
              </w:rPr>
              <w:t>(8)</w:t>
            </w:r>
          </w:p>
        </w:tc>
      </w:tr>
      <w:tr w14:paraId="40F37C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6BAF4BE6">
            <w:pPr>
              <w:spacing w:before="60" w:after="60"/>
              <w:jc w:val="center"/>
              <w:rPr>
                <w:color w:val="auto"/>
                <w:sz w:val="22"/>
                <w:szCs w:val="22"/>
                <w:highlight w:val="none"/>
              </w:rPr>
            </w:pPr>
            <w:r>
              <w:rPr>
                <w:color w:val="auto"/>
                <w:sz w:val="22"/>
                <w:szCs w:val="22"/>
                <w:highlight w:val="none"/>
              </w:rPr>
              <w:t>9）</w:t>
            </w:r>
          </w:p>
        </w:tc>
        <w:tc>
          <w:tcPr>
            <w:tcW w:w="7764" w:type="dxa"/>
            <w:vAlign w:val="center"/>
          </w:tcPr>
          <w:p w14:paraId="0C57405E">
            <w:pPr>
              <w:pStyle w:val="9"/>
              <w:spacing w:before="60" w:after="60"/>
              <w:ind w:left="442" w:hanging="442"/>
              <w:rPr>
                <w:b/>
                <w:color w:val="auto"/>
                <w:sz w:val="22"/>
                <w:szCs w:val="22"/>
                <w:highlight w:val="none"/>
                <w:u w:val="single"/>
              </w:rPr>
            </w:pPr>
            <w:r>
              <w:rPr>
                <w:b/>
                <w:color w:val="auto"/>
                <w:sz w:val="22"/>
                <w:szCs w:val="22"/>
                <w:highlight w:val="none"/>
                <w:u w:val="single"/>
              </w:rPr>
              <w:t>诚信投标承诺书</w:t>
            </w:r>
          </w:p>
        </w:tc>
        <w:tc>
          <w:tcPr>
            <w:tcW w:w="1273" w:type="dxa"/>
            <w:vAlign w:val="center"/>
          </w:tcPr>
          <w:p w14:paraId="46A699E7">
            <w:pPr>
              <w:spacing w:before="60" w:after="60"/>
              <w:jc w:val="center"/>
              <w:rPr>
                <w:b/>
                <w:color w:val="auto"/>
                <w:sz w:val="22"/>
                <w:szCs w:val="22"/>
                <w:highlight w:val="none"/>
                <w:u w:val="single"/>
              </w:rPr>
            </w:pPr>
            <w:r>
              <w:rPr>
                <w:b/>
                <w:color w:val="auto"/>
                <w:sz w:val="22"/>
                <w:szCs w:val="22"/>
                <w:highlight w:val="none"/>
                <w:u w:val="single"/>
              </w:rPr>
              <w:t>(9)</w:t>
            </w:r>
          </w:p>
        </w:tc>
      </w:tr>
      <w:tr w14:paraId="41D4E0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6A95069">
            <w:pPr>
              <w:spacing w:before="60" w:after="60"/>
              <w:jc w:val="center"/>
              <w:rPr>
                <w:color w:val="auto"/>
                <w:sz w:val="22"/>
                <w:szCs w:val="22"/>
                <w:highlight w:val="none"/>
              </w:rPr>
            </w:pPr>
            <w:r>
              <w:rPr>
                <w:color w:val="auto"/>
                <w:sz w:val="22"/>
                <w:szCs w:val="22"/>
                <w:highlight w:val="none"/>
              </w:rPr>
              <w:t>10）</w:t>
            </w:r>
          </w:p>
        </w:tc>
        <w:tc>
          <w:tcPr>
            <w:tcW w:w="7764" w:type="dxa"/>
            <w:vAlign w:val="center"/>
          </w:tcPr>
          <w:p w14:paraId="5CDFE143">
            <w:pPr>
              <w:pStyle w:val="9"/>
              <w:spacing w:before="60" w:after="60"/>
              <w:ind w:left="442" w:hanging="442"/>
              <w:rPr>
                <w:b/>
                <w:color w:val="auto"/>
                <w:sz w:val="22"/>
                <w:szCs w:val="22"/>
                <w:highlight w:val="none"/>
                <w:u w:val="single"/>
              </w:rPr>
            </w:pPr>
            <w:r>
              <w:rPr>
                <w:b/>
                <w:bCs/>
                <w:color w:val="auto"/>
                <w:sz w:val="22"/>
                <w:szCs w:val="22"/>
                <w:highlight w:val="none"/>
                <w:u w:val="single"/>
              </w:rPr>
              <w:t>法定代表人（法定负责人）授权书</w:t>
            </w:r>
          </w:p>
        </w:tc>
        <w:tc>
          <w:tcPr>
            <w:tcW w:w="1273" w:type="dxa"/>
            <w:vAlign w:val="center"/>
          </w:tcPr>
          <w:p w14:paraId="47B5DFB2">
            <w:pPr>
              <w:spacing w:before="60" w:after="60"/>
              <w:jc w:val="center"/>
              <w:rPr>
                <w:b/>
                <w:color w:val="auto"/>
                <w:sz w:val="22"/>
                <w:szCs w:val="22"/>
                <w:highlight w:val="none"/>
                <w:u w:val="single"/>
              </w:rPr>
            </w:pPr>
            <w:r>
              <w:rPr>
                <w:b/>
                <w:color w:val="auto"/>
                <w:sz w:val="22"/>
                <w:szCs w:val="22"/>
                <w:highlight w:val="none"/>
                <w:u w:val="single"/>
              </w:rPr>
              <w:t>(10)</w:t>
            </w:r>
          </w:p>
        </w:tc>
      </w:tr>
      <w:tr w14:paraId="2A35E9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1266A6D">
            <w:pPr>
              <w:spacing w:before="60" w:after="60"/>
              <w:jc w:val="center"/>
              <w:rPr>
                <w:color w:val="auto"/>
                <w:sz w:val="22"/>
                <w:szCs w:val="22"/>
                <w:highlight w:val="none"/>
              </w:rPr>
            </w:pPr>
            <w:r>
              <w:rPr>
                <w:b/>
                <w:bCs/>
                <w:color w:val="auto"/>
                <w:sz w:val="22"/>
                <w:szCs w:val="22"/>
                <w:highlight w:val="none"/>
              </w:rPr>
              <w:t>2</w:t>
            </w:r>
          </w:p>
        </w:tc>
        <w:tc>
          <w:tcPr>
            <w:tcW w:w="7764" w:type="dxa"/>
            <w:vAlign w:val="center"/>
          </w:tcPr>
          <w:p w14:paraId="186EBEF9">
            <w:pPr>
              <w:pStyle w:val="9"/>
              <w:spacing w:before="60" w:after="60"/>
              <w:ind w:left="442" w:hanging="442"/>
              <w:jc w:val="center"/>
              <w:rPr>
                <w:color w:val="auto"/>
                <w:sz w:val="22"/>
                <w:szCs w:val="22"/>
                <w:highlight w:val="none"/>
                <w:lang w:val="zh-CN"/>
              </w:rPr>
            </w:pPr>
            <w:r>
              <w:rPr>
                <w:b/>
                <w:bCs/>
                <w:color w:val="auto"/>
                <w:sz w:val="22"/>
                <w:szCs w:val="22"/>
                <w:highlight w:val="none"/>
              </w:rPr>
              <w:t>报价文件</w:t>
            </w:r>
          </w:p>
        </w:tc>
        <w:tc>
          <w:tcPr>
            <w:tcW w:w="1273" w:type="dxa"/>
            <w:vAlign w:val="center"/>
          </w:tcPr>
          <w:p w14:paraId="27D5E84C">
            <w:pPr>
              <w:spacing w:before="60" w:after="60"/>
              <w:jc w:val="center"/>
              <w:rPr>
                <w:b/>
                <w:color w:val="auto"/>
                <w:sz w:val="22"/>
                <w:szCs w:val="22"/>
                <w:highlight w:val="none"/>
              </w:rPr>
            </w:pPr>
          </w:p>
        </w:tc>
      </w:tr>
      <w:tr w14:paraId="527942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701B10A">
            <w:pPr>
              <w:spacing w:before="60" w:after="60"/>
              <w:jc w:val="center"/>
              <w:rPr>
                <w:color w:val="auto"/>
                <w:sz w:val="22"/>
                <w:szCs w:val="22"/>
                <w:highlight w:val="none"/>
              </w:rPr>
            </w:pPr>
            <w:r>
              <w:rPr>
                <w:color w:val="auto"/>
                <w:sz w:val="22"/>
                <w:szCs w:val="22"/>
                <w:highlight w:val="none"/>
              </w:rPr>
              <w:t>1）</w:t>
            </w:r>
          </w:p>
        </w:tc>
        <w:tc>
          <w:tcPr>
            <w:tcW w:w="7764" w:type="dxa"/>
            <w:vAlign w:val="center"/>
          </w:tcPr>
          <w:p w14:paraId="53AD147B">
            <w:pPr>
              <w:pStyle w:val="9"/>
              <w:spacing w:before="60" w:after="60"/>
              <w:ind w:left="440" w:hanging="440"/>
              <w:rPr>
                <w:b/>
                <w:bCs/>
                <w:color w:val="auto"/>
                <w:sz w:val="22"/>
                <w:szCs w:val="22"/>
                <w:highlight w:val="none"/>
              </w:rPr>
            </w:pPr>
            <w:r>
              <w:rPr>
                <w:color w:val="auto"/>
                <w:sz w:val="22"/>
                <w:szCs w:val="22"/>
                <w:highlight w:val="none"/>
              </w:rPr>
              <w:t>开标一览表</w:t>
            </w:r>
          </w:p>
        </w:tc>
        <w:tc>
          <w:tcPr>
            <w:tcW w:w="1273" w:type="dxa"/>
            <w:vAlign w:val="center"/>
          </w:tcPr>
          <w:p w14:paraId="51A238BD">
            <w:pPr>
              <w:spacing w:before="60" w:after="60"/>
              <w:jc w:val="center"/>
              <w:rPr>
                <w:b/>
                <w:color w:val="auto"/>
                <w:sz w:val="22"/>
                <w:szCs w:val="22"/>
                <w:highlight w:val="none"/>
              </w:rPr>
            </w:pPr>
            <w:r>
              <w:rPr>
                <w:bCs/>
                <w:color w:val="auto"/>
                <w:sz w:val="22"/>
                <w:szCs w:val="22"/>
                <w:highlight w:val="none"/>
              </w:rPr>
              <w:t>见附件二</w:t>
            </w:r>
          </w:p>
        </w:tc>
      </w:tr>
      <w:tr w14:paraId="3D3059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26BB1F6D">
            <w:pPr>
              <w:spacing w:before="60" w:after="60"/>
              <w:jc w:val="center"/>
              <w:rPr>
                <w:color w:val="auto"/>
                <w:sz w:val="22"/>
                <w:szCs w:val="22"/>
                <w:highlight w:val="none"/>
              </w:rPr>
            </w:pPr>
            <w:r>
              <w:rPr>
                <w:rFonts w:hint="eastAsia"/>
                <w:color w:val="auto"/>
                <w:sz w:val="22"/>
                <w:szCs w:val="22"/>
                <w:highlight w:val="none"/>
                <w:lang w:val="en-US" w:eastAsia="zh-CN"/>
              </w:rPr>
              <w:t>2</w:t>
            </w:r>
            <w:r>
              <w:rPr>
                <w:color w:val="auto"/>
                <w:sz w:val="22"/>
                <w:szCs w:val="22"/>
                <w:highlight w:val="none"/>
              </w:rPr>
              <w:t>）</w:t>
            </w:r>
          </w:p>
        </w:tc>
        <w:tc>
          <w:tcPr>
            <w:tcW w:w="7764" w:type="dxa"/>
            <w:vAlign w:val="center"/>
          </w:tcPr>
          <w:p w14:paraId="7C9283E4">
            <w:pPr>
              <w:pStyle w:val="9"/>
              <w:spacing w:before="60" w:after="60"/>
              <w:ind w:left="440" w:hanging="440"/>
              <w:rPr>
                <w:rFonts w:hint="default" w:eastAsia="宋体"/>
                <w:color w:val="auto"/>
                <w:sz w:val="22"/>
                <w:szCs w:val="22"/>
                <w:highlight w:val="none"/>
                <w:lang w:val="en-US" w:eastAsia="zh-CN"/>
              </w:rPr>
            </w:pPr>
            <w:r>
              <w:rPr>
                <w:rFonts w:hint="eastAsia"/>
                <w:color w:val="auto"/>
                <w:sz w:val="22"/>
                <w:szCs w:val="22"/>
                <w:highlight w:val="none"/>
                <w:lang w:val="en-US" w:eastAsia="zh-CN"/>
              </w:rPr>
              <w:t>分项报价表</w:t>
            </w:r>
          </w:p>
        </w:tc>
        <w:tc>
          <w:tcPr>
            <w:tcW w:w="1273" w:type="dxa"/>
            <w:vAlign w:val="center"/>
          </w:tcPr>
          <w:p w14:paraId="29C752FC">
            <w:pPr>
              <w:spacing w:before="60" w:after="60"/>
              <w:jc w:val="center"/>
              <w:rPr>
                <w:rFonts w:hint="eastAsia" w:eastAsia="宋体"/>
                <w:bCs/>
                <w:color w:val="auto"/>
                <w:sz w:val="22"/>
                <w:szCs w:val="22"/>
                <w:highlight w:val="none"/>
                <w:lang w:eastAsia="zh-CN"/>
              </w:rPr>
            </w:pPr>
            <w:r>
              <w:rPr>
                <w:bCs/>
                <w:color w:val="auto"/>
                <w:sz w:val="22"/>
                <w:szCs w:val="22"/>
                <w:highlight w:val="none"/>
              </w:rPr>
              <w:t>见附件</w:t>
            </w:r>
            <w:r>
              <w:rPr>
                <w:rFonts w:hint="eastAsia"/>
                <w:bCs/>
                <w:color w:val="auto"/>
                <w:sz w:val="22"/>
                <w:szCs w:val="22"/>
                <w:highlight w:val="none"/>
                <w:lang w:val="en-US" w:eastAsia="zh-CN"/>
              </w:rPr>
              <w:t>三</w:t>
            </w:r>
          </w:p>
        </w:tc>
      </w:tr>
      <w:tr w14:paraId="401E6D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475A9A79">
            <w:pPr>
              <w:spacing w:before="60" w:after="60"/>
              <w:jc w:val="center"/>
              <w:rPr>
                <w:b/>
                <w:color w:val="auto"/>
                <w:sz w:val="22"/>
                <w:szCs w:val="22"/>
                <w:highlight w:val="none"/>
              </w:rPr>
            </w:pPr>
            <w:r>
              <w:rPr>
                <w:b/>
                <w:color w:val="auto"/>
                <w:sz w:val="22"/>
                <w:szCs w:val="22"/>
                <w:highlight w:val="none"/>
              </w:rPr>
              <w:t>3</w:t>
            </w:r>
          </w:p>
        </w:tc>
        <w:tc>
          <w:tcPr>
            <w:tcW w:w="7764" w:type="dxa"/>
            <w:vAlign w:val="center"/>
          </w:tcPr>
          <w:p w14:paraId="00CC73DD">
            <w:pPr>
              <w:pStyle w:val="9"/>
              <w:spacing w:before="60" w:after="60"/>
              <w:ind w:left="442" w:hanging="442"/>
              <w:jc w:val="center"/>
              <w:rPr>
                <w:color w:val="auto"/>
                <w:sz w:val="22"/>
                <w:szCs w:val="22"/>
                <w:highlight w:val="none"/>
                <w:lang w:val="zh-CN"/>
              </w:rPr>
            </w:pPr>
            <w:r>
              <w:rPr>
                <w:b/>
                <w:color w:val="auto"/>
                <w:sz w:val="22"/>
                <w:szCs w:val="22"/>
                <w:highlight w:val="none"/>
                <w:lang w:val="zh-CN"/>
              </w:rPr>
              <w:t>商务技术文件</w:t>
            </w:r>
          </w:p>
        </w:tc>
        <w:tc>
          <w:tcPr>
            <w:tcW w:w="1273" w:type="dxa"/>
            <w:vAlign w:val="center"/>
          </w:tcPr>
          <w:p w14:paraId="294818C7">
            <w:pPr>
              <w:spacing w:before="60" w:after="60"/>
              <w:jc w:val="center"/>
              <w:rPr>
                <w:b/>
                <w:color w:val="auto"/>
                <w:sz w:val="22"/>
                <w:szCs w:val="22"/>
                <w:highlight w:val="none"/>
              </w:rPr>
            </w:pPr>
          </w:p>
        </w:tc>
      </w:tr>
      <w:tr w14:paraId="6EBD25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2E51106">
            <w:pPr>
              <w:spacing w:before="60" w:after="60"/>
              <w:jc w:val="center"/>
              <w:rPr>
                <w:color w:val="auto"/>
                <w:sz w:val="22"/>
                <w:szCs w:val="22"/>
                <w:highlight w:val="none"/>
              </w:rPr>
            </w:pPr>
            <w:r>
              <w:rPr>
                <w:color w:val="auto"/>
                <w:sz w:val="22"/>
                <w:szCs w:val="22"/>
                <w:highlight w:val="none"/>
              </w:rPr>
              <w:t>1）</w:t>
            </w:r>
          </w:p>
        </w:tc>
        <w:tc>
          <w:tcPr>
            <w:tcW w:w="7764" w:type="dxa"/>
            <w:vAlign w:val="center"/>
          </w:tcPr>
          <w:p w14:paraId="4D2326FB">
            <w:pPr>
              <w:spacing w:before="60" w:after="60"/>
              <w:rPr>
                <w:b/>
                <w:color w:val="auto"/>
                <w:sz w:val="22"/>
                <w:szCs w:val="22"/>
                <w:highlight w:val="none"/>
              </w:rPr>
            </w:pPr>
            <w:r>
              <w:rPr>
                <w:color w:val="auto"/>
                <w:sz w:val="22"/>
                <w:szCs w:val="22"/>
                <w:highlight w:val="none"/>
                <w:u w:val="single"/>
              </w:rPr>
              <w:t>▲投标函</w:t>
            </w:r>
          </w:p>
        </w:tc>
        <w:tc>
          <w:tcPr>
            <w:tcW w:w="1273" w:type="dxa"/>
            <w:vAlign w:val="center"/>
          </w:tcPr>
          <w:p w14:paraId="4E04C2D0">
            <w:pPr>
              <w:spacing w:before="60" w:after="60"/>
              <w:jc w:val="center"/>
              <w:rPr>
                <w:color w:val="auto"/>
                <w:sz w:val="22"/>
                <w:szCs w:val="22"/>
                <w:highlight w:val="none"/>
              </w:rPr>
            </w:pPr>
            <w:r>
              <w:rPr>
                <w:color w:val="auto"/>
                <w:sz w:val="22"/>
                <w:szCs w:val="22"/>
                <w:highlight w:val="none"/>
              </w:rPr>
              <w:t>见附件四</w:t>
            </w:r>
          </w:p>
        </w:tc>
      </w:tr>
      <w:tr w14:paraId="178616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21F8A7C3">
            <w:pPr>
              <w:spacing w:before="60" w:after="60"/>
              <w:jc w:val="center"/>
              <w:rPr>
                <w:color w:val="auto"/>
                <w:sz w:val="22"/>
                <w:szCs w:val="22"/>
                <w:highlight w:val="none"/>
              </w:rPr>
            </w:pPr>
            <w:r>
              <w:rPr>
                <w:color w:val="auto"/>
                <w:sz w:val="22"/>
                <w:szCs w:val="22"/>
                <w:highlight w:val="none"/>
              </w:rPr>
              <w:t>2）</w:t>
            </w:r>
          </w:p>
        </w:tc>
        <w:tc>
          <w:tcPr>
            <w:tcW w:w="7764" w:type="dxa"/>
            <w:vAlign w:val="center"/>
          </w:tcPr>
          <w:p w14:paraId="3028A66B">
            <w:pPr>
              <w:spacing w:before="60" w:after="60"/>
              <w:rPr>
                <w:b/>
                <w:color w:val="auto"/>
                <w:sz w:val="22"/>
                <w:szCs w:val="22"/>
                <w:highlight w:val="none"/>
              </w:rPr>
            </w:pPr>
            <w:r>
              <w:rPr>
                <w:color w:val="auto"/>
                <w:sz w:val="22"/>
                <w:szCs w:val="22"/>
                <w:highlight w:val="none"/>
                <w:u w:val="single"/>
              </w:rPr>
              <w:t>▲技术、商务条款偏离表</w:t>
            </w:r>
          </w:p>
        </w:tc>
        <w:tc>
          <w:tcPr>
            <w:tcW w:w="1273" w:type="dxa"/>
            <w:vAlign w:val="center"/>
          </w:tcPr>
          <w:p w14:paraId="623EF06D">
            <w:pPr>
              <w:spacing w:before="60" w:after="60"/>
              <w:jc w:val="center"/>
              <w:rPr>
                <w:color w:val="auto"/>
                <w:sz w:val="22"/>
                <w:szCs w:val="22"/>
                <w:highlight w:val="none"/>
              </w:rPr>
            </w:pPr>
            <w:r>
              <w:rPr>
                <w:color w:val="auto"/>
                <w:sz w:val="22"/>
                <w:szCs w:val="22"/>
                <w:highlight w:val="none"/>
              </w:rPr>
              <w:t>见附件五</w:t>
            </w:r>
          </w:p>
        </w:tc>
      </w:tr>
      <w:tr w14:paraId="7265B0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74652ED9">
            <w:pPr>
              <w:spacing w:before="60" w:after="60"/>
              <w:jc w:val="center"/>
              <w:rPr>
                <w:color w:val="auto"/>
                <w:sz w:val="22"/>
                <w:szCs w:val="22"/>
                <w:highlight w:val="none"/>
              </w:rPr>
            </w:pPr>
            <w:r>
              <w:rPr>
                <w:color w:val="auto"/>
                <w:sz w:val="22"/>
                <w:szCs w:val="22"/>
                <w:highlight w:val="none"/>
              </w:rPr>
              <w:t>3）</w:t>
            </w:r>
          </w:p>
        </w:tc>
        <w:tc>
          <w:tcPr>
            <w:tcW w:w="7764" w:type="dxa"/>
            <w:vAlign w:val="center"/>
          </w:tcPr>
          <w:p w14:paraId="5E62F3B1">
            <w:pPr>
              <w:spacing w:before="60" w:after="60"/>
              <w:rPr>
                <w:color w:val="auto"/>
                <w:sz w:val="22"/>
                <w:szCs w:val="22"/>
                <w:highlight w:val="none"/>
              </w:rPr>
            </w:pPr>
            <w:r>
              <w:rPr>
                <w:color w:val="auto"/>
                <w:sz w:val="22"/>
                <w:szCs w:val="22"/>
                <w:highlight w:val="none"/>
              </w:rPr>
              <w:t>技术部分（按“评标细则”相关评分内容逐项编制）</w:t>
            </w:r>
          </w:p>
          <w:p w14:paraId="5CF98FEF">
            <w:pPr>
              <w:pStyle w:val="9"/>
              <w:spacing w:before="60" w:after="60"/>
              <w:ind w:left="440" w:hanging="440"/>
              <w:rPr>
                <w:color w:val="auto"/>
                <w:sz w:val="22"/>
                <w:szCs w:val="22"/>
                <w:highlight w:val="none"/>
              </w:rPr>
            </w:pPr>
            <w:r>
              <w:rPr>
                <w:color w:val="auto"/>
                <w:sz w:val="22"/>
                <w:szCs w:val="22"/>
                <w:highlight w:val="none"/>
              </w:rPr>
              <w:t>本文件《第三部分  附件》未提供格式的，可自行拟定格式，并加盖单位公章</w:t>
            </w:r>
          </w:p>
          <w:p w14:paraId="5AB57D70">
            <w:pPr>
              <w:pStyle w:val="9"/>
              <w:spacing w:before="60" w:after="60"/>
              <w:ind w:left="440" w:hanging="440"/>
              <w:rPr>
                <w:color w:val="auto"/>
                <w:sz w:val="22"/>
                <w:szCs w:val="22"/>
                <w:highlight w:val="none"/>
              </w:rPr>
            </w:pPr>
            <w:r>
              <w:rPr>
                <w:color w:val="auto"/>
                <w:sz w:val="22"/>
                <w:szCs w:val="22"/>
                <w:highlight w:val="none"/>
              </w:rPr>
              <w:t>并由法定代表人或其授权代表签署（签字或盖章），否则视为未提供。</w:t>
            </w:r>
          </w:p>
        </w:tc>
        <w:tc>
          <w:tcPr>
            <w:tcW w:w="1273" w:type="dxa"/>
            <w:vAlign w:val="center"/>
          </w:tcPr>
          <w:p w14:paraId="713AD5AB">
            <w:pPr>
              <w:spacing w:before="60" w:after="60"/>
              <w:jc w:val="center"/>
              <w:rPr>
                <w:color w:val="auto"/>
                <w:sz w:val="22"/>
                <w:szCs w:val="22"/>
                <w:highlight w:val="none"/>
              </w:rPr>
            </w:pPr>
          </w:p>
        </w:tc>
      </w:tr>
      <w:tr w14:paraId="5CB51C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387B0056">
            <w:pPr>
              <w:spacing w:before="60" w:after="60"/>
              <w:jc w:val="center"/>
              <w:rPr>
                <w:color w:val="auto"/>
                <w:sz w:val="22"/>
                <w:szCs w:val="22"/>
                <w:highlight w:val="none"/>
              </w:rPr>
            </w:pPr>
            <w:r>
              <w:rPr>
                <w:color w:val="auto"/>
                <w:sz w:val="22"/>
                <w:szCs w:val="22"/>
                <w:highlight w:val="none"/>
              </w:rPr>
              <w:t>4）</w:t>
            </w:r>
          </w:p>
        </w:tc>
        <w:tc>
          <w:tcPr>
            <w:tcW w:w="7764" w:type="dxa"/>
            <w:vAlign w:val="center"/>
          </w:tcPr>
          <w:p w14:paraId="4E5ADA22">
            <w:pPr>
              <w:pStyle w:val="9"/>
              <w:spacing w:before="60" w:after="60"/>
              <w:ind w:left="440" w:hanging="440"/>
              <w:rPr>
                <w:color w:val="auto"/>
                <w:sz w:val="22"/>
                <w:szCs w:val="22"/>
                <w:highlight w:val="none"/>
              </w:rPr>
            </w:pPr>
            <w:r>
              <w:rPr>
                <w:color w:val="auto"/>
                <w:sz w:val="22"/>
                <w:szCs w:val="22"/>
                <w:highlight w:val="none"/>
              </w:rPr>
              <w:t>投标供应商公司简介以及认为需要提供的其他相关资料</w:t>
            </w:r>
          </w:p>
        </w:tc>
        <w:tc>
          <w:tcPr>
            <w:tcW w:w="1273" w:type="dxa"/>
            <w:vAlign w:val="center"/>
          </w:tcPr>
          <w:p w14:paraId="4B276214">
            <w:pPr>
              <w:spacing w:before="60" w:after="60"/>
              <w:jc w:val="center"/>
              <w:rPr>
                <w:color w:val="auto"/>
                <w:sz w:val="22"/>
                <w:szCs w:val="22"/>
                <w:highlight w:val="none"/>
              </w:rPr>
            </w:pPr>
          </w:p>
        </w:tc>
      </w:tr>
    </w:tbl>
    <w:p w14:paraId="5C189D5F">
      <w:pPr>
        <w:spacing w:line="430" w:lineRule="exact"/>
        <w:ind w:left="187" w:leftChars="85" w:hanging="9" w:hangingChars="4"/>
        <w:rPr>
          <w:b/>
          <w:color w:val="auto"/>
          <w:sz w:val="22"/>
          <w:szCs w:val="22"/>
          <w:highlight w:val="none"/>
        </w:rPr>
      </w:pPr>
      <w:r>
        <w:rPr>
          <w:b/>
          <w:color w:val="auto"/>
          <w:sz w:val="22"/>
          <w:szCs w:val="22"/>
          <w:highlight w:val="none"/>
        </w:rPr>
        <w:t>说明：</w:t>
      </w:r>
    </w:p>
    <w:p w14:paraId="070CCA13">
      <w:pPr>
        <w:tabs>
          <w:tab w:val="left" w:pos="5355"/>
        </w:tabs>
        <w:spacing w:line="360" w:lineRule="auto"/>
        <w:ind w:left="360"/>
        <w:rPr>
          <w:color w:val="auto"/>
          <w:sz w:val="22"/>
          <w:szCs w:val="22"/>
          <w:highlight w:val="none"/>
        </w:rPr>
      </w:pPr>
      <w:r>
        <w:rPr>
          <w:color w:val="auto"/>
          <w:sz w:val="22"/>
          <w:szCs w:val="22"/>
          <w:highlight w:val="none"/>
        </w:rPr>
        <w:t>1）投标供应商可根据采购文件中的采购内容及要求和商务技术评分表，提供投标供应商认为需要提供的文件和资料。</w:t>
      </w:r>
    </w:p>
    <w:p w14:paraId="11DD2A46">
      <w:pPr>
        <w:tabs>
          <w:tab w:val="left" w:pos="5355"/>
        </w:tabs>
        <w:spacing w:line="360" w:lineRule="auto"/>
        <w:ind w:left="360"/>
        <w:rPr>
          <w:color w:val="auto"/>
          <w:sz w:val="22"/>
          <w:szCs w:val="22"/>
          <w:highlight w:val="none"/>
        </w:rPr>
      </w:pPr>
      <w:r>
        <w:rPr>
          <w:color w:val="auto"/>
          <w:sz w:val="22"/>
          <w:szCs w:val="22"/>
          <w:highlight w:val="none"/>
        </w:rPr>
        <w:t>2）以上所需的各种证书、证件、证明、执照若系复制件，须在复制件上加盖投标供应商公章。</w:t>
      </w:r>
    </w:p>
    <w:p w14:paraId="20625E05">
      <w:pPr>
        <w:pStyle w:val="9"/>
        <w:spacing w:line="360" w:lineRule="auto"/>
        <w:ind w:left="440" w:hanging="440"/>
        <w:rPr>
          <w:color w:val="auto"/>
          <w:sz w:val="22"/>
          <w:szCs w:val="22"/>
          <w:highlight w:val="none"/>
        </w:rPr>
      </w:pPr>
      <w:r>
        <w:rPr>
          <w:color w:val="auto"/>
          <w:sz w:val="22"/>
          <w:szCs w:val="22"/>
          <w:highlight w:val="none"/>
        </w:rPr>
        <w:t xml:space="preserve">   3）投标人的投标文件必须按照采购文件要求制作。不允许以活页夹形式装订投标文件，否则投标将被拒绝。</w:t>
      </w:r>
    </w:p>
    <w:p w14:paraId="7BC3FDF9">
      <w:pPr>
        <w:spacing w:line="360" w:lineRule="auto"/>
        <w:rPr>
          <w:b/>
          <w:color w:val="auto"/>
          <w:sz w:val="22"/>
          <w:szCs w:val="22"/>
          <w:highlight w:val="none"/>
        </w:rPr>
      </w:pPr>
      <w:r>
        <w:rPr>
          <w:bCs/>
          <w:color w:val="auto"/>
          <w:sz w:val="22"/>
          <w:szCs w:val="22"/>
          <w:highlight w:val="none"/>
        </w:rPr>
        <w:t>11.投标报价</w:t>
      </w:r>
    </w:p>
    <w:p w14:paraId="09A6D498">
      <w:pPr>
        <w:spacing w:line="360" w:lineRule="auto"/>
        <w:rPr>
          <w:color w:val="auto"/>
          <w:sz w:val="22"/>
          <w:szCs w:val="22"/>
          <w:highlight w:val="none"/>
        </w:rPr>
      </w:pPr>
      <w:r>
        <w:rPr>
          <w:b/>
          <w:color w:val="auto"/>
          <w:sz w:val="22"/>
          <w:szCs w:val="22"/>
          <w:highlight w:val="none"/>
        </w:rPr>
        <w:t>11.1</w:t>
      </w:r>
      <w:r>
        <w:rPr>
          <w:b/>
          <w:color w:val="auto"/>
          <w:szCs w:val="21"/>
          <w:highlight w:val="none"/>
        </w:rPr>
        <w:t>投标报价是指投标人在正确地完全履行合同义务后采购人应支付给投标人的所有</w:t>
      </w:r>
      <w:r>
        <w:rPr>
          <w:rFonts w:hint="eastAsia"/>
          <w:b/>
          <w:color w:val="auto"/>
          <w:szCs w:val="21"/>
          <w:highlight w:val="none"/>
          <w:lang w:val="en-US" w:eastAsia="zh-CN"/>
        </w:rPr>
        <w:t>服务</w:t>
      </w:r>
      <w:r>
        <w:rPr>
          <w:b/>
          <w:color w:val="auto"/>
          <w:szCs w:val="21"/>
          <w:highlight w:val="none"/>
        </w:rPr>
        <w:t>价款，包括</w:t>
      </w:r>
      <w:r>
        <w:rPr>
          <w:rFonts w:hint="eastAsia"/>
          <w:b/>
          <w:color w:val="auto"/>
          <w:szCs w:val="21"/>
          <w:highlight w:val="none"/>
          <w:lang w:val="en-US" w:eastAsia="zh-CN"/>
        </w:rPr>
        <w:t>监理费</w:t>
      </w:r>
      <w:r>
        <w:rPr>
          <w:b/>
          <w:color w:val="auto"/>
          <w:szCs w:val="21"/>
          <w:highlight w:val="none"/>
        </w:rPr>
        <w:t>、</w:t>
      </w:r>
      <w:r>
        <w:rPr>
          <w:rFonts w:hint="eastAsia"/>
          <w:b/>
          <w:color w:val="auto"/>
          <w:szCs w:val="21"/>
          <w:highlight w:val="none"/>
          <w:lang w:val="en-US" w:eastAsia="zh-CN"/>
        </w:rPr>
        <w:t>人员工资、利润、税金、</w:t>
      </w:r>
      <w:r>
        <w:rPr>
          <w:b/>
          <w:color w:val="auto"/>
          <w:szCs w:val="21"/>
          <w:highlight w:val="none"/>
        </w:rPr>
        <w:t>采购代理服务费等</w:t>
      </w:r>
      <w:r>
        <w:rPr>
          <w:rFonts w:hint="eastAsia"/>
          <w:b/>
          <w:color w:val="auto"/>
          <w:szCs w:val="21"/>
          <w:highlight w:val="none"/>
          <w:lang w:val="en-US" w:eastAsia="zh-CN"/>
        </w:rPr>
        <w:t>完成本项目所须的</w:t>
      </w:r>
      <w:r>
        <w:rPr>
          <w:b/>
          <w:color w:val="auto"/>
          <w:szCs w:val="21"/>
          <w:highlight w:val="none"/>
        </w:rPr>
        <w:t>全部费用，实行固定费用总包干。投标人应根据上述因素自行考虑含入投标总价。</w:t>
      </w:r>
    </w:p>
    <w:p w14:paraId="160A75B3">
      <w:pPr>
        <w:tabs>
          <w:tab w:val="left" w:pos="992"/>
        </w:tabs>
        <w:spacing w:line="360" w:lineRule="auto"/>
        <w:rPr>
          <w:color w:val="auto"/>
          <w:sz w:val="22"/>
          <w:szCs w:val="22"/>
          <w:highlight w:val="none"/>
        </w:rPr>
      </w:pPr>
      <w:r>
        <w:rPr>
          <w:color w:val="auto"/>
          <w:sz w:val="22"/>
          <w:szCs w:val="22"/>
          <w:highlight w:val="none"/>
        </w:rPr>
        <w:t>11.2投标人必须按第三部分附件的开标一览表（统一格式）的内容填写综合单价、投标总价及其他事项，并由法定代表人或其授权代表签署。</w:t>
      </w:r>
    </w:p>
    <w:p w14:paraId="515189F0">
      <w:pPr>
        <w:tabs>
          <w:tab w:val="left" w:pos="992"/>
        </w:tabs>
        <w:spacing w:line="360" w:lineRule="auto"/>
        <w:rPr>
          <w:color w:val="auto"/>
          <w:sz w:val="22"/>
          <w:szCs w:val="22"/>
          <w:highlight w:val="none"/>
        </w:rPr>
      </w:pPr>
      <w:r>
        <w:rPr>
          <w:color w:val="auto"/>
          <w:sz w:val="22"/>
          <w:szCs w:val="22"/>
          <w:highlight w:val="none"/>
        </w:rPr>
        <w:t>11.3所有投标报价均以人民币报价，不接受其他货币的报价，投标人如需外汇购入某些货物，须折合成人民币计入投标报价中。</w:t>
      </w:r>
    </w:p>
    <w:p w14:paraId="4FD6D30D">
      <w:pPr>
        <w:tabs>
          <w:tab w:val="left" w:pos="992"/>
        </w:tabs>
        <w:spacing w:line="360" w:lineRule="auto"/>
        <w:rPr>
          <w:b/>
          <w:color w:val="auto"/>
          <w:sz w:val="22"/>
          <w:szCs w:val="22"/>
          <w:highlight w:val="none"/>
        </w:rPr>
      </w:pPr>
      <w:r>
        <w:rPr>
          <w:b/>
          <w:color w:val="auto"/>
          <w:sz w:val="22"/>
          <w:szCs w:val="22"/>
          <w:highlight w:val="none"/>
        </w:rPr>
        <w:t>11.4采购人不接受任何选择性报价，对任何货物或服务只允许一个报价。</w:t>
      </w:r>
    </w:p>
    <w:p w14:paraId="156FA1C0">
      <w:pPr>
        <w:tabs>
          <w:tab w:val="left" w:pos="992"/>
        </w:tabs>
        <w:spacing w:line="360" w:lineRule="auto"/>
        <w:rPr>
          <w:color w:val="auto"/>
          <w:sz w:val="22"/>
          <w:szCs w:val="22"/>
          <w:highlight w:val="none"/>
        </w:rPr>
      </w:pPr>
      <w:r>
        <w:rPr>
          <w:color w:val="auto"/>
          <w:sz w:val="22"/>
          <w:szCs w:val="22"/>
          <w:highlight w:val="none"/>
        </w:rPr>
        <w:t>11.5采购人要求分类报价是为了方便评标，但在任何情况下不限制采购人以其认为最合适的条款、条件签订合同的权利。</w:t>
      </w:r>
    </w:p>
    <w:p w14:paraId="26C0F0B5">
      <w:pPr>
        <w:tabs>
          <w:tab w:val="left" w:pos="992"/>
        </w:tabs>
        <w:spacing w:line="360" w:lineRule="auto"/>
        <w:rPr>
          <w:b/>
          <w:color w:val="auto"/>
          <w:sz w:val="22"/>
          <w:szCs w:val="22"/>
          <w:highlight w:val="none"/>
        </w:rPr>
      </w:pPr>
      <w:r>
        <w:rPr>
          <w:b/>
          <w:color w:val="auto"/>
          <w:sz w:val="22"/>
          <w:szCs w:val="22"/>
          <w:highlight w:val="none"/>
        </w:rPr>
        <w:t>11.6投标人所报的投标价在合同执行过程中是固定不变的，不得以任何理由予以变更。任何包含价格调整的要求，将被认为是非实质性响应投标而予以拒绝。</w:t>
      </w:r>
    </w:p>
    <w:p w14:paraId="7202BFDC">
      <w:pPr>
        <w:tabs>
          <w:tab w:val="left" w:pos="992"/>
        </w:tabs>
        <w:spacing w:line="360" w:lineRule="auto"/>
        <w:rPr>
          <w:color w:val="auto"/>
          <w:sz w:val="22"/>
          <w:szCs w:val="22"/>
          <w:highlight w:val="none"/>
        </w:rPr>
      </w:pPr>
      <w:r>
        <w:rPr>
          <w:color w:val="auto"/>
          <w:sz w:val="22"/>
          <w:szCs w:val="22"/>
          <w:highlight w:val="none"/>
        </w:rPr>
        <w:t>11.7最低报价不能作为中标的保证。</w:t>
      </w:r>
    </w:p>
    <w:p w14:paraId="46818F1A">
      <w:pPr>
        <w:spacing w:line="360" w:lineRule="auto"/>
        <w:rPr>
          <w:b/>
          <w:color w:val="auto"/>
          <w:sz w:val="22"/>
          <w:szCs w:val="22"/>
          <w:highlight w:val="none"/>
        </w:rPr>
      </w:pPr>
      <w:r>
        <w:rPr>
          <w:b/>
          <w:bCs/>
          <w:color w:val="auto"/>
          <w:sz w:val="22"/>
          <w:szCs w:val="22"/>
          <w:highlight w:val="none"/>
        </w:rPr>
        <w:t>12.▲</w:t>
      </w:r>
      <w:r>
        <w:rPr>
          <w:b/>
          <w:bCs/>
          <w:color w:val="auto"/>
          <w:sz w:val="22"/>
          <w:szCs w:val="22"/>
          <w:highlight w:val="none"/>
          <w:u w:val="single"/>
        </w:rPr>
        <w:t>投标保证金</w:t>
      </w:r>
    </w:p>
    <w:p w14:paraId="720B1B11">
      <w:pPr>
        <w:tabs>
          <w:tab w:val="left" w:pos="540"/>
        </w:tabs>
        <w:spacing w:line="360" w:lineRule="auto"/>
        <w:rPr>
          <w:b/>
          <w:color w:val="auto"/>
          <w:sz w:val="22"/>
          <w:szCs w:val="22"/>
          <w:highlight w:val="none"/>
          <w:u w:val="single"/>
        </w:rPr>
      </w:pPr>
      <w:r>
        <w:rPr>
          <w:b/>
          <w:bCs/>
          <w:color w:val="auto"/>
          <w:sz w:val="22"/>
          <w:szCs w:val="22"/>
          <w:highlight w:val="none"/>
          <w:u w:val="single"/>
        </w:rPr>
        <w:t>12.1</w:t>
      </w:r>
      <w:r>
        <w:rPr>
          <w:b/>
          <w:color w:val="auto"/>
          <w:sz w:val="22"/>
          <w:szCs w:val="22"/>
          <w:highlight w:val="none"/>
          <w:u w:val="single"/>
        </w:rPr>
        <w:t>投标人须提供投标保证金（要求详见《投标人须知前附表》），否则采购人将不接受其投标。</w:t>
      </w:r>
    </w:p>
    <w:p w14:paraId="13BB1F0B">
      <w:pPr>
        <w:tabs>
          <w:tab w:val="left" w:pos="840"/>
        </w:tabs>
        <w:spacing w:line="360" w:lineRule="auto"/>
        <w:ind w:firstLine="440" w:firstLineChars="200"/>
        <w:rPr>
          <w:color w:val="auto"/>
          <w:sz w:val="22"/>
          <w:szCs w:val="22"/>
          <w:highlight w:val="none"/>
          <w:u w:val="single"/>
        </w:rPr>
      </w:pPr>
      <w:r>
        <w:rPr>
          <w:color w:val="auto"/>
          <w:sz w:val="22"/>
          <w:szCs w:val="22"/>
          <w:highlight w:val="none"/>
        </w:rPr>
        <w:t>中标人的投标保证金在签订合同并在乐采云合同备案后5个工作日内退还，未中标投标人的投标保证金将在确定</w:t>
      </w:r>
      <w:r>
        <w:rPr>
          <w:color w:val="auto"/>
          <w:sz w:val="22"/>
          <w:szCs w:val="22"/>
          <w:highlight w:val="none"/>
          <w:u w:val="single"/>
        </w:rPr>
        <w:t>中标人后5个工作日内无息退还。</w:t>
      </w:r>
    </w:p>
    <w:p w14:paraId="6CFC95F0">
      <w:pPr>
        <w:tabs>
          <w:tab w:val="left" w:pos="540"/>
        </w:tabs>
        <w:spacing w:line="360" w:lineRule="auto"/>
        <w:rPr>
          <w:b/>
          <w:color w:val="auto"/>
          <w:sz w:val="22"/>
          <w:szCs w:val="22"/>
          <w:highlight w:val="none"/>
          <w:u w:val="single"/>
        </w:rPr>
      </w:pPr>
      <w:r>
        <w:rPr>
          <w:b/>
          <w:color w:val="auto"/>
          <w:sz w:val="22"/>
          <w:szCs w:val="22"/>
          <w:highlight w:val="none"/>
          <w:u w:val="single"/>
        </w:rPr>
        <w:t>12.2</w:t>
      </w:r>
      <w:bookmarkStart w:id="92" w:name="OLE_LINK11"/>
      <w:r>
        <w:rPr>
          <w:b/>
          <w:color w:val="auto"/>
          <w:sz w:val="22"/>
          <w:szCs w:val="22"/>
          <w:highlight w:val="none"/>
          <w:u w:val="single"/>
        </w:rPr>
        <w:t>▲</w:t>
      </w:r>
      <w:bookmarkEnd w:id="92"/>
      <w:r>
        <w:rPr>
          <w:b/>
          <w:color w:val="auto"/>
          <w:sz w:val="22"/>
          <w:szCs w:val="22"/>
          <w:highlight w:val="none"/>
          <w:u w:val="single"/>
        </w:rPr>
        <w:t>如发生下列情况之一，投标保证金将不予退还：</w:t>
      </w:r>
    </w:p>
    <w:p w14:paraId="196342C6">
      <w:pPr>
        <w:tabs>
          <w:tab w:val="left" w:pos="540"/>
        </w:tabs>
        <w:spacing w:line="360" w:lineRule="auto"/>
        <w:rPr>
          <w:b/>
          <w:color w:val="auto"/>
          <w:sz w:val="22"/>
          <w:szCs w:val="22"/>
          <w:highlight w:val="none"/>
          <w:u w:val="single"/>
        </w:rPr>
      </w:pPr>
      <w:r>
        <w:rPr>
          <w:b/>
          <w:color w:val="auto"/>
          <w:sz w:val="22"/>
          <w:szCs w:val="22"/>
          <w:highlight w:val="none"/>
          <w:u w:val="single"/>
        </w:rPr>
        <w:t>（1）投标人在采购文件规定的投标有效期内撤回投标；</w:t>
      </w:r>
    </w:p>
    <w:p w14:paraId="242FFEEE">
      <w:pPr>
        <w:tabs>
          <w:tab w:val="left" w:pos="540"/>
        </w:tabs>
        <w:spacing w:line="360" w:lineRule="auto"/>
        <w:rPr>
          <w:b/>
          <w:color w:val="auto"/>
          <w:sz w:val="22"/>
          <w:szCs w:val="22"/>
          <w:highlight w:val="none"/>
          <w:u w:val="single"/>
        </w:rPr>
      </w:pPr>
      <w:r>
        <w:rPr>
          <w:b/>
          <w:color w:val="auto"/>
          <w:sz w:val="22"/>
          <w:szCs w:val="22"/>
          <w:highlight w:val="none"/>
          <w:u w:val="single"/>
        </w:rPr>
        <w:t>（2）中标人未按中标通知书中规定的时间与采购人签订合同；</w:t>
      </w:r>
    </w:p>
    <w:p w14:paraId="5C23E6A5">
      <w:pPr>
        <w:tabs>
          <w:tab w:val="left" w:pos="540"/>
        </w:tabs>
        <w:spacing w:line="360" w:lineRule="auto"/>
        <w:rPr>
          <w:b/>
          <w:color w:val="auto"/>
          <w:sz w:val="22"/>
          <w:szCs w:val="22"/>
          <w:highlight w:val="none"/>
          <w:u w:val="single"/>
        </w:rPr>
      </w:pPr>
      <w:r>
        <w:rPr>
          <w:b/>
          <w:color w:val="auto"/>
          <w:sz w:val="22"/>
          <w:szCs w:val="22"/>
          <w:highlight w:val="none"/>
          <w:u w:val="single"/>
        </w:rPr>
        <w:t>（3）投标人在采购文件中提供虚假技术指标及参数，经评标委员会确认属实的；</w:t>
      </w:r>
    </w:p>
    <w:p w14:paraId="4F189663">
      <w:pPr>
        <w:tabs>
          <w:tab w:val="left" w:pos="540"/>
        </w:tabs>
        <w:spacing w:line="360" w:lineRule="auto"/>
        <w:rPr>
          <w:b/>
          <w:color w:val="auto"/>
          <w:sz w:val="22"/>
          <w:szCs w:val="22"/>
          <w:highlight w:val="none"/>
          <w:u w:val="single"/>
        </w:rPr>
      </w:pPr>
      <w:r>
        <w:rPr>
          <w:b/>
          <w:color w:val="auto"/>
          <w:sz w:val="22"/>
          <w:szCs w:val="22"/>
          <w:highlight w:val="none"/>
          <w:u w:val="single"/>
        </w:rPr>
        <w:t>（4）经查实，投标人有违反《温州市市属国有企业采购管理办法》等有关法律、法规的行为。</w:t>
      </w:r>
    </w:p>
    <w:p w14:paraId="01C78403">
      <w:pPr>
        <w:spacing w:line="360" w:lineRule="auto"/>
        <w:rPr>
          <w:b/>
          <w:color w:val="auto"/>
          <w:sz w:val="22"/>
          <w:szCs w:val="22"/>
          <w:highlight w:val="none"/>
        </w:rPr>
      </w:pPr>
      <w:r>
        <w:rPr>
          <w:bCs/>
          <w:color w:val="auto"/>
          <w:sz w:val="22"/>
          <w:szCs w:val="22"/>
          <w:highlight w:val="none"/>
        </w:rPr>
        <w:t>13.投标有效期</w:t>
      </w:r>
    </w:p>
    <w:p w14:paraId="47A8019B">
      <w:pPr>
        <w:spacing w:line="360" w:lineRule="auto"/>
        <w:rPr>
          <w:b/>
          <w:color w:val="auto"/>
          <w:sz w:val="22"/>
          <w:szCs w:val="22"/>
          <w:highlight w:val="none"/>
          <w:u w:val="single"/>
        </w:rPr>
      </w:pPr>
      <w:r>
        <w:rPr>
          <w:b/>
          <w:bCs/>
          <w:color w:val="auto"/>
          <w:sz w:val="22"/>
          <w:szCs w:val="22"/>
          <w:highlight w:val="none"/>
          <w:u w:val="single"/>
        </w:rPr>
        <w:t>▲13.1</w:t>
      </w:r>
      <w:r>
        <w:rPr>
          <w:b/>
          <w:color w:val="auto"/>
          <w:sz w:val="22"/>
          <w:szCs w:val="22"/>
          <w:highlight w:val="none"/>
          <w:u w:val="single"/>
        </w:rPr>
        <w:t>自开标之日起 90天内投标应保持有效。投标有效期短于这个规定期限的投标将视为非响应性投标而予以拒绝。</w:t>
      </w:r>
    </w:p>
    <w:p w14:paraId="18571D1A">
      <w:pPr>
        <w:spacing w:line="360" w:lineRule="auto"/>
        <w:rPr>
          <w:color w:val="auto"/>
          <w:sz w:val="22"/>
          <w:szCs w:val="22"/>
          <w:highlight w:val="none"/>
        </w:rPr>
      </w:pPr>
      <w:r>
        <w:rPr>
          <w:color w:val="auto"/>
          <w:sz w:val="22"/>
          <w:szCs w:val="22"/>
          <w:highlight w:val="none"/>
        </w:rPr>
        <w:t>13.2特殊情况下，在原投标有效期截止前，采购人可与投标人协商延长投标有效期，这种要求和答复均以书面形式进行。投标人可拒绝接受延期要求，而不会导致投标保证金不予退还。同意延长投标有效期的投标人不得修改投标文件。有关退还和不予退还投标保证金的规定在投标有效期的延长期内继续有效。</w:t>
      </w:r>
    </w:p>
    <w:p w14:paraId="3477DB4B">
      <w:pPr>
        <w:tabs>
          <w:tab w:val="left" w:pos="420"/>
          <w:tab w:val="left" w:pos="540"/>
        </w:tabs>
        <w:spacing w:line="460" w:lineRule="exact"/>
        <w:rPr>
          <w:color w:val="auto"/>
          <w:sz w:val="22"/>
          <w:szCs w:val="22"/>
          <w:highlight w:val="none"/>
        </w:rPr>
      </w:pPr>
      <w:bookmarkStart w:id="93" w:name="_Toc241404204"/>
      <w:bookmarkStart w:id="94" w:name="_Toc245191316"/>
      <w:bookmarkStart w:id="95" w:name="_Toc246261267"/>
      <w:bookmarkStart w:id="96" w:name="_Toc221356889"/>
      <w:bookmarkStart w:id="97" w:name="_Toc239145356"/>
      <w:bookmarkStart w:id="98" w:name="_Toc262105505"/>
      <w:bookmarkStart w:id="99" w:name="_Toc222114881"/>
      <w:bookmarkStart w:id="100" w:name="_Toc221374628"/>
      <w:bookmarkStart w:id="101" w:name="_Toc1379"/>
      <w:bookmarkStart w:id="102" w:name="_Toc249758866"/>
      <w:bookmarkStart w:id="103" w:name="_Toc223716000"/>
      <w:bookmarkStart w:id="104" w:name="_Toc221423621"/>
      <w:bookmarkStart w:id="105" w:name="_Toc249758714"/>
      <w:bookmarkStart w:id="106" w:name="_Toc245722283"/>
      <w:bookmarkStart w:id="107" w:name="_Toc221356953"/>
      <w:bookmarkStart w:id="108" w:name="_Toc262049420"/>
      <w:r>
        <w:rPr>
          <w:color w:val="auto"/>
          <w:sz w:val="22"/>
          <w:szCs w:val="22"/>
          <w:highlight w:val="none"/>
        </w:rPr>
        <w:t>14.投标文件的签署和规定</w:t>
      </w:r>
    </w:p>
    <w:p w14:paraId="41755385">
      <w:pPr>
        <w:numPr>
          <w:ilvl w:val="1"/>
          <w:numId w:val="4"/>
        </w:numPr>
        <w:tabs>
          <w:tab w:val="left" w:pos="642"/>
          <w:tab w:val="clear" w:pos="992"/>
        </w:tabs>
        <w:overflowPunct w:val="0"/>
        <w:spacing w:line="460" w:lineRule="exact"/>
        <w:ind w:left="642" w:hanging="642"/>
        <w:rPr>
          <w:b/>
          <w:bCs/>
          <w:color w:val="auto"/>
          <w:sz w:val="22"/>
          <w:szCs w:val="22"/>
          <w:highlight w:val="none"/>
        </w:rPr>
      </w:pPr>
      <w:r>
        <w:rPr>
          <w:b/>
          <w:bCs/>
          <w:color w:val="auto"/>
          <w:sz w:val="22"/>
          <w:szCs w:val="22"/>
          <w:highlight w:val="none"/>
        </w:rPr>
        <w:t>投标供应商应提供资格文件、报价文件、商务技术文件各一式</w:t>
      </w:r>
      <w:r>
        <w:rPr>
          <w:rFonts w:hint="eastAsia"/>
          <w:b/>
          <w:bCs/>
          <w:color w:val="auto"/>
          <w:sz w:val="22"/>
          <w:szCs w:val="22"/>
          <w:highlight w:val="none"/>
          <w:lang w:val="en-US" w:eastAsia="zh-CN"/>
        </w:rPr>
        <w:t>伍</w:t>
      </w:r>
      <w:r>
        <w:rPr>
          <w:b/>
          <w:bCs/>
          <w:color w:val="auto"/>
          <w:sz w:val="22"/>
          <w:szCs w:val="22"/>
          <w:highlight w:val="none"/>
        </w:rPr>
        <w:t>份的投标文件，分别装订成册。其中正本一份、副本</w:t>
      </w:r>
      <w:r>
        <w:rPr>
          <w:rFonts w:hint="eastAsia"/>
          <w:b/>
          <w:bCs/>
          <w:color w:val="auto"/>
          <w:sz w:val="22"/>
          <w:szCs w:val="22"/>
          <w:highlight w:val="none"/>
          <w:lang w:val="en-US" w:eastAsia="zh-CN"/>
        </w:rPr>
        <w:t>肆</w:t>
      </w:r>
      <w:r>
        <w:rPr>
          <w:b/>
          <w:bCs/>
          <w:color w:val="auto"/>
          <w:sz w:val="22"/>
          <w:szCs w:val="22"/>
          <w:highlight w:val="none"/>
        </w:rPr>
        <w:t>份，每套投标文件的封面应清楚标明“正本”或“副本”字样，若“正本”与“副本”不符，以“正本”为准。</w:t>
      </w:r>
    </w:p>
    <w:p w14:paraId="6AD8DC43">
      <w:pPr>
        <w:numPr>
          <w:ilvl w:val="1"/>
          <w:numId w:val="4"/>
        </w:numPr>
        <w:tabs>
          <w:tab w:val="clear" w:pos="992"/>
        </w:tabs>
        <w:overflowPunct w:val="0"/>
        <w:spacing w:line="460" w:lineRule="exact"/>
        <w:ind w:left="540" w:hanging="540"/>
        <w:rPr>
          <w:color w:val="auto"/>
          <w:sz w:val="22"/>
          <w:szCs w:val="22"/>
          <w:highlight w:val="none"/>
        </w:rPr>
      </w:pPr>
      <w:r>
        <w:rPr>
          <w:color w:val="auto"/>
          <w:sz w:val="22"/>
          <w:szCs w:val="22"/>
          <w:highlight w:val="none"/>
        </w:rPr>
        <w:t xml:space="preserve"> 投标文件的正本必须打印或用不褪色的墨水书写，并由法定代表人（法定负责人）或其授权代表签署，投标文件的副本可用正本的复印。</w:t>
      </w:r>
    </w:p>
    <w:p w14:paraId="28228D44">
      <w:pPr>
        <w:numPr>
          <w:ilvl w:val="1"/>
          <w:numId w:val="4"/>
        </w:numPr>
        <w:tabs>
          <w:tab w:val="clear" w:pos="992"/>
        </w:tabs>
        <w:overflowPunct w:val="0"/>
        <w:spacing w:line="460" w:lineRule="exact"/>
        <w:ind w:left="540" w:hanging="540"/>
        <w:rPr>
          <w:color w:val="auto"/>
          <w:sz w:val="22"/>
          <w:szCs w:val="22"/>
          <w:highlight w:val="none"/>
        </w:rPr>
      </w:pPr>
      <w:r>
        <w:rPr>
          <w:color w:val="auto"/>
          <w:sz w:val="22"/>
          <w:szCs w:val="22"/>
          <w:highlight w:val="none"/>
        </w:rPr>
        <w:t xml:space="preserve"> </w:t>
      </w:r>
      <w:r>
        <w:rPr>
          <w:b/>
          <w:bCs/>
          <w:color w:val="auto"/>
          <w:sz w:val="22"/>
          <w:szCs w:val="22"/>
          <w:highlight w:val="none"/>
        </w:rPr>
        <w:t>投标文件如有修改和增删必须加盖单位公章，方才有效。</w:t>
      </w:r>
    </w:p>
    <w:p w14:paraId="066ACD60">
      <w:pPr>
        <w:numPr>
          <w:ilvl w:val="1"/>
          <w:numId w:val="4"/>
        </w:numPr>
        <w:tabs>
          <w:tab w:val="clear" w:pos="992"/>
        </w:tabs>
        <w:overflowPunct w:val="0"/>
        <w:spacing w:line="460" w:lineRule="exact"/>
        <w:ind w:left="540" w:hanging="540"/>
        <w:rPr>
          <w:color w:val="auto"/>
          <w:sz w:val="22"/>
          <w:szCs w:val="22"/>
          <w:highlight w:val="none"/>
        </w:rPr>
      </w:pPr>
      <w:r>
        <w:rPr>
          <w:color w:val="auto"/>
          <w:sz w:val="22"/>
          <w:szCs w:val="22"/>
          <w:highlight w:val="none"/>
        </w:rPr>
        <w:t xml:space="preserve"> </w:t>
      </w:r>
      <w:r>
        <w:rPr>
          <w:b/>
          <w:bCs/>
          <w:color w:val="auto"/>
          <w:sz w:val="22"/>
          <w:szCs w:val="22"/>
          <w:highlight w:val="none"/>
        </w:rPr>
        <w:t>投标文件字迹模糊或在关键的技术、商务条款上表述不清楚，将可能导致其投标被拒绝。</w:t>
      </w:r>
    </w:p>
    <w:p w14:paraId="2CBFA9C5">
      <w:pPr>
        <w:tabs>
          <w:tab w:val="left" w:pos="420"/>
          <w:tab w:val="left" w:pos="540"/>
        </w:tabs>
        <w:spacing w:line="460" w:lineRule="exact"/>
        <w:rPr>
          <w:color w:val="auto"/>
          <w:sz w:val="22"/>
          <w:szCs w:val="22"/>
          <w:highlight w:val="none"/>
        </w:rPr>
      </w:pPr>
      <w:r>
        <w:rPr>
          <w:color w:val="auto"/>
          <w:sz w:val="22"/>
          <w:szCs w:val="22"/>
          <w:highlight w:val="none"/>
        </w:rPr>
        <w:t>15.投标文件的密封及标记</w:t>
      </w:r>
    </w:p>
    <w:p w14:paraId="58D339CC">
      <w:pPr>
        <w:numPr>
          <w:ilvl w:val="1"/>
          <w:numId w:val="5"/>
        </w:numPr>
        <w:tabs>
          <w:tab w:val="left" w:pos="642"/>
          <w:tab w:val="clear" w:pos="992"/>
        </w:tabs>
        <w:overflowPunct w:val="0"/>
        <w:spacing w:line="460" w:lineRule="exact"/>
        <w:ind w:left="642" w:hanging="642"/>
        <w:rPr>
          <w:color w:val="auto"/>
          <w:sz w:val="22"/>
          <w:szCs w:val="22"/>
          <w:highlight w:val="none"/>
        </w:rPr>
      </w:pPr>
      <w:r>
        <w:rPr>
          <w:color w:val="auto"/>
          <w:sz w:val="22"/>
          <w:szCs w:val="22"/>
          <w:highlight w:val="none"/>
        </w:rPr>
        <w:t>投标供应商必须将投标文件的“资格文件”“报价文件”“商务技术文件”分别单独密封，且在各自的密封袋上标明“资格文件”“报价文件”“商务技术文件”字样。封口处贴上封条，启封处加盖投标单位公章或由法定代表人（法定负责人）或其授权代表签字。封皮上写明投标项目名称、项目编号，并注明“开标时启封”字样。</w:t>
      </w:r>
    </w:p>
    <w:p w14:paraId="40144B2E">
      <w:pPr>
        <w:numPr>
          <w:ilvl w:val="1"/>
          <w:numId w:val="5"/>
        </w:numPr>
        <w:tabs>
          <w:tab w:val="clear" w:pos="992"/>
        </w:tabs>
        <w:overflowPunct w:val="0"/>
        <w:spacing w:line="460" w:lineRule="exact"/>
        <w:ind w:left="540" w:hanging="540"/>
        <w:rPr>
          <w:b/>
          <w:bCs/>
          <w:color w:val="auto"/>
          <w:sz w:val="22"/>
          <w:szCs w:val="22"/>
          <w:highlight w:val="none"/>
        </w:rPr>
      </w:pPr>
      <w:r>
        <w:rPr>
          <w:b/>
          <w:bCs/>
          <w:color w:val="auto"/>
          <w:sz w:val="22"/>
          <w:szCs w:val="22"/>
          <w:highlight w:val="none"/>
        </w:rPr>
        <w:t>如果投标供应商未按上述要求密封及加写标记，采购人对投标文件的误投和提前启封不负责任。</w:t>
      </w:r>
    </w:p>
    <w:p w14:paraId="617049E2">
      <w:pPr>
        <w:spacing w:before="100" w:beforeAutospacing="1" w:after="100" w:afterAutospacing="1" w:line="360" w:lineRule="auto"/>
        <w:jc w:val="center"/>
        <w:outlineLvl w:val="0"/>
        <w:rPr>
          <w:b/>
          <w:bCs/>
          <w:color w:val="auto"/>
          <w:sz w:val="26"/>
          <w:szCs w:val="26"/>
          <w:highlight w:val="none"/>
        </w:rPr>
      </w:pPr>
      <w:bookmarkStart w:id="109" w:name="_Toc241404202"/>
      <w:bookmarkStart w:id="110" w:name="_Toc223715998"/>
      <w:bookmarkStart w:id="111" w:name="_Toc222114879"/>
      <w:bookmarkStart w:id="112" w:name="_Toc245191314"/>
      <w:bookmarkStart w:id="113" w:name="_Toc245722281"/>
      <w:bookmarkStart w:id="114" w:name="_Toc251325214"/>
      <w:bookmarkStart w:id="115" w:name="_Toc221423619"/>
      <w:bookmarkStart w:id="116" w:name="_Toc3799547"/>
      <w:bookmarkStart w:id="117" w:name="_Toc221356887"/>
      <w:bookmarkStart w:id="118" w:name="_Toc239145354"/>
      <w:bookmarkStart w:id="119" w:name="_Toc11922"/>
      <w:bookmarkStart w:id="120" w:name="_Toc522645675"/>
      <w:bookmarkStart w:id="121" w:name="_Toc251592737"/>
      <w:bookmarkStart w:id="122" w:name="_Toc221356951"/>
      <w:bookmarkStart w:id="123" w:name="_Toc221374626"/>
      <w:bookmarkStart w:id="124" w:name="_Toc252194852"/>
      <w:bookmarkStart w:id="125" w:name="_Toc246261265"/>
    </w:p>
    <w:p w14:paraId="6601EBFA">
      <w:pPr>
        <w:spacing w:before="100" w:beforeAutospacing="1" w:after="100" w:afterAutospacing="1" w:line="360" w:lineRule="auto"/>
        <w:jc w:val="center"/>
        <w:outlineLvl w:val="0"/>
        <w:rPr>
          <w:color w:val="auto"/>
          <w:sz w:val="22"/>
          <w:szCs w:val="22"/>
          <w:highlight w:val="none"/>
        </w:rPr>
      </w:pPr>
      <w:r>
        <w:rPr>
          <w:b/>
          <w:bCs/>
          <w:color w:val="auto"/>
          <w:sz w:val="26"/>
          <w:szCs w:val="26"/>
          <w:highlight w:val="none"/>
        </w:rPr>
        <w:t>四、 投标文件的递交</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2C25FAC6">
      <w:pPr>
        <w:keepNext w:val="0"/>
        <w:keepLines w:val="0"/>
        <w:pageBreakBefore w:val="0"/>
        <w:widowControl w:val="0"/>
        <w:tabs>
          <w:tab w:val="left" w:pos="420"/>
          <w:tab w:val="left" w:pos="540"/>
        </w:tabs>
        <w:kinsoku/>
        <w:wordWrap/>
        <w:topLinePunct w:val="0"/>
        <w:autoSpaceDE/>
        <w:autoSpaceDN/>
        <w:bidi w:val="0"/>
        <w:adjustRightInd/>
        <w:snapToGrid/>
        <w:spacing w:line="460" w:lineRule="atLeast"/>
        <w:textAlignment w:val="auto"/>
        <w:rPr>
          <w:color w:val="auto"/>
          <w:sz w:val="22"/>
          <w:szCs w:val="22"/>
          <w:highlight w:val="none"/>
        </w:rPr>
      </w:pPr>
      <w:r>
        <w:rPr>
          <w:color w:val="auto"/>
          <w:sz w:val="22"/>
          <w:szCs w:val="22"/>
          <w:highlight w:val="none"/>
        </w:rPr>
        <w:t>16.投标文件的递交</w:t>
      </w:r>
    </w:p>
    <w:p w14:paraId="535426DA">
      <w:pPr>
        <w:keepNext w:val="0"/>
        <w:keepLines w:val="0"/>
        <w:pageBreakBefore w:val="0"/>
        <w:widowControl w:val="0"/>
        <w:numPr>
          <w:ilvl w:val="1"/>
          <w:numId w:val="6"/>
        </w:numPr>
        <w:tabs>
          <w:tab w:val="left" w:pos="535"/>
          <w:tab w:val="clear" w:pos="992"/>
        </w:tabs>
        <w:kinsoku/>
        <w:wordWrap/>
        <w:overflowPunct w:val="0"/>
        <w:topLinePunct w:val="0"/>
        <w:autoSpaceDE/>
        <w:autoSpaceDN/>
        <w:bidi w:val="0"/>
        <w:adjustRightInd/>
        <w:snapToGrid/>
        <w:spacing w:line="460" w:lineRule="atLeast"/>
        <w:ind w:left="535" w:hanging="535"/>
        <w:textAlignment w:val="auto"/>
        <w:rPr>
          <w:color w:val="auto"/>
          <w:sz w:val="22"/>
          <w:szCs w:val="22"/>
          <w:highlight w:val="none"/>
        </w:rPr>
      </w:pPr>
      <w:r>
        <w:rPr>
          <w:color w:val="auto"/>
          <w:sz w:val="22"/>
          <w:szCs w:val="22"/>
          <w:highlight w:val="none"/>
        </w:rPr>
        <w:t>投标文件必须在规定的投标截止时间前送达到指定的收标地点。</w:t>
      </w:r>
    </w:p>
    <w:p w14:paraId="6912DCAF">
      <w:pPr>
        <w:keepNext w:val="0"/>
        <w:keepLines w:val="0"/>
        <w:pageBreakBefore w:val="0"/>
        <w:widowControl w:val="0"/>
        <w:numPr>
          <w:ilvl w:val="1"/>
          <w:numId w:val="6"/>
        </w:numPr>
        <w:tabs>
          <w:tab w:val="left" w:pos="540"/>
          <w:tab w:val="clear" w:pos="992"/>
        </w:tabs>
        <w:kinsoku/>
        <w:wordWrap/>
        <w:overflowPunct w:val="0"/>
        <w:topLinePunct w:val="0"/>
        <w:autoSpaceDE/>
        <w:autoSpaceDN/>
        <w:bidi w:val="0"/>
        <w:adjustRightInd/>
        <w:snapToGrid/>
        <w:spacing w:line="460" w:lineRule="atLeast"/>
        <w:ind w:left="540" w:hanging="540"/>
        <w:textAlignment w:val="auto"/>
        <w:rPr>
          <w:bCs/>
          <w:color w:val="auto"/>
          <w:sz w:val="22"/>
          <w:szCs w:val="22"/>
          <w:highlight w:val="none"/>
        </w:rPr>
      </w:pPr>
      <w:r>
        <w:rPr>
          <w:b/>
          <w:color w:val="auto"/>
          <w:sz w:val="22"/>
          <w:szCs w:val="22"/>
          <w:highlight w:val="none"/>
        </w:rPr>
        <w:t>投标供应商在</w:t>
      </w:r>
      <w:bookmarkStart w:id="126" w:name="_Hlk522094574"/>
      <w:r>
        <w:rPr>
          <w:b/>
          <w:color w:val="auto"/>
          <w:sz w:val="22"/>
          <w:szCs w:val="22"/>
          <w:highlight w:val="none"/>
        </w:rPr>
        <w:t>递交</w:t>
      </w:r>
      <w:bookmarkEnd w:id="126"/>
      <w:r>
        <w:rPr>
          <w:b/>
          <w:color w:val="auto"/>
          <w:sz w:val="22"/>
          <w:szCs w:val="22"/>
          <w:highlight w:val="none"/>
        </w:rPr>
        <w:t>投标文件同时递交以下证明文件：</w:t>
      </w:r>
    </w:p>
    <w:p w14:paraId="2166F5AE">
      <w:pPr>
        <w:keepNext w:val="0"/>
        <w:keepLines w:val="0"/>
        <w:pageBreakBefore w:val="0"/>
        <w:widowControl w:val="0"/>
        <w:numPr>
          <w:ilvl w:val="0"/>
          <w:numId w:val="7"/>
        </w:numPr>
        <w:tabs>
          <w:tab w:val="left" w:pos="1070"/>
          <w:tab w:val="clear" w:pos="420"/>
        </w:tabs>
        <w:kinsoku/>
        <w:wordWrap/>
        <w:overflowPunct w:val="0"/>
        <w:topLinePunct w:val="0"/>
        <w:autoSpaceDE/>
        <w:autoSpaceDN/>
        <w:bidi w:val="0"/>
        <w:adjustRightInd/>
        <w:snapToGrid/>
        <w:spacing w:line="460" w:lineRule="atLeast"/>
        <w:ind w:left="1070" w:hanging="428"/>
        <w:textAlignment w:val="auto"/>
        <w:rPr>
          <w:b/>
          <w:color w:val="auto"/>
          <w:sz w:val="22"/>
          <w:szCs w:val="22"/>
          <w:highlight w:val="none"/>
        </w:rPr>
      </w:pPr>
      <w:r>
        <w:rPr>
          <w:b/>
          <w:color w:val="auto"/>
          <w:sz w:val="22"/>
          <w:szCs w:val="22"/>
          <w:highlight w:val="none"/>
        </w:rPr>
        <w:t>投标保证金收据（原件或复制件）</w:t>
      </w:r>
    </w:p>
    <w:p w14:paraId="78B457CF">
      <w:pPr>
        <w:keepNext w:val="0"/>
        <w:keepLines w:val="0"/>
        <w:pageBreakBefore w:val="0"/>
        <w:widowControl w:val="0"/>
        <w:numPr>
          <w:ilvl w:val="0"/>
          <w:numId w:val="7"/>
        </w:numPr>
        <w:tabs>
          <w:tab w:val="left" w:pos="1070"/>
          <w:tab w:val="clear" w:pos="420"/>
        </w:tabs>
        <w:kinsoku/>
        <w:wordWrap/>
        <w:overflowPunct w:val="0"/>
        <w:topLinePunct w:val="0"/>
        <w:autoSpaceDE/>
        <w:autoSpaceDN/>
        <w:bidi w:val="0"/>
        <w:adjustRightInd/>
        <w:snapToGrid/>
        <w:spacing w:line="460" w:lineRule="atLeast"/>
        <w:ind w:left="1070" w:hanging="428"/>
        <w:textAlignment w:val="auto"/>
        <w:rPr>
          <w:b/>
          <w:color w:val="auto"/>
          <w:sz w:val="22"/>
          <w:szCs w:val="22"/>
          <w:highlight w:val="none"/>
        </w:rPr>
      </w:pPr>
      <w:r>
        <w:rPr>
          <w:b/>
          <w:color w:val="auto"/>
          <w:sz w:val="22"/>
          <w:szCs w:val="22"/>
          <w:highlight w:val="none"/>
        </w:rPr>
        <w:t>法定代表人（法定负责人）授权书原件及授权代表有效身份证明原件（若投标供应商代表为法定代表人（法定负责人）只需提交法定代表人（法定负责人）身份证明原件),如法定代表人（法定负责人）授权书原件密封在投标文件资格文件中，在资格文件开启后经查验符合要求亦为有效；</w:t>
      </w:r>
    </w:p>
    <w:p w14:paraId="48C15AA1">
      <w:pPr>
        <w:keepNext w:val="0"/>
        <w:keepLines w:val="0"/>
        <w:pageBreakBefore w:val="0"/>
        <w:widowControl w:val="0"/>
        <w:numPr>
          <w:ilvl w:val="0"/>
          <w:numId w:val="7"/>
        </w:numPr>
        <w:tabs>
          <w:tab w:val="left" w:pos="1070"/>
          <w:tab w:val="clear" w:pos="420"/>
        </w:tabs>
        <w:kinsoku/>
        <w:wordWrap/>
        <w:overflowPunct w:val="0"/>
        <w:topLinePunct w:val="0"/>
        <w:autoSpaceDE/>
        <w:autoSpaceDN/>
        <w:bidi w:val="0"/>
        <w:adjustRightInd/>
        <w:snapToGrid/>
        <w:spacing w:line="460" w:lineRule="atLeast"/>
        <w:ind w:left="1070" w:hanging="428"/>
        <w:textAlignment w:val="auto"/>
        <w:rPr>
          <w:b/>
          <w:color w:val="auto"/>
          <w:sz w:val="22"/>
          <w:szCs w:val="22"/>
          <w:highlight w:val="none"/>
        </w:rPr>
      </w:pPr>
      <w:r>
        <w:rPr>
          <w:b/>
          <w:color w:val="auto"/>
          <w:sz w:val="22"/>
          <w:szCs w:val="22"/>
          <w:highlight w:val="none"/>
        </w:rPr>
        <w:t>营业执照（或法人登记证书）复制件（加盖公章，如密封在投标文件资格文件中，在资格文件开启后经查验符合要求亦为有效）。</w:t>
      </w:r>
    </w:p>
    <w:p w14:paraId="1BCB2D54">
      <w:pPr>
        <w:pStyle w:val="9"/>
        <w:keepNext w:val="0"/>
        <w:keepLines w:val="0"/>
        <w:pageBreakBefore w:val="0"/>
        <w:widowControl w:val="0"/>
        <w:kinsoku/>
        <w:wordWrap/>
        <w:topLinePunct w:val="0"/>
        <w:autoSpaceDE/>
        <w:autoSpaceDN/>
        <w:bidi w:val="0"/>
        <w:adjustRightInd/>
        <w:snapToGrid/>
        <w:spacing w:line="460" w:lineRule="atLeast"/>
        <w:ind w:left="440" w:hanging="440"/>
        <w:textAlignment w:val="auto"/>
        <w:rPr>
          <w:color w:val="auto"/>
          <w:highlight w:val="none"/>
        </w:rPr>
      </w:pPr>
      <w:r>
        <w:rPr>
          <w:color w:val="auto"/>
          <w:sz w:val="22"/>
          <w:szCs w:val="22"/>
          <w:highlight w:val="none"/>
        </w:rPr>
        <w:t>注：身份证明原件在递交现场经采购代理机构核验后予以退还。</w:t>
      </w:r>
    </w:p>
    <w:p w14:paraId="7B50847D">
      <w:pPr>
        <w:keepNext w:val="0"/>
        <w:keepLines w:val="0"/>
        <w:pageBreakBefore w:val="0"/>
        <w:widowControl w:val="0"/>
        <w:tabs>
          <w:tab w:val="left" w:pos="420"/>
          <w:tab w:val="left" w:pos="540"/>
        </w:tabs>
        <w:kinsoku/>
        <w:wordWrap/>
        <w:topLinePunct w:val="0"/>
        <w:autoSpaceDE/>
        <w:autoSpaceDN/>
        <w:bidi w:val="0"/>
        <w:adjustRightInd/>
        <w:snapToGrid/>
        <w:spacing w:line="460" w:lineRule="atLeast"/>
        <w:textAlignment w:val="auto"/>
        <w:rPr>
          <w:color w:val="auto"/>
          <w:sz w:val="22"/>
          <w:szCs w:val="22"/>
          <w:highlight w:val="none"/>
        </w:rPr>
      </w:pPr>
      <w:r>
        <w:rPr>
          <w:color w:val="auto"/>
          <w:sz w:val="22"/>
          <w:szCs w:val="22"/>
          <w:highlight w:val="none"/>
        </w:rPr>
        <w:t>17.投标文件的修改和撤回</w:t>
      </w:r>
    </w:p>
    <w:p w14:paraId="6389DFD7">
      <w:pPr>
        <w:keepNext w:val="0"/>
        <w:keepLines w:val="0"/>
        <w:pageBreakBefore w:val="0"/>
        <w:widowControl w:val="0"/>
        <w:numPr>
          <w:ilvl w:val="1"/>
          <w:numId w:val="8"/>
        </w:numPr>
        <w:tabs>
          <w:tab w:val="left" w:pos="535"/>
          <w:tab w:val="clear" w:pos="992"/>
        </w:tabs>
        <w:kinsoku/>
        <w:wordWrap/>
        <w:overflowPunct w:val="0"/>
        <w:topLinePunct w:val="0"/>
        <w:autoSpaceDE/>
        <w:autoSpaceDN/>
        <w:bidi w:val="0"/>
        <w:adjustRightInd/>
        <w:snapToGrid/>
        <w:spacing w:line="460" w:lineRule="atLeast"/>
        <w:ind w:left="535" w:hanging="535"/>
        <w:textAlignment w:val="auto"/>
        <w:rPr>
          <w:b/>
          <w:bCs/>
          <w:color w:val="auto"/>
          <w:sz w:val="22"/>
          <w:szCs w:val="22"/>
          <w:highlight w:val="none"/>
        </w:rPr>
      </w:pPr>
      <w:r>
        <w:rPr>
          <w:b/>
          <w:color w:val="auto"/>
          <w:sz w:val="22"/>
          <w:szCs w:val="22"/>
          <w:highlight w:val="none"/>
        </w:rPr>
        <w:t>在投标截止时间前，投标供应商可以用书面形式提出修改或撤回其投标并送达到采购人，但不得影响开标活动的正常进行。</w:t>
      </w:r>
    </w:p>
    <w:p w14:paraId="34775F57">
      <w:pPr>
        <w:keepNext w:val="0"/>
        <w:keepLines w:val="0"/>
        <w:pageBreakBefore w:val="0"/>
        <w:widowControl w:val="0"/>
        <w:numPr>
          <w:ilvl w:val="1"/>
          <w:numId w:val="8"/>
        </w:numPr>
        <w:tabs>
          <w:tab w:val="left" w:pos="540"/>
          <w:tab w:val="clear" w:pos="992"/>
        </w:tabs>
        <w:kinsoku/>
        <w:wordWrap/>
        <w:overflowPunct w:val="0"/>
        <w:topLinePunct w:val="0"/>
        <w:autoSpaceDE/>
        <w:autoSpaceDN/>
        <w:bidi w:val="0"/>
        <w:adjustRightInd/>
        <w:snapToGrid/>
        <w:spacing w:line="460" w:lineRule="atLeast"/>
        <w:ind w:left="540" w:hanging="540"/>
        <w:textAlignment w:val="auto"/>
        <w:rPr>
          <w:color w:val="auto"/>
          <w:sz w:val="22"/>
          <w:szCs w:val="22"/>
          <w:highlight w:val="none"/>
        </w:rPr>
      </w:pPr>
      <w:r>
        <w:rPr>
          <w:bCs/>
          <w:color w:val="auto"/>
          <w:sz w:val="22"/>
          <w:szCs w:val="22"/>
          <w:highlight w:val="none"/>
        </w:rPr>
        <w:t>“投标文件修改”或“投标文件撤回通知”都应密封并在密封袋上写明投标项目名称、编号、投标单位名称，并注明“投标文件修改”或“投标文件撤回通知”字样。</w:t>
      </w:r>
    </w:p>
    <w:p w14:paraId="49264C2D">
      <w:pPr>
        <w:keepNext w:val="0"/>
        <w:keepLines w:val="0"/>
        <w:pageBreakBefore w:val="0"/>
        <w:widowControl w:val="0"/>
        <w:numPr>
          <w:ilvl w:val="1"/>
          <w:numId w:val="8"/>
        </w:numPr>
        <w:tabs>
          <w:tab w:val="left" w:pos="540"/>
          <w:tab w:val="clear" w:pos="992"/>
        </w:tabs>
        <w:kinsoku/>
        <w:wordWrap/>
        <w:overflowPunct w:val="0"/>
        <w:topLinePunct w:val="0"/>
        <w:autoSpaceDE/>
        <w:autoSpaceDN/>
        <w:bidi w:val="0"/>
        <w:adjustRightInd/>
        <w:snapToGrid/>
        <w:spacing w:line="460" w:lineRule="atLeast"/>
        <w:ind w:left="540" w:hanging="540"/>
        <w:textAlignment w:val="auto"/>
        <w:rPr>
          <w:color w:val="auto"/>
          <w:sz w:val="22"/>
          <w:szCs w:val="22"/>
          <w:highlight w:val="none"/>
        </w:rPr>
      </w:pPr>
      <w:r>
        <w:rPr>
          <w:bCs/>
          <w:color w:val="auto"/>
          <w:sz w:val="22"/>
          <w:szCs w:val="22"/>
          <w:highlight w:val="none"/>
        </w:rPr>
        <w:t>从投标截止日期起至投标有效期满这段时间内，投标供应商不得撤回其投标，否则投标保证金将</w:t>
      </w:r>
      <w:r>
        <w:rPr>
          <w:color w:val="auto"/>
          <w:sz w:val="22"/>
          <w:szCs w:val="22"/>
          <w:highlight w:val="none"/>
        </w:rPr>
        <w:t>被不予退还。</w:t>
      </w:r>
    </w:p>
    <w:p w14:paraId="2D95DA37">
      <w:pPr>
        <w:keepNext w:val="0"/>
        <w:keepLines w:val="0"/>
        <w:pageBreakBefore w:val="0"/>
        <w:widowControl w:val="0"/>
        <w:tabs>
          <w:tab w:val="left" w:pos="420"/>
          <w:tab w:val="left" w:pos="540"/>
        </w:tabs>
        <w:kinsoku/>
        <w:wordWrap/>
        <w:topLinePunct w:val="0"/>
        <w:autoSpaceDE/>
        <w:autoSpaceDN/>
        <w:bidi w:val="0"/>
        <w:adjustRightInd/>
        <w:snapToGrid/>
        <w:spacing w:line="460" w:lineRule="atLeast"/>
        <w:textAlignment w:val="auto"/>
        <w:rPr>
          <w:color w:val="auto"/>
          <w:sz w:val="22"/>
          <w:szCs w:val="22"/>
          <w:highlight w:val="none"/>
        </w:rPr>
      </w:pPr>
      <w:r>
        <w:rPr>
          <w:color w:val="auto"/>
          <w:sz w:val="22"/>
          <w:szCs w:val="22"/>
          <w:highlight w:val="none"/>
        </w:rPr>
        <w:t>18.发生下列情况之一的投标文件将拒收：</w:t>
      </w:r>
    </w:p>
    <w:p w14:paraId="698D2363">
      <w:pPr>
        <w:keepNext w:val="0"/>
        <w:keepLines w:val="0"/>
        <w:pageBreakBefore w:val="0"/>
        <w:widowControl w:val="0"/>
        <w:numPr>
          <w:ilvl w:val="1"/>
          <w:numId w:val="9"/>
        </w:numPr>
        <w:tabs>
          <w:tab w:val="left" w:pos="535"/>
          <w:tab w:val="clear" w:pos="992"/>
        </w:tabs>
        <w:kinsoku/>
        <w:wordWrap/>
        <w:overflowPunct w:val="0"/>
        <w:topLinePunct w:val="0"/>
        <w:autoSpaceDE/>
        <w:autoSpaceDN/>
        <w:bidi w:val="0"/>
        <w:adjustRightInd/>
        <w:snapToGrid/>
        <w:spacing w:line="460" w:lineRule="atLeast"/>
        <w:ind w:left="535" w:hanging="535"/>
        <w:textAlignment w:val="auto"/>
        <w:rPr>
          <w:b/>
          <w:color w:val="auto"/>
          <w:sz w:val="22"/>
          <w:szCs w:val="22"/>
          <w:highlight w:val="none"/>
        </w:rPr>
      </w:pPr>
      <w:r>
        <w:rPr>
          <w:b/>
          <w:bCs/>
          <w:color w:val="auto"/>
          <w:sz w:val="22"/>
          <w:szCs w:val="22"/>
          <w:highlight w:val="none"/>
        </w:rPr>
        <w:t>在投标截止时间以后送达的投标文件；</w:t>
      </w:r>
    </w:p>
    <w:p w14:paraId="364B25BB">
      <w:pPr>
        <w:keepNext w:val="0"/>
        <w:keepLines w:val="0"/>
        <w:pageBreakBefore w:val="0"/>
        <w:widowControl w:val="0"/>
        <w:numPr>
          <w:ilvl w:val="1"/>
          <w:numId w:val="9"/>
        </w:numPr>
        <w:tabs>
          <w:tab w:val="left" w:pos="540"/>
          <w:tab w:val="clear" w:pos="992"/>
        </w:tabs>
        <w:kinsoku/>
        <w:wordWrap/>
        <w:overflowPunct w:val="0"/>
        <w:topLinePunct w:val="0"/>
        <w:autoSpaceDE/>
        <w:autoSpaceDN/>
        <w:bidi w:val="0"/>
        <w:adjustRightInd/>
        <w:snapToGrid/>
        <w:spacing w:line="460" w:lineRule="atLeast"/>
        <w:ind w:left="540" w:hanging="540"/>
        <w:textAlignment w:val="auto"/>
        <w:rPr>
          <w:b/>
          <w:color w:val="auto"/>
          <w:sz w:val="22"/>
          <w:szCs w:val="22"/>
          <w:highlight w:val="none"/>
        </w:rPr>
      </w:pPr>
      <w:r>
        <w:rPr>
          <w:b/>
          <w:color w:val="auto"/>
          <w:sz w:val="22"/>
          <w:szCs w:val="22"/>
          <w:highlight w:val="none"/>
        </w:rPr>
        <w:t>未在投标截止时间前缴纳投标保证金的；</w:t>
      </w:r>
    </w:p>
    <w:p w14:paraId="7B3A7664">
      <w:pPr>
        <w:keepNext w:val="0"/>
        <w:keepLines w:val="0"/>
        <w:pageBreakBefore w:val="0"/>
        <w:widowControl w:val="0"/>
        <w:numPr>
          <w:ilvl w:val="1"/>
          <w:numId w:val="9"/>
        </w:numPr>
        <w:tabs>
          <w:tab w:val="left" w:pos="540"/>
          <w:tab w:val="clear" w:pos="992"/>
        </w:tabs>
        <w:kinsoku/>
        <w:wordWrap/>
        <w:overflowPunct w:val="0"/>
        <w:topLinePunct w:val="0"/>
        <w:autoSpaceDE/>
        <w:autoSpaceDN/>
        <w:bidi w:val="0"/>
        <w:adjustRightInd/>
        <w:snapToGrid/>
        <w:spacing w:line="460" w:lineRule="atLeast"/>
        <w:ind w:left="540" w:hanging="540"/>
        <w:textAlignment w:val="auto"/>
        <w:rPr>
          <w:b/>
          <w:color w:val="auto"/>
          <w:sz w:val="22"/>
          <w:szCs w:val="22"/>
          <w:highlight w:val="none"/>
        </w:rPr>
      </w:pPr>
      <w:r>
        <w:rPr>
          <w:b/>
          <w:color w:val="auto"/>
          <w:sz w:val="22"/>
          <w:szCs w:val="22"/>
          <w:highlight w:val="none"/>
        </w:rPr>
        <w:t>未密封的投标文件及由于包装不妥在送达途中严重破损或失散的投标文件；</w:t>
      </w:r>
    </w:p>
    <w:p w14:paraId="1200076F">
      <w:pPr>
        <w:keepNext w:val="0"/>
        <w:keepLines w:val="0"/>
        <w:pageBreakBefore w:val="0"/>
        <w:widowControl w:val="0"/>
        <w:numPr>
          <w:ilvl w:val="1"/>
          <w:numId w:val="9"/>
        </w:numPr>
        <w:tabs>
          <w:tab w:val="left" w:pos="540"/>
          <w:tab w:val="clear" w:pos="992"/>
        </w:tabs>
        <w:kinsoku/>
        <w:wordWrap/>
        <w:overflowPunct w:val="0"/>
        <w:topLinePunct w:val="0"/>
        <w:autoSpaceDE/>
        <w:autoSpaceDN/>
        <w:bidi w:val="0"/>
        <w:adjustRightInd/>
        <w:snapToGrid/>
        <w:spacing w:line="460" w:lineRule="atLeast"/>
        <w:ind w:left="540" w:hanging="540"/>
        <w:textAlignment w:val="auto"/>
        <w:rPr>
          <w:b/>
          <w:color w:val="auto"/>
          <w:sz w:val="22"/>
          <w:szCs w:val="22"/>
          <w:highlight w:val="none"/>
        </w:rPr>
      </w:pPr>
      <w:r>
        <w:rPr>
          <w:rFonts w:hint="eastAsia"/>
          <w:b/>
          <w:color w:val="auto"/>
          <w:sz w:val="22"/>
          <w:szCs w:val="22"/>
          <w:highlight w:val="none"/>
          <w:lang w:eastAsia="zh-CN"/>
        </w:rPr>
        <w:t>商务技术文件</w:t>
      </w:r>
      <w:r>
        <w:rPr>
          <w:b/>
          <w:color w:val="auto"/>
          <w:sz w:val="22"/>
          <w:szCs w:val="22"/>
          <w:highlight w:val="none"/>
        </w:rPr>
        <w:t>与</w:t>
      </w:r>
      <w:r>
        <w:rPr>
          <w:rFonts w:hint="eastAsia"/>
          <w:b/>
          <w:color w:val="auto"/>
          <w:sz w:val="22"/>
          <w:szCs w:val="22"/>
          <w:highlight w:val="none"/>
          <w:lang w:eastAsia="zh-CN"/>
        </w:rPr>
        <w:t>报价文件</w:t>
      </w:r>
      <w:r>
        <w:rPr>
          <w:b/>
          <w:color w:val="auto"/>
          <w:sz w:val="22"/>
          <w:szCs w:val="22"/>
          <w:highlight w:val="none"/>
        </w:rPr>
        <w:t>未分别包装密封的投标文件；</w:t>
      </w:r>
    </w:p>
    <w:p w14:paraId="05F1E5B3">
      <w:pPr>
        <w:keepNext w:val="0"/>
        <w:keepLines w:val="0"/>
        <w:pageBreakBefore w:val="0"/>
        <w:widowControl w:val="0"/>
        <w:numPr>
          <w:ilvl w:val="1"/>
          <w:numId w:val="9"/>
        </w:numPr>
        <w:tabs>
          <w:tab w:val="left" w:pos="540"/>
          <w:tab w:val="clear" w:pos="992"/>
        </w:tabs>
        <w:kinsoku/>
        <w:wordWrap/>
        <w:overflowPunct w:val="0"/>
        <w:topLinePunct w:val="0"/>
        <w:autoSpaceDE/>
        <w:autoSpaceDN/>
        <w:bidi w:val="0"/>
        <w:adjustRightInd/>
        <w:snapToGrid/>
        <w:spacing w:line="460" w:lineRule="atLeast"/>
        <w:ind w:left="540" w:hanging="540"/>
        <w:textAlignment w:val="auto"/>
        <w:rPr>
          <w:b/>
          <w:color w:val="auto"/>
          <w:sz w:val="22"/>
          <w:szCs w:val="22"/>
          <w:highlight w:val="none"/>
        </w:rPr>
      </w:pPr>
      <w:r>
        <w:rPr>
          <w:b/>
          <w:color w:val="auto"/>
          <w:sz w:val="22"/>
          <w:szCs w:val="22"/>
          <w:highlight w:val="none"/>
        </w:rPr>
        <w:t>以电讯形式递交的投标文件；</w:t>
      </w:r>
    </w:p>
    <w:p w14:paraId="0E516592">
      <w:pPr>
        <w:keepNext w:val="0"/>
        <w:keepLines w:val="0"/>
        <w:pageBreakBefore w:val="0"/>
        <w:widowControl w:val="0"/>
        <w:numPr>
          <w:ilvl w:val="1"/>
          <w:numId w:val="9"/>
        </w:numPr>
        <w:tabs>
          <w:tab w:val="left" w:pos="540"/>
          <w:tab w:val="clear" w:pos="992"/>
        </w:tabs>
        <w:kinsoku/>
        <w:wordWrap/>
        <w:overflowPunct w:val="0"/>
        <w:topLinePunct w:val="0"/>
        <w:autoSpaceDE/>
        <w:autoSpaceDN/>
        <w:bidi w:val="0"/>
        <w:adjustRightInd/>
        <w:snapToGrid/>
        <w:spacing w:line="460" w:lineRule="atLeast"/>
        <w:ind w:left="540" w:hanging="540"/>
        <w:textAlignment w:val="auto"/>
        <w:rPr>
          <w:b/>
          <w:color w:val="auto"/>
          <w:sz w:val="22"/>
          <w:szCs w:val="22"/>
          <w:highlight w:val="none"/>
        </w:rPr>
      </w:pPr>
      <w:r>
        <w:rPr>
          <w:b/>
          <w:bCs/>
          <w:color w:val="auto"/>
          <w:sz w:val="22"/>
          <w:szCs w:val="22"/>
          <w:highlight w:val="none"/>
        </w:rPr>
        <w:t>未按采购公告要求获取采购文件。</w:t>
      </w:r>
    </w:p>
    <w:p w14:paraId="18A17D9F">
      <w:pPr>
        <w:tabs>
          <w:tab w:val="left" w:pos="360"/>
          <w:tab w:val="left" w:pos="540"/>
          <w:tab w:val="left" w:pos="1260"/>
        </w:tabs>
        <w:overflowPunct w:val="0"/>
        <w:spacing w:before="100" w:beforeAutospacing="1" w:after="100" w:afterAutospacing="1" w:line="440" w:lineRule="exact"/>
        <w:ind w:left="919" w:hanging="919" w:hangingChars="352"/>
        <w:jc w:val="center"/>
        <w:outlineLvl w:val="0"/>
        <w:rPr>
          <w:color w:val="auto"/>
          <w:sz w:val="22"/>
          <w:szCs w:val="22"/>
          <w:highlight w:val="none"/>
        </w:rPr>
      </w:pPr>
      <w:bookmarkStart w:id="127" w:name="_Toc223715999"/>
      <w:bookmarkStart w:id="128" w:name="_Toc245191315"/>
      <w:bookmarkStart w:id="129" w:name="_Toc252194853"/>
      <w:bookmarkStart w:id="130" w:name="_Toc15669"/>
      <w:bookmarkStart w:id="131" w:name="_Toc221356952"/>
      <w:bookmarkStart w:id="132" w:name="_Toc245722282"/>
      <w:bookmarkStart w:id="133" w:name="_Toc246261266"/>
      <w:bookmarkStart w:id="134" w:name="_Toc241404203"/>
      <w:bookmarkStart w:id="135" w:name="_Toc221423620"/>
      <w:bookmarkStart w:id="136" w:name="_Toc3799548"/>
      <w:bookmarkStart w:id="137" w:name="_Toc239145355"/>
      <w:bookmarkStart w:id="138" w:name="_Toc522645676"/>
      <w:bookmarkStart w:id="139" w:name="_Toc221374627"/>
      <w:bookmarkStart w:id="140" w:name="_Toc251592738"/>
      <w:bookmarkStart w:id="141" w:name="_Toc251325215"/>
      <w:bookmarkStart w:id="142" w:name="_Toc221356888"/>
      <w:bookmarkStart w:id="143" w:name="_Toc222114880"/>
      <w:r>
        <w:rPr>
          <w:b/>
          <w:bCs/>
          <w:color w:val="auto"/>
          <w:sz w:val="26"/>
          <w:szCs w:val="26"/>
          <w:highlight w:val="none"/>
        </w:rPr>
        <w:t>五、 开标和评标</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576E88B9">
      <w:pPr>
        <w:tabs>
          <w:tab w:val="left" w:pos="420"/>
          <w:tab w:val="left" w:pos="540"/>
        </w:tabs>
        <w:spacing w:line="460" w:lineRule="exact"/>
        <w:rPr>
          <w:color w:val="auto"/>
          <w:sz w:val="22"/>
          <w:szCs w:val="22"/>
          <w:highlight w:val="none"/>
        </w:rPr>
      </w:pPr>
      <w:r>
        <w:rPr>
          <w:color w:val="auto"/>
          <w:sz w:val="22"/>
          <w:szCs w:val="22"/>
          <w:highlight w:val="none"/>
        </w:rPr>
        <w:t>19.评标委员会</w:t>
      </w:r>
    </w:p>
    <w:p w14:paraId="4C38DA20">
      <w:pPr>
        <w:tabs>
          <w:tab w:val="left" w:pos="540"/>
        </w:tabs>
        <w:overflowPunct w:val="0"/>
        <w:spacing w:line="460" w:lineRule="exact"/>
        <w:ind w:left="550" w:hanging="550" w:hangingChars="250"/>
        <w:rPr>
          <w:color w:val="auto"/>
          <w:sz w:val="22"/>
          <w:szCs w:val="22"/>
          <w:highlight w:val="none"/>
        </w:rPr>
      </w:pPr>
      <w:r>
        <w:rPr>
          <w:color w:val="auto"/>
          <w:sz w:val="22"/>
          <w:szCs w:val="22"/>
          <w:highlight w:val="none"/>
        </w:rPr>
        <w:t xml:space="preserve">     </w:t>
      </w:r>
      <w:r>
        <w:rPr>
          <w:color w:val="auto"/>
          <w:kern w:val="0"/>
          <w:sz w:val="22"/>
          <w:szCs w:val="22"/>
          <w:highlight w:val="none"/>
        </w:rPr>
        <w:t>评标委员会成员由采购人依法组建。</w:t>
      </w:r>
    </w:p>
    <w:p w14:paraId="49697540">
      <w:pPr>
        <w:tabs>
          <w:tab w:val="left" w:pos="420"/>
          <w:tab w:val="left" w:pos="540"/>
        </w:tabs>
        <w:spacing w:line="460" w:lineRule="exact"/>
        <w:rPr>
          <w:color w:val="auto"/>
          <w:sz w:val="22"/>
          <w:szCs w:val="22"/>
          <w:highlight w:val="none"/>
        </w:rPr>
      </w:pPr>
      <w:r>
        <w:rPr>
          <w:color w:val="auto"/>
          <w:sz w:val="22"/>
          <w:szCs w:val="22"/>
          <w:highlight w:val="none"/>
        </w:rPr>
        <w:t>20.评标过程的保密性</w:t>
      </w:r>
    </w:p>
    <w:p w14:paraId="7139A0E6">
      <w:pPr>
        <w:overflowPunct w:val="0"/>
        <w:spacing w:line="440" w:lineRule="exact"/>
        <w:ind w:left="540" w:leftChars="257"/>
        <w:rPr>
          <w:b/>
          <w:bCs/>
          <w:color w:val="auto"/>
          <w:sz w:val="22"/>
          <w:szCs w:val="22"/>
          <w:highlight w:val="none"/>
        </w:rPr>
      </w:pPr>
      <w:r>
        <w:rPr>
          <w:b/>
          <w:bCs/>
          <w:color w:val="auto"/>
          <w:sz w:val="22"/>
          <w:szCs w:val="22"/>
          <w:highlight w:val="none"/>
        </w:rPr>
        <w:t>凡与评审有关的资料均不得向投标供应商及与评标无关人员透露。如果投标供应商在评标过程中试图向采购人、采购代理机构或评标委员会成员施加影响，其投标将被拒绝。</w:t>
      </w:r>
    </w:p>
    <w:p w14:paraId="5F24222B">
      <w:pPr>
        <w:tabs>
          <w:tab w:val="left" w:pos="420"/>
          <w:tab w:val="left" w:pos="540"/>
        </w:tabs>
        <w:spacing w:line="460" w:lineRule="exact"/>
        <w:rPr>
          <w:color w:val="auto"/>
          <w:sz w:val="22"/>
          <w:szCs w:val="22"/>
          <w:highlight w:val="none"/>
        </w:rPr>
      </w:pPr>
      <w:r>
        <w:rPr>
          <w:color w:val="auto"/>
          <w:sz w:val="22"/>
          <w:szCs w:val="22"/>
          <w:highlight w:val="none"/>
        </w:rPr>
        <w:t>21.开标、评标</w:t>
      </w:r>
    </w:p>
    <w:p w14:paraId="2DD38595">
      <w:pPr>
        <w:numPr>
          <w:ilvl w:val="1"/>
          <w:numId w:val="10"/>
        </w:numPr>
        <w:tabs>
          <w:tab w:val="left" w:pos="535"/>
          <w:tab w:val="clear" w:pos="992"/>
        </w:tabs>
        <w:overflowPunct w:val="0"/>
        <w:spacing w:line="440" w:lineRule="exact"/>
        <w:ind w:left="535" w:hanging="535"/>
        <w:rPr>
          <w:b/>
          <w:bCs/>
          <w:color w:val="auto"/>
          <w:sz w:val="22"/>
          <w:szCs w:val="22"/>
          <w:highlight w:val="none"/>
        </w:rPr>
      </w:pPr>
      <w:r>
        <w:rPr>
          <w:bCs/>
          <w:color w:val="auto"/>
          <w:sz w:val="22"/>
          <w:szCs w:val="22"/>
          <w:highlight w:val="none"/>
        </w:rPr>
        <w:t>采购代理机构按采购文件规定的时间、地点开启</w:t>
      </w:r>
      <w:r>
        <w:rPr>
          <w:rFonts w:hint="eastAsia"/>
          <w:bCs/>
          <w:color w:val="auto"/>
          <w:sz w:val="22"/>
          <w:szCs w:val="22"/>
          <w:highlight w:val="none"/>
          <w:lang w:val="en-US" w:eastAsia="zh-CN"/>
        </w:rPr>
        <w:t>所有投标</w:t>
      </w:r>
      <w:r>
        <w:rPr>
          <w:rFonts w:hint="eastAsia"/>
          <w:bCs/>
          <w:color w:val="auto"/>
          <w:sz w:val="22"/>
          <w:szCs w:val="22"/>
          <w:highlight w:val="none"/>
          <w:lang w:eastAsia="zh-CN"/>
        </w:rPr>
        <w:t>文件</w:t>
      </w:r>
      <w:r>
        <w:rPr>
          <w:bCs/>
          <w:color w:val="auto"/>
          <w:sz w:val="22"/>
          <w:szCs w:val="22"/>
          <w:highlight w:val="none"/>
        </w:rPr>
        <w:t>。开标前，首先检查</w:t>
      </w:r>
      <w:r>
        <w:rPr>
          <w:rFonts w:hint="eastAsia"/>
          <w:bCs/>
          <w:color w:val="auto"/>
          <w:sz w:val="22"/>
          <w:szCs w:val="22"/>
          <w:highlight w:val="none"/>
          <w:lang w:val="en-US" w:eastAsia="zh-CN"/>
        </w:rPr>
        <w:t>所有投标</w:t>
      </w:r>
      <w:r>
        <w:rPr>
          <w:rFonts w:hint="eastAsia"/>
          <w:bCs/>
          <w:color w:val="auto"/>
          <w:sz w:val="22"/>
          <w:szCs w:val="22"/>
          <w:highlight w:val="none"/>
          <w:lang w:eastAsia="zh-CN"/>
        </w:rPr>
        <w:t>文件</w:t>
      </w:r>
      <w:r>
        <w:rPr>
          <w:bCs/>
          <w:color w:val="auto"/>
          <w:sz w:val="22"/>
          <w:szCs w:val="22"/>
          <w:highlight w:val="none"/>
        </w:rPr>
        <w:t>的密封情况，确认无误后当场开启“</w:t>
      </w:r>
      <w:r>
        <w:rPr>
          <w:rFonts w:hint="eastAsia"/>
          <w:bCs/>
          <w:color w:val="auto"/>
          <w:sz w:val="22"/>
          <w:szCs w:val="22"/>
          <w:highlight w:val="none"/>
          <w:lang w:eastAsia="zh-CN"/>
        </w:rPr>
        <w:t>商务技术文件</w:t>
      </w:r>
      <w:r>
        <w:rPr>
          <w:bCs/>
          <w:color w:val="auto"/>
          <w:sz w:val="22"/>
          <w:szCs w:val="22"/>
          <w:highlight w:val="none"/>
        </w:rPr>
        <w:t>”</w:t>
      </w:r>
      <w:r>
        <w:rPr>
          <w:rFonts w:hint="eastAsia"/>
          <w:bCs/>
          <w:color w:val="auto"/>
          <w:sz w:val="22"/>
          <w:szCs w:val="22"/>
          <w:highlight w:val="none"/>
          <w:lang w:eastAsia="zh-CN"/>
        </w:rPr>
        <w:t>、</w:t>
      </w:r>
      <w:r>
        <w:rPr>
          <w:bCs/>
          <w:color w:val="auto"/>
          <w:sz w:val="22"/>
          <w:szCs w:val="22"/>
          <w:highlight w:val="none"/>
        </w:rPr>
        <w:t>“</w:t>
      </w:r>
      <w:r>
        <w:rPr>
          <w:rFonts w:hint="eastAsia"/>
          <w:bCs/>
          <w:color w:val="auto"/>
          <w:sz w:val="22"/>
          <w:szCs w:val="22"/>
          <w:highlight w:val="none"/>
          <w:lang w:val="en-US" w:eastAsia="zh-CN"/>
        </w:rPr>
        <w:t>资格</w:t>
      </w:r>
      <w:r>
        <w:rPr>
          <w:rFonts w:hint="eastAsia"/>
          <w:bCs/>
          <w:color w:val="auto"/>
          <w:sz w:val="22"/>
          <w:szCs w:val="22"/>
          <w:highlight w:val="none"/>
          <w:lang w:eastAsia="zh-CN"/>
        </w:rPr>
        <w:t>文件</w:t>
      </w:r>
      <w:r>
        <w:rPr>
          <w:bCs/>
          <w:color w:val="auto"/>
          <w:sz w:val="22"/>
          <w:szCs w:val="22"/>
          <w:highlight w:val="none"/>
        </w:rPr>
        <w:t>”</w:t>
      </w:r>
      <w:r>
        <w:rPr>
          <w:rFonts w:hint="eastAsia"/>
          <w:bCs/>
          <w:color w:val="auto"/>
          <w:sz w:val="22"/>
          <w:szCs w:val="22"/>
          <w:highlight w:val="none"/>
          <w:lang w:eastAsia="zh-CN"/>
        </w:rPr>
        <w:t>、</w:t>
      </w:r>
      <w:r>
        <w:rPr>
          <w:bCs/>
          <w:color w:val="auto"/>
          <w:sz w:val="22"/>
          <w:szCs w:val="22"/>
          <w:highlight w:val="none"/>
        </w:rPr>
        <w:t>“</w:t>
      </w:r>
      <w:r>
        <w:rPr>
          <w:rFonts w:hint="eastAsia"/>
          <w:bCs/>
          <w:color w:val="auto"/>
          <w:sz w:val="22"/>
          <w:szCs w:val="22"/>
          <w:highlight w:val="none"/>
          <w:lang w:val="en-US" w:eastAsia="zh-CN"/>
        </w:rPr>
        <w:t>报价</w:t>
      </w:r>
      <w:r>
        <w:rPr>
          <w:rFonts w:hint="eastAsia"/>
          <w:bCs/>
          <w:color w:val="auto"/>
          <w:sz w:val="22"/>
          <w:szCs w:val="22"/>
          <w:highlight w:val="none"/>
          <w:lang w:eastAsia="zh-CN"/>
        </w:rPr>
        <w:t>文件</w:t>
      </w:r>
      <w:r>
        <w:rPr>
          <w:bCs/>
          <w:color w:val="auto"/>
          <w:sz w:val="22"/>
          <w:szCs w:val="22"/>
          <w:highlight w:val="none"/>
        </w:rPr>
        <w:t>”。</w:t>
      </w:r>
    </w:p>
    <w:p w14:paraId="705D30C1">
      <w:pPr>
        <w:numPr>
          <w:ilvl w:val="1"/>
          <w:numId w:val="10"/>
        </w:numPr>
        <w:tabs>
          <w:tab w:val="left" w:pos="535"/>
          <w:tab w:val="clear" w:pos="992"/>
        </w:tabs>
        <w:overflowPunct w:val="0"/>
        <w:spacing w:line="440" w:lineRule="exact"/>
        <w:ind w:left="535" w:hanging="535"/>
        <w:rPr>
          <w:bCs/>
          <w:color w:val="auto"/>
          <w:sz w:val="22"/>
          <w:szCs w:val="22"/>
          <w:highlight w:val="none"/>
        </w:rPr>
      </w:pPr>
      <w:r>
        <w:rPr>
          <w:bCs/>
          <w:color w:val="auto"/>
          <w:sz w:val="22"/>
          <w:szCs w:val="22"/>
          <w:highlight w:val="none"/>
        </w:rPr>
        <w:t>投标文件的初审。初审分为资格审查和符合性检查。</w:t>
      </w:r>
    </w:p>
    <w:p w14:paraId="7F718A0E">
      <w:pPr>
        <w:overflowPunct w:val="0"/>
        <w:spacing w:line="440" w:lineRule="exact"/>
        <w:ind w:left="330" w:hanging="330" w:hangingChars="150"/>
        <w:rPr>
          <w:bCs/>
          <w:color w:val="auto"/>
          <w:sz w:val="22"/>
          <w:szCs w:val="22"/>
          <w:highlight w:val="none"/>
        </w:rPr>
      </w:pPr>
      <w:r>
        <w:rPr>
          <w:bCs/>
          <w:color w:val="auto"/>
          <w:sz w:val="22"/>
          <w:szCs w:val="22"/>
          <w:highlight w:val="none"/>
        </w:rPr>
        <w:t>1)</w:t>
      </w:r>
      <w:r>
        <w:rPr>
          <w:color w:val="auto"/>
          <w:highlight w:val="none"/>
        </w:rPr>
        <w:t xml:space="preserve"> </w:t>
      </w:r>
      <w:r>
        <w:rPr>
          <w:b/>
          <w:color w:val="auto"/>
          <w:sz w:val="22"/>
          <w:szCs w:val="22"/>
          <w:highlight w:val="none"/>
        </w:rPr>
        <w:t>资格审查。依据法律、法规和采购文件的规定，采购人授权评标委员会对各投标供应商进行资格审查，审查内容包括但不仅限于投标文件所提交证明材料是否能证明符合本项目对合格投标人的实质性要求。通过资格审查视作具备投标资格，审查不合格的投标文件将不进入后续详细评审。</w:t>
      </w:r>
    </w:p>
    <w:p w14:paraId="2D8F9E5C">
      <w:pPr>
        <w:overflowPunct w:val="0"/>
        <w:spacing w:line="440" w:lineRule="exact"/>
        <w:ind w:left="330" w:hanging="330" w:hangingChars="150"/>
        <w:rPr>
          <w:bCs/>
          <w:color w:val="auto"/>
          <w:sz w:val="22"/>
          <w:szCs w:val="22"/>
          <w:highlight w:val="none"/>
        </w:rPr>
      </w:pPr>
      <w:r>
        <w:rPr>
          <w:bCs/>
          <w:color w:val="auto"/>
          <w:sz w:val="22"/>
          <w:szCs w:val="22"/>
          <w:highlight w:val="none"/>
        </w:rPr>
        <w:t>2)</w:t>
      </w:r>
      <w:r>
        <w:rPr>
          <w:bCs/>
          <w:color w:val="auto"/>
          <w:sz w:val="22"/>
          <w:szCs w:val="22"/>
          <w:highlight w:val="none"/>
        </w:rPr>
        <w:tab/>
      </w:r>
      <w:r>
        <w:rPr>
          <w:bCs/>
          <w:color w:val="auto"/>
          <w:sz w:val="22"/>
          <w:szCs w:val="22"/>
          <w:highlight w:val="none"/>
        </w:rPr>
        <w:t>符合性检查。评标委员会依据采购文件的规定，从投标文件中的有效性、完整性和对采购文件的响应程度进行审查，以确定是否对采购文件的实质性要求作出响应，审查不合格的投标文件将不进入后续详细评审。</w:t>
      </w:r>
    </w:p>
    <w:p w14:paraId="5A2285CD">
      <w:pPr>
        <w:numPr>
          <w:ilvl w:val="1"/>
          <w:numId w:val="10"/>
        </w:numPr>
        <w:tabs>
          <w:tab w:val="left" w:pos="540"/>
          <w:tab w:val="clear" w:pos="992"/>
        </w:tabs>
        <w:overflowPunct w:val="0"/>
        <w:spacing w:line="440" w:lineRule="exact"/>
        <w:ind w:left="540" w:hanging="540"/>
        <w:rPr>
          <w:b/>
          <w:bCs/>
          <w:color w:val="auto"/>
          <w:sz w:val="22"/>
          <w:szCs w:val="22"/>
          <w:highlight w:val="none"/>
        </w:rPr>
      </w:pPr>
      <w:r>
        <w:rPr>
          <w:b/>
          <w:bCs/>
          <w:color w:val="auto"/>
          <w:sz w:val="22"/>
          <w:szCs w:val="22"/>
          <w:highlight w:val="none"/>
        </w:rPr>
        <w:t>▲</w:t>
      </w:r>
      <w:r>
        <w:rPr>
          <w:b/>
          <w:bCs/>
          <w:color w:val="auto"/>
          <w:sz w:val="22"/>
          <w:szCs w:val="22"/>
          <w:highlight w:val="none"/>
          <w:u w:val="single"/>
        </w:rPr>
        <w:t>在对各投标供应商的投标文件进行综合评审时，投标文件有下列情况之一的，经评标委员会认定后按无效标处理</w:t>
      </w:r>
      <w:r>
        <w:rPr>
          <w:b/>
          <w:bCs/>
          <w:color w:val="auto"/>
          <w:sz w:val="22"/>
          <w:szCs w:val="22"/>
          <w:highlight w:val="none"/>
        </w:rPr>
        <w:t>：</w:t>
      </w:r>
    </w:p>
    <w:p w14:paraId="5C258262">
      <w:pPr>
        <w:numPr>
          <w:ilvl w:val="0"/>
          <w:numId w:val="11"/>
        </w:numPr>
        <w:tabs>
          <w:tab w:val="clear" w:pos="420"/>
        </w:tabs>
        <w:overflowPunct w:val="0"/>
        <w:spacing w:line="440" w:lineRule="exact"/>
        <w:rPr>
          <w:b/>
          <w:color w:val="auto"/>
          <w:sz w:val="22"/>
          <w:szCs w:val="22"/>
          <w:highlight w:val="none"/>
        </w:rPr>
      </w:pPr>
      <w:r>
        <w:rPr>
          <w:b/>
          <w:color w:val="auto"/>
          <w:sz w:val="22"/>
          <w:szCs w:val="22"/>
          <w:highlight w:val="none"/>
        </w:rPr>
        <w:t>投标文件未按要求加盖单位公章、无法定代表人或其授权代表未签字或盖章的；</w:t>
      </w:r>
    </w:p>
    <w:p w14:paraId="2DCA1E20">
      <w:pPr>
        <w:numPr>
          <w:ilvl w:val="0"/>
          <w:numId w:val="11"/>
        </w:numPr>
        <w:overflowPunct w:val="0"/>
        <w:spacing w:line="440" w:lineRule="exact"/>
        <w:rPr>
          <w:b/>
          <w:color w:val="auto"/>
          <w:sz w:val="22"/>
          <w:szCs w:val="22"/>
          <w:highlight w:val="none"/>
        </w:rPr>
      </w:pPr>
      <w:r>
        <w:rPr>
          <w:b/>
          <w:color w:val="auto"/>
          <w:sz w:val="22"/>
          <w:szCs w:val="22"/>
          <w:highlight w:val="none"/>
        </w:rPr>
        <w:t>明显不符合采购文件中主要技术规格、</w:t>
      </w:r>
      <w:r>
        <w:rPr>
          <w:rFonts w:hint="eastAsia"/>
          <w:b/>
          <w:color w:val="auto"/>
          <w:sz w:val="22"/>
          <w:szCs w:val="22"/>
          <w:highlight w:val="none"/>
          <w:lang w:eastAsia="zh-CN"/>
        </w:rPr>
        <w:t>商务技术文件</w:t>
      </w:r>
      <w:r>
        <w:rPr>
          <w:b/>
          <w:color w:val="auto"/>
          <w:sz w:val="22"/>
          <w:szCs w:val="22"/>
          <w:highlight w:val="none"/>
        </w:rPr>
        <w:t>准或服务要求的；</w:t>
      </w:r>
    </w:p>
    <w:p w14:paraId="55DBF96C">
      <w:pPr>
        <w:numPr>
          <w:ilvl w:val="0"/>
          <w:numId w:val="11"/>
        </w:numPr>
        <w:overflowPunct w:val="0"/>
        <w:spacing w:line="440" w:lineRule="exact"/>
        <w:rPr>
          <w:b/>
          <w:color w:val="auto"/>
          <w:sz w:val="22"/>
          <w:szCs w:val="22"/>
          <w:highlight w:val="none"/>
        </w:rPr>
      </w:pPr>
      <w:r>
        <w:rPr>
          <w:b/>
          <w:color w:val="auto"/>
          <w:sz w:val="22"/>
          <w:szCs w:val="22"/>
          <w:highlight w:val="none"/>
        </w:rPr>
        <w:t>投标文件实质性内容不全或关键字迹模糊无法辨认的；</w:t>
      </w:r>
    </w:p>
    <w:p w14:paraId="6E601499">
      <w:pPr>
        <w:numPr>
          <w:ilvl w:val="0"/>
          <w:numId w:val="11"/>
        </w:numPr>
        <w:overflowPunct w:val="0"/>
        <w:spacing w:line="440" w:lineRule="exact"/>
        <w:rPr>
          <w:b/>
          <w:color w:val="auto"/>
          <w:sz w:val="22"/>
          <w:szCs w:val="22"/>
          <w:highlight w:val="none"/>
        </w:rPr>
      </w:pPr>
      <w:r>
        <w:rPr>
          <w:b/>
          <w:color w:val="auto"/>
          <w:sz w:val="22"/>
          <w:szCs w:val="22"/>
          <w:highlight w:val="none"/>
        </w:rPr>
        <w:t>投标供应商投标报价超过采购预算或</w:t>
      </w:r>
      <w:r>
        <w:rPr>
          <w:b/>
          <w:bCs/>
          <w:color w:val="auto"/>
          <w:sz w:val="22"/>
          <w:szCs w:val="22"/>
          <w:highlight w:val="none"/>
        </w:rPr>
        <w:t>最高限价</w:t>
      </w:r>
      <w:r>
        <w:rPr>
          <w:b/>
          <w:color w:val="auto"/>
          <w:sz w:val="22"/>
          <w:szCs w:val="22"/>
          <w:highlight w:val="none"/>
        </w:rPr>
        <w:t>；</w:t>
      </w:r>
    </w:p>
    <w:p w14:paraId="2190894F">
      <w:pPr>
        <w:numPr>
          <w:ilvl w:val="0"/>
          <w:numId w:val="11"/>
        </w:numPr>
        <w:overflowPunct w:val="0"/>
        <w:spacing w:line="440" w:lineRule="exact"/>
        <w:rPr>
          <w:b/>
          <w:color w:val="auto"/>
          <w:sz w:val="22"/>
          <w:szCs w:val="22"/>
          <w:highlight w:val="none"/>
        </w:rPr>
      </w:pPr>
      <w:r>
        <w:rPr>
          <w:b/>
          <w:color w:val="auto"/>
          <w:sz w:val="22"/>
          <w:szCs w:val="22"/>
          <w:highlight w:val="none"/>
        </w:rPr>
        <w:t>投标文件附有采购人不能接受的条件；</w:t>
      </w:r>
    </w:p>
    <w:p w14:paraId="518E3F5D">
      <w:pPr>
        <w:numPr>
          <w:ilvl w:val="0"/>
          <w:numId w:val="11"/>
        </w:numPr>
        <w:overflowPunct w:val="0"/>
        <w:spacing w:line="440" w:lineRule="exact"/>
        <w:rPr>
          <w:b/>
          <w:color w:val="auto"/>
          <w:sz w:val="22"/>
          <w:szCs w:val="22"/>
          <w:highlight w:val="none"/>
        </w:rPr>
      </w:pPr>
      <w:r>
        <w:rPr>
          <w:b/>
          <w:color w:val="auto"/>
          <w:sz w:val="22"/>
          <w:szCs w:val="22"/>
          <w:highlight w:val="none"/>
        </w:rPr>
        <w:t>授权代表没有法定代表人（法定负责人）合法、有效委托的；</w:t>
      </w:r>
    </w:p>
    <w:p w14:paraId="654EFE2A">
      <w:pPr>
        <w:numPr>
          <w:ilvl w:val="0"/>
          <w:numId w:val="11"/>
        </w:numPr>
        <w:overflowPunct w:val="0"/>
        <w:spacing w:line="440" w:lineRule="exact"/>
        <w:rPr>
          <w:b/>
          <w:color w:val="auto"/>
          <w:sz w:val="22"/>
          <w:szCs w:val="22"/>
          <w:highlight w:val="none"/>
        </w:rPr>
      </w:pPr>
      <w:r>
        <w:rPr>
          <w:b/>
          <w:color w:val="auto"/>
          <w:sz w:val="22"/>
          <w:szCs w:val="22"/>
          <w:highlight w:val="none"/>
        </w:rPr>
        <w:t>投标供应商提交的投标文件相关证书、材料经评标委员会认定有弄虚作假情况的；</w:t>
      </w:r>
    </w:p>
    <w:p w14:paraId="1A38C30E">
      <w:pPr>
        <w:numPr>
          <w:ilvl w:val="0"/>
          <w:numId w:val="11"/>
        </w:numPr>
        <w:overflowPunct w:val="0"/>
        <w:spacing w:line="440" w:lineRule="exact"/>
        <w:rPr>
          <w:color w:val="auto"/>
          <w:sz w:val="22"/>
          <w:szCs w:val="22"/>
          <w:highlight w:val="none"/>
        </w:rPr>
      </w:pPr>
      <w:r>
        <w:rPr>
          <w:b/>
          <w:color w:val="auto"/>
          <w:sz w:val="22"/>
          <w:szCs w:val="22"/>
          <w:highlight w:val="none"/>
        </w:rPr>
        <w:t>评标委员会认定不符合法律、法规和采购文件中规定的其他实质性要求的</w:t>
      </w:r>
      <w:r>
        <w:rPr>
          <w:color w:val="auto"/>
          <w:sz w:val="22"/>
          <w:szCs w:val="22"/>
          <w:highlight w:val="none"/>
        </w:rPr>
        <w:t>。</w:t>
      </w:r>
    </w:p>
    <w:p w14:paraId="3663CF67">
      <w:pPr>
        <w:numPr>
          <w:ilvl w:val="1"/>
          <w:numId w:val="10"/>
        </w:numPr>
        <w:tabs>
          <w:tab w:val="left" w:pos="540"/>
          <w:tab w:val="clear" w:pos="992"/>
        </w:tabs>
        <w:overflowPunct w:val="0"/>
        <w:spacing w:line="440" w:lineRule="exact"/>
        <w:ind w:left="540" w:hanging="540"/>
        <w:rPr>
          <w:bCs/>
          <w:color w:val="auto"/>
          <w:sz w:val="22"/>
          <w:szCs w:val="22"/>
          <w:highlight w:val="none"/>
        </w:rPr>
      </w:pPr>
      <w:r>
        <w:rPr>
          <w:bCs/>
          <w:color w:val="auto"/>
          <w:sz w:val="22"/>
          <w:szCs w:val="22"/>
          <w:highlight w:val="none"/>
        </w:rPr>
        <w:t>开启</w:t>
      </w:r>
      <w:r>
        <w:rPr>
          <w:rFonts w:hint="eastAsia"/>
          <w:bCs/>
          <w:color w:val="auto"/>
          <w:sz w:val="22"/>
          <w:szCs w:val="22"/>
          <w:highlight w:val="none"/>
          <w:lang w:eastAsia="zh-CN"/>
        </w:rPr>
        <w:t>报价文件</w:t>
      </w:r>
      <w:r>
        <w:rPr>
          <w:rFonts w:hint="eastAsia"/>
          <w:bCs/>
          <w:color w:val="auto"/>
          <w:sz w:val="22"/>
          <w:szCs w:val="22"/>
          <w:highlight w:val="none"/>
          <w:lang w:val="en-US" w:eastAsia="zh-CN"/>
        </w:rPr>
        <w:t>的相关事宜</w:t>
      </w:r>
    </w:p>
    <w:p w14:paraId="6C9A2B1A">
      <w:pPr>
        <w:numPr>
          <w:ilvl w:val="0"/>
          <w:numId w:val="12"/>
        </w:numPr>
        <w:tabs>
          <w:tab w:val="left" w:pos="720"/>
          <w:tab w:val="clear" w:pos="420"/>
        </w:tabs>
        <w:overflowPunct w:val="0"/>
        <w:spacing w:line="440" w:lineRule="exact"/>
        <w:ind w:left="720" w:hanging="720"/>
        <w:rPr>
          <w:color w:val="auto"/>
          <w:sz w:val="22"/>
          <w:szCs w:val="22"/>
          <w:highlight w:val="none"/>
        </w:rPr>
      </w:pPr>
      <w:r>
        <w:rPr>
          <w:color w:val="auto"/>
          <w:sz w:val="22"/>
          <w:szCs w:val="22"/>
          <w:highlight w:val="none"/>
        </w:rPr>
        <w:t>开</w:t>
      </w:r>
      <w:r>
        <w:rPr>
          <w:rFonts w:hint="eastAsia"/>
          <w:color w:val="auto"/>
          <w:sz w:val="22"/>
          <w:szCs w:val="22"/>
          <w:highlight w:val="none"/>
          <w:lang w:eastAsia="zh-CN"/>
        </w:rPr>
        <w:t>报价文件</w:t>
      </w:r>
      <w:r>
        <w:rPr>
          <w:color w:val="auto"/>
          <w:sz w:val="22"/>
          <w:szCs w:val="22"/>
          <w:highlight w:val="none"/>
        </w:rPr>
        <w:t>时邀请所有投标供应商代表参加，参加开标的代表应准时出席并签名报到以证明其出席。投标供应商代表未参加开标会的，事后不得对开标过程和开标结果提出异议。</w:t>
      </w:r>
    </w:p>
    <w:p w14:paraId="27F6A651">
      <w:pPr>
        <w:numPr>
          <w:ilvl w:val="0"/>
          <w:numId w:val="12"/>
        </w:numPr>
        <w:tabs>
          <w:tab w:val="left" w:pos="720"/>
          <w:tab w:val="clear" w:pos="420"/>
        </w:tabs>
        <w:overflowPunct w:val="0"/>
        <w:spacing w:line="440" w:lineRule="exact"/>
        <w:ind w:left="720" w:hanging="720"/>
        <w:rPr>
          <w:color w:val="auto"/>
          <w:sz w:val="22"/>
          <w:szCs w:val="22"/>
          <w:highlight w:val="none"/>
        </w:rPr>
      </w:pPr>
      <w:r>
        <w:rPr>
          <w:color w:val="auto"/>
          <w:sz w:val="22"/>
          <w:szCs w:val="22"/>
          <w:highlight w:val="none"/>
        </w:rPr>
        <w:t>宣布对各投标供应商有效身份证件、投标保证金等审查结果和</w:t>
      </w:r>
      <w:r>
        <w:rPr>
          <w:rFonts w:hint="eastAsia"/>
          <w:color w:val="auto"/>
          <w:sz w:val="22"/>
          <w:szCs w:val="22"/>
          <w:highlight w:val="none"/>
          <w:lang w:eastAsia="zh-CN"/>
        </w:rPr>
        <w:t>商务技术文件</w:t>
      </w:r>
      <w:r>
        <w:rPr>
          <w:color w:val="auto"/>
          <w:sz w:val="22"/>
          <w:szCs w:val="22"/>
          <w:highlight w:val="none"/>
        </w:rPr>
        <w:t>得分情况。</w:t>
      </w:r>
    </w:p>
    <w:p w14:paraId="69FAE25D">
      <w:pPr>
        <w:numPr>
          <w:ilvl w:val="0"/>
          <w:numId w:val="12"/>
        </w:numPr>
        <w:tabs>
          <w:tab w:val="left" w:pos="720"/>
          <w:tab w:val="clear" w:pos="420"/>
        </w:tabs>
        <w:overflowPunct w:val="0"/>
        <w:spacing w:line="440" w:lineRule="exact"/>
        <w:ind w:left="720" w:hanging="720"/>
        <w:rPr>
          <w:color w:val="auto"/>
          <w:sz w:val="22"/>
          <w:szCs w:val="22"/>
          <w:highlight w:val="none"/>
        </w:rPr>
      </w:pPr>
      <w:r>
        <w:rPr>
          <w:color w:val="auto"/>
          <w:sz w:val="22"/>
          <w:szCs w:val="22"/>
          <w:highlight w:val="none"/>
        </w:rPr>
        <w:t>检查有效投标供应商“</w:t>
      </w:r>
      <w:r>
        <w:rPr>
          <w:rFonts w:hint="eastAsia"/>
          <w:color w:val="auto"/>
          <w:sz w:val="22"/>
          <w:szCs w:val="22"/>
          <w:highlight w:val="none"/>
          <w:lang w:eastAsia="zh-CN"/>
        </w:rPr>
        <w:t>报价文件</w:t>
      </w:r>
      <w:r>
        <w:rPr>
          <w:color w:val="auto"/>
          <w:sz w:val="22"/>
          <w:szCs w:val="22"/>
          <w:highlight w:val="none"/>
        </w:rPr>
        <w:t>”的密封情况，确认无误后开启“</w:t>
      </w:r>
      <w:r>
        <w:rPr>
          <w:rFonts w:hint="eastAsia"/>
          <w:color w:val="auto"/>
          <w:sz w:val="22"/>
          <w:szCs w:val="22"/>
          <w:highlight w:val="none"/>
          <w:lang w:eastAsia="zh-CN"/>
        </w:rPr>
        <w:t>报价文件</w:t>
      </w:r>
      <w:r>
        <w:rPr>
          <w:color w:val="auto"/>
          <w:sz w:val="22"/>
          <w:szCs w:val="22"/>
          <w:highlight w:val="none"/>
        </w:rPr>
        <w:t>”，宣读“报价一览表”全部内容。</w:t>
      </w:r>
      <w:r>
        <w:rPr>
          <w:b/>
          <w:color w:val="auto"/>
          <w:sz w:val="22"/>
          <w:szCs w:val="22"/>
          <w:highlight w:val="none"/>
        </w:rPr>
        <w:t>唱读结束后，投标供应商代表应对宣读内容及记录结果当场进行校核和签字确认，如有异议应当场提出，否则视为默许同意。</w:t>
      </w:r>
    </w:p>
    <w:p w14:paraId="285C5B29">
      <w:pPr>
        <w:numPr>
          <w:ilvl w:val="0"/>
          <w:numId w:val="12"/>
        </w:numPr>
        <w:tabs>
          <w:tab w:val="left" w:pos="720"/>
          <w:tab w:val="clear" w:pos="420"/>
        </w:tabs>
        <w:overflowPunct w:val="0"/>
        <w:spacing w:line="440" w:lineRule="exact"/>
        <w:ind w:left="720" w:hanging="720"/>
        <w:rPr>
          <w:color w:val="auto"/>
          <w:sz w:val="22"/>
          <w:szCs w:val="22"/>
          <w:highlight w:val="none"/>
        </w:rPr>
      </w:pPr>
      <w:r>
        <w:rPr>
          <w:color w:val="auto"/>
          <w:sz w:val="22"/>
          <w:szCs w:val="22"/>
          <w:highlight w:val="none"/>
        </w:rPr>
        <w:t>开标时没有启封和宣读的投标文件，原封退回给投标供应商。</w:t>
      </w:r>
    </w:p>
    <w:p w14:paraId="70B78BDA">
      <w:pPr>
        <w:numPr>
          <w:ilvl w:val="0"/>
          <w:numId w:val="12"/>
        </w:numPr>
        <w:tabs>
          <w:tab w:val="left" w:pos="720"/>
          <w:tab w:val="clear" w:pos="420"/>
        </w:tabs>
        <w:overflowPunct w:val="0"/>
        <w:spacing w:line="440" w:lineRule="exact"/>
        <w:ind w:left="720" w:hanging="720"/>
        <w:rPr>
          <w:color w:val="auto"/>
          <w:sz w:val="22"/>
          <w:szCs w:val="22"/>
          <w:highlight w:val="none"/>
        </w:rPr>
      </w:pPr>
      <w:r>
        <w:rPr>
          <w:color w:val="auto"/>
          <w:sz w:val="22"/>
          <w:szCs w:val="22"/>
          <w:highlight w:val="none"/>
        </w:rPr>
        <w:t>开</w:t>
      </w:r>
      <w:r>
        <w:rPr>
          <w:rFonts w:hint="eastAsia"/>
          <w:color w:val="auto"/>
          <w:sz w:val="22"/>
          <w:szCs w:val="22"/>
          <w:highlight w:val="none"/>
          <w:lang w:eastAsia="zh-CN"/>
        </w:rPr>
        <w:t>报价文件</w:t>
      </w:r>
      <w:r>
        <w:rPr>
          <w:color w:val="auto"/>
          <w:sz w:val="22"/>
          <w:szCs w:val="22"/>
          <w:highlight w:val="none"/>
        </w:rPr>
        <w:t>时，采购人指定专人作好记录，存档备查。</w:t>
      </w:r>
    </w:p>
    <w:p w14:paraId="0E0A2F74">
      <w:pPr>
        <w:numPr>
          <w:ilvl w:val="1"/>
          <w:numId w:val="10"/>
        </w:numPr>
        <w:tabs>
          <w:tab w:val="left" w:pos="540"/>
          <w:tab w:val="clear" w:pos="992"/>
        </w:tabs>
        <w:overflowPunct w:val="0"/>
        <w:spacing w:line="440" w:lineRule="exact"/>
        <w:ind w:left="540" w:hanging="540"/>
        <w:rPr>
          <w:b/>
          <w:bCs/>
          <w:color w:val="auto"/>
          <w:sz w:val="22"/>
          <w:szCs w:val="22"/>
          <w:highlight w:val="none"/>
        </w:rPr>
      </w:pPr>
      <w:r>
        <w:rPr>
          <w:bCs/>
          <w:color w:val="auto"/>
          <w:sz w:val="22"/>
          <w:szCs w:val="22"/>
          <w:highlight w:val="none"/>
        </w:rPr>
        <w:t>在详细评标之前，评标委员会要审查每份投标文件是否实质上响应了采购文件的要求。实质上响应的投标应该是与采购文件要求的全部条款、条件和规格基本相符，没有重大偏离。</w:t>
      </w:r>
      <w:r>
        <w:rPr>
          <w:b/>
          <w:bCs/>
          <w:color w:val="auto"/>
          <w:sz w:val="22"/>
          <w:szCs w:val="22"/>
          <w:highlight w:val="none"/>
        </w:rPr>
        <w:t>评标委员会决定投标的响应性只根据投标文件本身的内容，而不寻求外部的证据。</w:t>
      </w:r>
    </w:p>
    <w:p w14:paraId="32F636DC">
      <w:pPr>
        <w:numPr>
          <w:ilvl w:val="1"/>
          <w:numId w:val="10"/>
        </w:numPr>
        <w:tabs>
          <w:tab w:val="left" w:pos="540"/>
          <w:tab w:val="clear" w:pos="992"/>
        </w:tabs>
        <w:overflowPunct w:val="0"/>
        <w:spacing w:line="440" w:lineRule="exact"/>
        <w:ind w:left="540" w:hanging="540"/>
        <w:rPr>
          <w:bCs/>
          <w:color w:val="auto"/>
          <w:sz w:val="22"/>
          <w:szCs w:val="22"/>
          <w:highlight w:val="none"/>
        </w:rPr>
      </w:pPr>
      <w:r>
        <w:rPr>
          <w:b/>
          <w:bCs/>
          <w:color w:val="auto"/>
          <w:sz w:val="22"/>
          <w:szCs w:val="22"/>
          <w:highlight w:val="none"/>
        </w:rPr>
        <w:t>实质上没有响应采购文件要求的投标将被拒绝</w:t>
      </w:r>
      <w:r>
        <w:rPr>
          <w:bCs/>
          <w:color w:val="auto"/>
          <w:sz w:val="22"/>
          <w:szCs w:val="22"/>
          <w:highlight w:val="none"/>
        </w:rPr>
        <w:t>，投标供应商不得通过修正或撤消不合要求的偏离或保留从而使其投标成为实质上响应的投标。</w:t>
      </w:r>
    </w:p>
    <w:p w14:paraId="3CABA158">
      <w:pPr>
        <w:numPr>
          <w:ilvl w:val="1"/>
          <w:numId w:val="10"/>
        </w:numPr>
        <w:tabs>
          <w:tab w:val="left" w:pos="540"/>
          <w:tab w:val="clear" w:pos="992"/>
        </w:tabs>
        <w:overflowPunct w:val="0"/>
        <w:spacing w:line="440" w:lineRule="exact"/>
        <w:ind w:left="540" w:hanging="540"/>
        <w:rPr>
          <w:bCs/>
          <w:color w:val="auto"/>
          <w:sz w:val="22"/>
          <w:szCs w:val="22"/>
          <w:highlight w:val="none"/>
        </w:rPr>
      </w:pPr>
      <w:r>
        <w:rPr>
          <w:bCs/>
          <w:color w:val="auto"/>
          <w:sz w:val="22"/>
          <w:szCs w:val="22"/>
          <w:highlight w:val="none"/>
        </w:rPr>
        <w:t>评标委员会对审查合格的投标文件按照采购文件中制订的评标方法进行综合评定打分。</w:t>
      </w:r>
    </w:p>
    <w:p w14:paraId="2AEB4FB1">
      <w:pPr>
        <w:numPr>
          <w:ilvl w:val="1"/>
          <w:numId w:val="10"/>
        </w:numPr>
        <w:tabs>
          <w:tab w:val="left" w:pos="540"/>
          <w:tab w:val="clear" w:pos="992"/>
        </w:tabs>
        <w:overflowPunct w:val="0"/>
        <w:spacing w:line="440" w:lineRule="exact"/>
        <w:ind w:left="540" w:hanging="540"/>
        <w:rPr>
          <w:bCs/>
          <w:color w:val="auto"/>
          <w:sz w:val="22"/>
          <w:szCs w:val="22"/>
          <w:highlight w:val="none"/>
        </w:rPr>
      </w:pPr>
      <w:r>
        <w:rPr>
          <w:bCs/>
          <w:color w:val="auto"/>
          <w:sz w:val="22"/>
          <w:szCs w:val="22"/>
          <w:highlight w:val="none"/>
        </w:rPr>
        <w:t>评标过程中遇到特殊情况，由评标委员会遵循公开、公正原则，采取投票方式按照少数服从多数原则决定。</w:t>
      </w:r>
    </w:p>
    <w:p w14:paraId="4C349C37">
      <w:pPr>
        <w:tabs>
          <w:tab w:val="left" w:pos="420"/>
          <w:tab w:val="left" w:pos="540"/>
        </w:tabs>
        <w:spacing w:line="460" w:lineRule="exact"/>
        <w:rPr>
          <w:b/>
          <w:bCs/>
          <w:color w:val="auto"/>
          <w:sz w:val="22"/>
          <w:szCs w:val="22"/>
          <w:highlight w:val="none"/>
        </w:rPr>
      </w:pPr>
      <w:r>
        <w:rPr>
          <w:b/>
          <w:bCs/>
          <w:color w:val="auto"/>
          <w:sz w:val="22"/>
          <w:szCs w:val="22"/>
          <w:highlight w:val="none"/>
        </w:rPr>
        <w:t>22.▲</w:t>
      </w:r>
      <w:r>
        <w:rPr>
          <w:b/>
          <w:bCs/>
          <w:color w:val="auto"/>
          <w:sz w:val="22"/>
          <w:szCs w:val="22"/>
          <w:highlight w:val="none"/>
          <w:u w:val="single"/>
        </w:rPr>
        <w:t>采购响应截止时间止及评审期间有效投标供应商少于3家，重新组织采购</w:t>
      </w:r>
      <w:r>
        <w:rPr>
          <w:b/>
          <w:bCs/>
          <w:color w:val="auto"/>
          <w:sz w:val="22"/>
          <w:szCs w:val="22"/>
          <w:highlight w:val="none"/>
        </w:rPr>
        <w:t>。</w:t>
      </w:r>
    </w:p>
    <w:p w14:paraId="6ADFD3C1">
      <w:pPr>
        <w:tabs>
          <w:tab w:val="left" w:pos="420"/>
          <w:tab w:val="left" w:pos="540"/>
        </w:tabs>
        <w:spacing w:line="460" w:lineRule="exact"/>
        <w:rPr>
          <w:color w:val="auto"/>
          <w:sz w:val="22"/>
          <w:szCs w:val="22"/>
          <w:highlight w:val="none"/>
        </w:rPr>
      </w:pPr>
      <w:r>
        <w:rPr>
          <w:color w:val="auto"/>
          <w:sz w:val="22"/>
          <w:szCs w:val="22"/>
          <w:highlight w:val="none"/>
        </w:rPr>
        <w:t>23.投标文件的澄清</w:t>
      </w:r>
    </w:p>
    <w:p w14:paraId="1A29E815">
      <w:pPr>
        <w:numPr>
          <w:ilvl w:val="1"/>
          <w:numId w:val="0"/>
        </w:numPr>
        <w:overflowPunct w:val="0"/>
        <w:spacing w:line="440" w:lineRule="exact"/>
        <w:ind w:left="567" w:hanging="567"/>
        <w:rPr>
          <w:color w:val="auto"/>
          <w:sz w:val="22"/>
          <w:szCs w:val="22"/>
          <w:highlight w:val="none"/>
        </w:rPr>
      </w:pPr>
      <w:r>
        <w:rPr>
          <w:color w:val="auto"/>
          <w:sz w:val="22"/>
          <w:szCs w:val="22"/>
          <w:highlight w:val="none"/>
        </w:rPr>
        <w:t>23.1</w:t>
      </w:r>
      <w:r>
        <w:rPr>
          <w:bCs/>
          <w:color w:val="auto"/>
          <w:sz w:val="22"/>
          <w:szCs w:val="22"/>
          <w:highlight w:val="none"/>
        </w:rPr>
        <w:t>在评标期间，评标委员会可以书面方式要求投标供应商对投标文件中含义不明确、对同类问题表述不一致或者有明显文字和计算错误的内容作必要的澄清、说明或补正。澄清、说明或补正应以书面形式并由法人代表人（法定负责人）或授权代表签署，但澄清内容不得超出投标文件的范围或者改变投标文件的实质性内容。拒不按要求对其投标文件进行澄清，说明或补正的投标供应商，评标委员会可以将其作无效标处理。</w:t>
      </w:r>
    </w:p>
    <w:p w14:paraId="7F8CF332">
      <w:pPr>
        <w:numPr>
          <w:ilvl w:val="1"/>
          <w:numId w:val="0"/>
        </w:numPr>
        <w:overflowPunct w:val="0"/>
        <w:spacing w:line="440" w:lineRule="exact"/>
        <w:ind w:left="567" w:hanging="567"/>
        <w:rPr>
          <w:color w:val="auto"/>
          <w:sz w:val="22"/>
          <w:szCs w:val="22"/>
          <w:highlight w:val="none"/>
        </w:rPr>
      </w:pPr>
      <w:r>
        <w:rPr>
          <w:color w:val="auto"/>
          <w:sz w:val="22"/>
          <w:szCs w:val="22"/>
          <w:highlight w:val="none"/>
        </w:rPr>
        <w:t>23.2</w:t>
      </w:r>
      <w:r>
        <w:rPr>
          <w:b/>
          <w:color w:val="auto"/>
          <w:sz w:val="22"/>
          <w:szCs w:val="22"/>
          <w:highlight w:val="none"/>
        </w:rPr>
        <w:t>▲</w:t>
      </w:r>
      <w:r>
        <w:rPr>
          <w:b/>
          <w:color w:val="auto"/>
          <w:sz w:val="22"/>
          <w:szCs w:val="22"/>
          <w:highlight w:val="none"/>
          <w:u w:val="single"/>
        </w:rPr>
        <w:t>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r>
        <w:rPr>
          <w:b/>
          <w:color w:val="auto"/>
          <w:sz w:val="22"/>
          <w:szCs w:val="22"/>
          <w:highlight w:val="none"/>
        </w:rPr>
        <w:t>。</w:t>
      </w:r>
    </w:p>
    <w:p w14:paraId="118ED438">
      <w:pPr>
        <w:numPr>
          <w:ilvl w:val="1"/>
          <w:numId w:val="0"/>
        </w:numPr>
        <w:overflowPunct w:val="0"/>
        <w:spacing w:line="440" w:lineRule="exact"/>
        <w:ind w:left="567" w:hanging="567"/>
        <w:rPr>
          <w:b/>
          <w:color w:val="auto"/>
          <w:sz w:val="22"/>
          <w:szCs w:val="22"/>
          <w:highlight w:val="none"/>
        </w:rPr>
      </w:pPr>
      <w:r>
        <w:rPr>
          <w:b/>
          <w:color w:val="auto"/>
          <w:sz w:val="22"/>
          <w:szCs w:val="22"/>
          <w:highlight w:val="none"/>
        </w:rPr>
        <w:t>23.3经澄清后，若偏差仍存在，且不可接受，投标供应商则被认为是“没有实质性响应采购文件要求”，其投标不进入下一步评审。</w:t>
      </w:r>
    </w:p>
    <w:p w14:paraId="1B1A1A07">
      <w:pPr>
        <w:tabs>
          <w:tab w:val="left" w:pos="420"/>
          <w:tab w:val="left" w:pos="540"/>
        </w:tabs>
        <w:spacing w:line="460" w:lineRule="exact"/>
        <w:rPr>
          <w:color w:val="auto"/>
          <w:sz w:val="22"/>
          <w:szCs w:val="22"/>
          <w:highlight w:val="none"/>
        </w:rPr>
      </w:pPr>
      <w:r>
        <w:rPr>
          <w:color w:val="auto"/>
          <w:sz w:val="22"/>
          <w:szCs w:val="22"/>
          <w:highlight w:val="none"/>
        </w:rPr>
        <w:t>24.确定中标候选人</w:t>
      </w:r>
    </w:p>
    <w:p w14:paraId="69864699">
      <w:pPr>
        <w:numPr>
          <w:ilvl w:val="1"/>
          <w:numId w:val="13"/>
        </w:numPr>
        <w:overflowPunct w:val="0"/>
        <w:spacing w:line="440" w:lineRule="exact"/>
        <w:rPr>
          <w:bCs/>
          <w:color w:val="auto"/>
          <w:sz w:val="22"/>
          <w:szCs w:val="22"/>
          <w:highlight w:val="none"/>
        </w:rPr>
      </w:pPr>
      <w:r>
        <w:rPr>
          <w:color w:val="auto"/>
          <w:sz w:val="22"/>
          <w:szCs w:val="22"/>
          <w:highlight w:val="none"/>
        </w:rPr>
        <w:t>确定中标候选人详见采购文件第五部分“评标原则及方法”</w:t>
      </w:r>
      <w:r>
        <w:rPr>
          <w:bCs/>
          <w:color w:val="auto"/>
          <w:sz w:val="22"/>
          <w:szCs w:val="22"/>
          <w:highlight w:val="none"/>
        </w:rPr>
        <w:t>。</w:t>
      </w:r>
    </w:p>
    <w:p w14:paraId="71D596CB">
      <w:pPr>
        <w:numPr>
          <w:ilvl w:val="1"/>
          <w:numId w:val="13"/>
        </w:numPr>
        <w:overflowPunct w:val="0"/>
        <w:spacing w:line="440" w:lineRule="exact"/>
        <w:rPr>
          <w:color w:val="auto"/>
          <w:sz w:val="22"/>
          <w:szCs w:val="22"/>
          <w:highlight w:val="none"/>
        </w:rPr>
      </w:pPr>
      <w:r>
        <w:rPr>
          <w:color w:val="auto"/>
          <w:sz w:val="22"/>
          <w:szCs w:val="22"/>
          <w:highlight w:val="none"/>
        </w:rPr>
        <w:t>采购人、采购代理机构及评标委员会无须向落标的投标供应商解释落标原因，也不公布评标过程中的相关细节。</w:t>
      </w:r>
    </w:p>
    <w:p w14:paraId="3AA3A4B3">
      <w:pPr>
        <w:overflowPunct w:val="0"/>
        <w:spacing w:line="440" w:lineRule="exact"/>
        <w:rPr>
          <w:color w:val="auto"/>
          <w:sz w:val="22"/>
          <w:szCs w:val="22"/>
          <w:highlight w:val="none"/>
        </w:rPr>
      </w:pPr>
      <w:r>
        <w:rPr>
          <w:color w:val="auto"/>
          <w:sz w:val="22"/>
          <w:szCs w:val="22"/>
          <w:highlight w:val="none"/>
        </w:rPr>
        <w:t>25.评标细则详见“评标原则及方法”。</w:t>
      </w:r>
    </w:p>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14:paraId="3CDFC04E">
      <w:pPr>
        <w:overflowPunct w:val="0"/>
        <w:spacing w:before="100" w:beforeAutospacing="1" w:after="100" w:afterAutospacing="1" w:line="440" w:lineRule="exact"/>
        <w:ind w:left="-6"/>
        <w:jc w:val="center"/>
        <w:outlineLvl w:val="0"/>
        <w:rPr>
          <w:b/>
          <w:bCs/>
          <w:color w:val="auto"/>
          <w:sz w:val="26"/>
          <w:szCs w:val="26"/>
          <w:highlight w:val="none"/>
        </w:rPr>
      </w:pPr>
      <w:bookmarkStart w:id="144" w:name="_Toc3799549"/>
      <w:bookmarkStart w:id="145" w:name="_Toc24761"/>
      <w:bookmarkStart w:id="146" w:name="_Toc522645677"/>
      <w:r>
        <w:rPr>
          <w:b/>
          <w:bCs/>
          <w:color w:val="auto"/>
          <w:sz w:val="26"/>
          <w:szCs w:val="26"/>
          <w:highlight w:val="none"/>
        </w:rPr>
        <w:t>六、 授予合同</w:t>
      </w:r>
      <w:bookmarkEnd w:id="144"/>
      <w:bookmarkEnd w:id="145"/>
      <w:bookmarkEnd w:id="146"/>
    </w:p>
    <w:p w14:paraId="58C9817A">
      <w:pPr>
        <w:tabs>
          <w:tab w:val="left" w:pos="420"/>
          <w:tab w:val="left" w:pos="540"/>
        </w:tabs>
        <w:spacing w:line="460" w:lineRule="exact"/>
        <w:rPr>
          <w:color w:val="auto"/>
          <w:sz w:val="22"/>
          <w:szCs w:val="22"/>
          <w:highlight w:val="none"/>
        </w:rPr>
      </w:pPr>
      <w:r>
        <w:rPr>
          <w:color w:val="auto"/>
          <w:sz w:val="22"/>
          <w:szCs w:val="22"/>
          <w:highlight w:val="none"/>
        </w:rPr>
        <w:t>26.评标委员会推荐的中标候选人经采购人确认后在指定媒介上公示，各投标供应商对评标结果如有异议，可在规定时间内以书面形式向采购人进行署名投诉或提出质疑，但需对投诉或质疑内容的真实性承担法律责任。公示期结束后，采购人将根据评标委员会提交的书面评标报告和评审结果确定中标人。</w:t>
      </w:r>
    </w:p>
    <w:p w14:paraId="536B99FE">
      <w:pPr>
        <w:tabs>
          <w:tab w:val="left" w:pos="420"/>
          <w:tab w:val="left" w:pos="540"/>
        </w:tabs>
        <w:spacing w:line="360" w:lineRule="auto"/>
        <w:rPr>
          <w:color w:val="auto"/>
          <w:sz w:val="22"/>
          <w:szCs w:val="22"/>
          <w:highlight w:val="none"/>
        </w:rPr>
      </w:pPr>
      <w:r>
        <w:rPr>
          <w:color w:val="auto"/>
          <w:sz w:val="22"/>
          <w:szCs w:val="22"/>
          <w:highlight w:val="none"/>
        </w:rPr>
        <w:t>27.确定中标供应商</w:t>
      </w:r>
    </w:p>
    <w:p w14:paraId="3C9F6685">
      <w:pPr>
        <w:tabs>
          <w:tab w:val="left" w:pos="540"/>
        </w:tabs>
        <w:spacing w:line="360" w:lineRule="auto"/>
        <w:rPr>
          <w:color w:val="auto"/>
          <w:sz w:val="22"/>
          <w:szCs w:val="22"/>
          <w:highlight w:val="none"/>
        </w:rPr>
      </w:pPr>
      <w:r>
        <w:rPr>
          <w:color w:val="auto"/>
          <w:sz w:val="22"/>
          <w:szCs w:val="22"/>
          <w:highlight w:val="none"/>
        </w:rPr>
        <w:t>27.1采购人自收到评标报告之日起5个工作日内，在评标报告确定的中标候选人名单中按顺序确定中标供应商。</w:t>
      </w:r>
    </w:p>
    <w:p w14:paraId="535FDEA9">
      <w:pPr>
        <w:tabs>
          <w:tab w:val="left" w:pos="540"/>
        </w:tabs>
        <w:spacing w:line="360" w:lineRule="auto"/>
        <w:rPr>
          <w:color w:val="auto"/>
          <w:sz w:val="22"/>
          <w:szCs w:val="22"/>
          <w:highlight w:val="none"/>
        </w:rPr>
      </w:pPr>
      <w:r>
        <w:rPr>
          <w:color w:val="auto"/>
          <w:sz w:val="22"/>
          <w:szCs w:val="22"/>
          <w:highlight w:val="none"/>
        </w:rPr>
        <w:t>27.2中标供应商确定之日起2个工作日内发布中标公告，公告期为3日。中标公告发布后，采购人或代理机构将告知未中标人的评审得分与排序。</w:t>
      </w:r>
    </w:p>
    <w:p w14:paraId="40A5B9B1">
      <w:pPr>
        <w:tabs>
          <w:tab w:val="left" w:pos="540"/>
        </w:tabs>
        <w:spacing w:line="360" w:lineRule="auto"/>
        <w:rPr>
          <w:color w:val="auto"/>
          <w:sz w:val="22"/>
          <w:szCs w:val="22"/>
          <w:highlight w:val="none"/>
        </w:rPr>
      </w:pPr>
      <w:r>
        <w:rPr>
          <w:color w:val="auto"/>
          <w:sz w:val="22"/>
          <w:szCs w:val="22"/>
          <w:highlight w:val="none"/>
        </w:rPr>
        <w:t>27.3中标公告期结束无异议的，采购人或采购代理机构向中标供应商发出中标通知书。</w:t>
      </w:r>
    </w:p>
    <w:p w14:paraId="479582C9">
      <w:pPr>
        <w:tabs>
          <w:tab w:val="left" w:pos="540"/>
        </w:tabs>
        <w:spacing w:line="360" w:lineRule="auto"/>
        <w:rPr>
          <w:color w:val="auto"/>
          <w:sz w:val="22"/>
          <w:szCs w:val="22"/>
          <w:highlight w:val="none"/>
        </w:rPr>
      </w:pPr>
      <w:r>
        <w:rPr>
          <w:color w:val="auto"/>
          <w:sz w:val="22"/>
          <w:szCs w:val="22"/>
          <w:highlight w:val="none"/>
        </w:rPr>
        <w:t>27.4中标通知书发出后，采购人不得违法改变中标结果，中标供应商无正当理由不得放弃中标。</w:t>
      </w:r>
    </w:p>
    <w:p w14:paraId="1B5CC358">
      <w:pPr>
        <w:tabs>
          <w:tab w:val="left" w:pos="540"/>
        </w:tabs>
        <w:spacing w:line="360" w:lineRule="auto"/>
        <w:rPr>
          <w:color w:val="auto"/>
          <w:sz w:val="22"/>
          <w:szCs w:val="22"/>
          <w:highlight w:val="none"/>
        </w:rPr>
      </w:pPr>
      <w:r>
        <w:rPr>
          <w:color w:val="auto"/>
          <w:sz w:val="22"/>
          <w:szCs w:val="22"/>
          <w:highlight w:val="none"/>
        </w:rPr>
        <w:t>27.5各投标供应商对中标结果如有质疑，可在公告期内以书面形式向采购人或者采购代理机构提出质疑，但需对质疑内容的真实性承担法律责任。</w:t>
      </w:r>
    </w:p>
    <w:p w14:paraId="42CF0774">
      <w:pPr>
        <w:tabs>
          <w:tab w:val="left" w:pos="420"/>
          <w:tab w:val="left" w:pos="540"/>
        </w:tabs>
        <w:spacing w:line="360" w:lineRule="auto"/>
        <w:rPr>
          <w:color w:val="auto"/>
          <w:sz w:val="22"/>
          <w:szCs w:val="22"/>
          <w:highlight w:val="none"/>
        </w:rPr>
      </w:pPr>
      <w:r>
        <w:rPr>
          <w:color w:val="auto"/>
          <w:sz w:val="22"/>
          <w:szCs w:val="22"/>
          <w:highlight w:val="none"/>
        </w:rPr>
        <w:t>28. 签订合同</w:t>
      </w:r>
    </w:p>
    <w:p w14:paraId="1465EC0E">
      <w:pPr>
        <w:tabs>
          <w:tab w:val="left" w:pos="540"/>
        </w:tabs>
        <w:overflowPunct w:val="0"/>
        <w:spacing w:line="360" w:lineRule="auto"/>
        <w:rPr>
          <w:rFonts w:eastAsia="仿宋"/>
          <w:b/>
          <w:color w:val="auto"/>
          <w:spacing w:val="6"/>
          <w:sz w:val="22"/>
          <w:szCs w:val="22"/>
          <w:highlight w:val="none"/>
        </w:rPr>
      </w:pPr>
      <w:r>
        <w:rPr>
          <w:color w:val="auto"/>
          <w:sz w:val="22"/>
          <w:szCs w:val="22"/>
          <w:highlight w:val="none"/>
        </w:rPr>
        <w:t>28.1中标供应商在签订合同前应按《投标供应商须知前附表》约定的金额向采购人提交履约担保，中标供应商不能按本条要求提交履约担保的，视为放弃中标。</w:t>
      </w:r>
    </w:p>
    <w:p w14:paraId="5D244C01">
      <w:pPr>
        <w:tabs>
          <w:tab w:val="left" w:pos="540"/>
        </w:tabs>
        <w:overflowPunct w:val="0"/>
        <w:spacing w:line="360" w:lineRule="auto"/>
        <w:rPr>
          <w:color w:val="auto"/>
          <w:sz w:val="22"/>
          <w:szCs w:val="22"/>
          <w:highlight w:val="none"/>
        </w:rPr>
      </w:pPr>
      <w:r>
        <w:rPr>
          <w:color w:val="auto"/>
          <w:sz w:val="22"/>
          <w:szCs w:val="22"/>
          <w:highlight w:val="none"/>
        </w:rPr>
        <w:t>28.2中标供应商应按中标通知书规定的时间、地点与采购人签订合同。采购文件、中标供应商的投标文件、投标修改文件、评标过程中的澄清文件以及询标纪要和中标通知书一起构成合同文件。</w:t>
      </w:r>
    </w:p>
    <w:p w14:paraId="759E0FCE">
      <w:pPr>
        <w:tabs>
          <w:tab w:val="left" w:pos="420"/>
          <w:tab w:val="left" w:pos="540"/>
        </w:tabs>
        <w:spacing w:line="360" w:lineRule="auto"/>
        <w:rPr>
          <w:color w:val="auto"/>
          <w:sz w:val="22"/>
          <w:szCs w:val="22"/>
          <w:highlight w:val="none"/>
        </w:rPr>
      </w:pPr>
      <w:r>
        <w:rPr>
          <w:color w:val="auto"/>
          <w:sz w:val="22"/>
          <w:szCs w:val="22"/>
          <w:highlight w:val="none"/>
        </w:rPr>
        <w:t>28.3拒签合同的违约责任：</w:t>
      </w:r>
    </w:p>
    <w:p w14:paraId="7AD428B5">
      <w:pPr>
        <w:tabs>
          <w:tab w:val="left" w:pos="420"/>
          <w:tab w:val="left" w:pos="540"/>
        </w:tabs>
        <w:spacing w:line="360" w:lineRule="auto"/>
        <w:rPr>
          <w:color w:val="auto"/>
          <w:sz w:val="22"/>
          <w:szCs w:val="22"/>
          <w:highlight w:val="none"/>
        </w:rPr>
      </w:pPr>
      <w:r>
        <w:rPr>
          <w:color w:val="auto"/>
          <w:sz w:val="22"/>
          <w:szCs w:val="22"/>
          <w:highlight w:val="none"/>
        </w:rPr>
        <w:t>采购人发出中标通知书后，中标供应商在规定时间内借故否认已经承诺的条件而拒签合同的，以投标违约处理，其投标保证金不予退回，并赔偿采购人由此造成的直接经济损失；采购人重新组织采购的，所需费用由该中标供应商承担。</w:t>
      </w:r>
    </w:p>
    <w:p w14:paraId="72C606B1">
      <w:pPr>
        <w:tabs>
          <w:tab w:val="left" w:pos="420"/>
          <w:tab w:val="left" w:pos="540"/>
        </w:tabs>
        <w:spacing w:line="360" w:lineRule="auto"/>
        <w:rPr>
          <w:color w:val="auto"/>
          <w:sz w:val="22"/>
          <w:szCs w:val="22"/>
          <w:highlight w:val="none"/>
        </w:rPr>
      </w:pPr>
      <w:r>
        <w:rPr>
          <w:color w:val="auto"/>
          <w:sz w:val="22"/>
          <w:szCs w:val="22"/>
          <w:highlight w:val="none"/>
        </w:rPr>
        <w:t xml:space="preserve">29. 中标供应商应在合同签订后5个工作日内提交一份合同文本扫描件报采购代理机构备案。 </w:t>
      </w:r>
    </w:p>
    <w:p w14:paraId="765FDAEF">
      <w:pPr>
        <w:tabs>
          <w:tab w:val="left" w:pos="420"/>
          <w:tab w:val="left" w:pos="540"/>
        </w:tabs>
        <w:spacing w:line="360" w:lineRule="auto"/>
        <w:rPr>
          <w:b/>
          <w:bCs/>
          <w:color w:val="auto"/>
          <w:sz w:val="22"/>
          <w:szCs w:val="22"/>
          <w:highlight w:val="none"/>
        </w:rPr>
      </w:pPr>
      <w:r>
        <w:rPr>
          <w:b/>
          <w:bCs/>
          <w:color w:val="auto"/>
          <w:sz w:val="22"/>
          <w:szCs w:val="22"/>
          <w:highlight w:val="none"/>
        </w:rPr>
        <w:t>30.采购代理服务费</w:t>
      </w:r>
    </w:p>
    <w:p w14:paraId="02171489">
      <w:pPr>
        <w:numPr>
          <w:ilvl w:val="1"/>
          <w:numId w:val="0"/>
        </w:numPr>
        <w:tabs>
          <w:tab w:val="left" w:pos="540"/>
        </w:tabs>
        <w:spacing w:line="360" w:lineRule="auto"/>
        <w:ind w:left="450" w:hanging="450"/>
        <w:rPr>
          <w:b/>
          <w:bCs/>
          <w:color w:val="auto"/>
          <w:sz w:val="22"/>
          <w:szCs w:val="22"/>
          <w:highlight w:val="none"/>
        </w:rPr>
      </w:pPr>
      <w:r>
        <w:rPr>
          <w:b/>
          <w:bCs/>
          <w:color w:val="auto"/>
          <w:sz w:val="22"/>
          <w:szCs w:val="22"/>
          <w:highlight w:val="none"/>
        </w:rPr>
        <w:t>30.1</w:t>
      </w:r>
      <w:r>
        <w:rPr>
          <w:rFonts w:hint="eastAsia"/>
          <w:b/>
          <w:bCs/>
          <w:color w:val="auto"/>
          <w:sz w:val="22"/>
          <w:szCs w:val="22"/>
          <w:highlight w:val="none"/>
        </w:rPr>
        <w:t>本次采购代理服务费按固定金额人民币</w:t>
      </w:r>
      <w:r>
        <w:rPr>
          <w:rFonts w:hint="eastAsia"/>
          <w:b/>
          <w:bCs/>
          <w:color w:val="auto"/>
          <w:sz w:val="22"/>
          <w:szCs w:val="22"/>
          <w:highlight w:val="none"/>
          <w:lang w:val="en-US" w:eastAsia="zh-CN"/>
        </w:rPr>
        <w:t>5900</w:t>
      </w:r>
      <w:r>
        <w:rPr>
          <w:rFonts w:hint="eastAsia"/>
          <w:b/>
          <w:bCs/>
          <w:color w:val="auto"/>
          <w:sz w:val="22"/>
          <w:szCs w:val="22"/>
          <w:highlight w:val="none"/>
        </w:rPr>
        <w:t>元收取，中标</w:t>
      </w:r>
      <w:r>
        <w:rPr>
          <w:rFonts w:hint="eastAsia"/>
          <w:b/>
          <w:color w:val="auto"/>
          <w:sz w:val="22"/>
          <w:highlight w:val="none"/>
        </w:rPr>
        <w:t>供应商须在领取中标通知书前支付</w:t>
      </w:r>
      <w:r>
        <w:rPr>
          <w:rFonts w:hint="eastAsia"/>
          <w:b/>
          <w:bCs/>
          <w:color w:val="auto"/>
          <w:sz w:val="22"/>
          <w:szCs w:val="22"/>
          <w:highlight w:val="none"/>
        </w:rPr>
        <w:t>。</w:t>
      </w:r>
    </w:p>
    <w:p w14:paraId="4731FC11">
      <w:pPr>
        <w:numPr>
          <w:ilvl w:val="1"/>
          <w:numId w:val="0"/>
        </w:numPr>
        <w:tabs>
          <w:tab w:val="left" w:pos="540"/>
        </w:tabs>
        <w:spacing w:line="360" w:lineRule="auto"/>
        <w:ind w:left="450" w:hanging="450"/>
        <w:rPr>
          <w:bCs/>
          <w:color w:val="auto"/>
          <w:sz w:val="22"/>
          <w:szCs w:val="22"/>
          <w:highlight w:val="none"/>
        </w:rPr>
      </w:pPr>
      <w:r>
        <w:rPr>
          <w:bCs/>
          <w:color w:val="auto"/>
          <w:sz w:val="22"/>
          <w:szCs w:val="22"/>
          <w:highlight w:val="none"/>
        </w:rPr>
        <w:t>30.2采购代理服务费可以是现金、支票或汇票。</w:t>
      </w:r>
    </w:p>
    <w:p w14:paraId="503435CB">
      <w:pPr>
        <w:pStyle w:val="70"/>
        <w:snapToGrid w:val="0"/>
        <w:spacing w:line="360" w:lineRule="auto"/>
        <w:ind w:firstLine="0" w:firstLineChars="0"/>
        <w:rPr>
          <w:rFonts w:ascii="Times New Roman" w:hAnsi="Times New Roman"/>
          <w:color w:val="auto"/>
          <w:sz w:val="21"/>
          <w:szCs w:val="24"/>
          <w:highlight w:val="none"/>
        </w:rPr>
      </w:pPr>
      <w:r>
        <w:rPr>
          <w:rFonts w:ascii="Times New Roman" w:hAnsi="Times New Roman"/>
          <w:bCs/>
          <w:color w:val="auto"/>
          <w:sz w:val="22"/>
          <w:szCs w:val="22"/>
          <w:highlight w:val="none"/>
        </w:rPr>
        <w:t>31.乐采云</w:t>
      </w:r>
      <w:r>
        <w:rPr>
          <w:rFonts w:ascii="Times New Roman" w:hAnsi="Times New Roman"/>
          <w:color w:val="auto"/>
          <w:sz w:val="21"/>
          <w:szCs w:val="24"/>
          <w:highlight w:val="none"/>
        </w:rPr>
        <w:t>技术服务费；</w:t>
      </w:r>
    </w:p>
    <w:p w14:paraId="796988AD">
      <w:pPr>
        <w:pStyle w:val="70"/>
        <w:snapToGrid w:val="0"/>
        <w:spacing w:line="360" w:lineRule="auto"/>
        <w:ind w:firstLine="0" w:firstLineChars="0"/>
        <w:rPr>
          <w:rFonts w:ascii="Times New Roman" w:hAnsi="Times New Roman"/>
          <w:color w:val="auto"/>
          <w:sz w:val="21"/>
          <w:szCs w:val="24"/>
          <w:highlight w:val="none"/>
        </w:rPr>
      </w:pPr>
      <w:r>
        <w:rPr>
          <w:rFonts w:ascii="Times New Roman" w:hAnsi="Times New Roman"/>
          <w:color w:val="auto"/>
          <w:sz w:val="21"/>
          <w:szCs w:val="24"/>
          <w:highlight w:val="none"/>
        </w:rPr>
        <w:fldChar w:fldCharType="begin"/>
      </w:r>
      <w:r>
        <w:rPr>
          <w:rFonts w:ascii="Times New Roman" w:hAnsi="Times New Roman"/>
          <w:color w:val="auto"/>
          <w:sz w:val="21"/>
          <w:szCs w:val="24"/>
          <w:highlight w:val="none"/>
        </w:rPr>
        <w:instrText xml:space="preserve"> = 1 \* GB3 \* MERGEFORMAT </w:instrText>
      </w:r>
      <w:r>
        <w:rPr>
          <w:rFonts w:ascii="Times New Roman" w:hAnsi="Times New Roman"/>
          <w:color w:val="auto"/>
          <w:sz w:val="21"/>
          <w:szCs w:val="24"/>
          <w:highlight w:val="none"/>
        </w:rPr>
        <w:fldChar w:fldCharType="separate"/>
      </w:r>
      <w:r>
        <w:rPr>
          <w:rFonts w:ascii="Cambria Math" w:hAnsi="Cambria Math" w:cs="Cambria Math"/>
          <w:color w:val="auto"/>
          <w:sz w:val="21"/>
          <w:szCs w:val="24"/>
          <w:highlight w:val="none"/>
        </w:rPr>
        <w:t>①</w:t>
      </w:r>
      <w:r>
        <w:rPr>
          <w:rFonts w:ascii="Times New Roman" w:hAnsi="Times New Roman"/>
          <w:color w:val="auto"/>
          <w:sz w:val="21"/>
          <w:szCs w:val="24"/>
          <w:highlight w:val="none"/>
        </w:rPr>
        <w:fldChar w:fldCharType="end"/>
      </w:r>
      <w:r>
        <w:rPr>
          <w:rFonts w:ascii="Times New Roman" w:hAnsi="Times New Roman"/>
          <w:color w:val="auto"/>
          <w:sz w:val="21"/>
          <w:szCs w:val="24"/>
          <w:highlight w:val="none"/>
        </w:rPr>
        <w:t>中标价80万元以下(含80万元的) : 按800元收取；</w:t>
      </w:r>
    </w:p>
    <w:p w14:paraId="3E9781B1">
      <w:pPr>
        <w:pStyle w:val="70"/>
        <w:snapToGrid w:val="0"/>
        <w:spacing w:line="360" w:lineRule="auto"/>
        <w:ind w:firstLine="0" w:firstLineChars="0"/>
        <w:rPr>
          <w:rFonts w:ascii="Times New Roman" w:hAnsi="Times New Roman"/>
          <w:color w:val="auto"/>
          <w:sz w:val="21"/>
          <w:szCs w:val="24"/>
          <w:highlight w:val="none"/>
        </w:rPr>
      </w:pPr>
      <w:r>
        <w:rPr>
          <w:rFonts w:ascii="Times New Roman" w:hAnsi="Times New Roman"/>
          <w:color w:val="auto"/>
          <w:sz w:val="21"/>
          <w:szCs w:val="24"/>
          <w:highlight w:val="none"/>
        </w:rPr>
        <w:fldChar w:fldCharType="begin"/>
      </w:r>
      <w:r>
        <w:rPr>
          <w:rFonts w:ascii="Times New Roman" w:hAnsi="Times New Roman"/>
          <w:color w:val="auto"/>
          <w:sz w:val="21"/>
          <w:szCs w:val="24"/>
          <w:highlight w:val="none"/>
        </w:rPr>
        <w:instrText xml:space="preserve"> = 2 \* GB3 \* MERGEFORMAT </w:instrText>
      </w:r>
      <w:r>
        <w:rPr>
          <w:rFonts w:ascii="Times New Roman" w:hAnsi="Times New Roman"/>
          <w:color w:val="auto"/>
          <w:sz w:val="21"/>
          <w:szCs w:val="24"/>
          <w:highlight w:val="none"/>
        </w:rPr>
        <w:fldChar w:fldCharType="separate"/>
      </w:r>
      <w:r>
        <w:rPr>
          <w:rFonts w:ascii="Cambria Math" w:hAnsi="Cambria Math" w:cs="Cambria Math"/>
          <w:color w:val="auto"/>
          <w:sz w:val="21"/>
          <w:szCs w:val="24"/>
          <w:highlight w:val="none"/>
        </w:rPr>
        <w:t>②</w:t>
      </w:r>
      <w:r>
        <w:rPr>
          <w:rFonts w:ascii="Times New Roman" w:hAnsi="Times New Roman"/>
          <w:color w:val="auto"/>
          <w:sz w:val="21"/>
          <w:szCs w:val="24"/>
          <w:highlight w:val="none"/>
        </w:rPr>
        <w:fldChar w:fldCharType="end"/>
      </w:r>
      <w:r>
        <w:rPr>
          <w:rFonts w:ascii="Times New Roman" w:hAnsi="Times New Roman"/>
          <w:color w:val="auto"/>
          <w:sz w:val="21"/>
          <w:szCs w:val="24"/>
          <w:highlight w:val="none"/>
        </w:rPr>
        <w:t>中标价超过80万元的:中标价的千分之一 (0.1%)，以30000元封顶。中标后，由中标人支付给乐采云公司。</w:t>
      </w:r>
    </w:p>
    <w:p w14:paraId="3D45A0A0">
      <w:pPr>
        <w:pStyle w:val="8"/>
        <w:spacing w:line="360" w:lineRule="auto"/>
        <w:rPr>
          <w:color w:val="auto"/>
          <w:highlight w:val="none"/>
        </w:rPr>
      </w:pPr>
    </w:p>
    <w:p w14:paraId="5D763302">
      <w:pPr>
        <w:tabs>
          <w:tab w:val="left" w:pos="840"/>
        </w:tabs>
        <w:spacing w:line="360" w:lineRule="auto"/>
        <w:rPr>
          <w:bCs/>
          <w:color w:val="auto"/>
          <w:sz w:val="22"/>
          <w:szCs w:val="22"/>
          <w:highlight w:val="none"/>
        </w:rPr>
      </w:pPr>
    </w:p>
    <w:p w14:paraId="6499A93D">
      <w:pPr>
        <w:tabs>
          <w:tab w:val="left" w:pos="540"/>
        </w:tabs>
        <w:spacing w:line="360" w:lineRule="auto"/>
        <w:jc w:val="center"/>
        <w:outlineLvl w:val="0"/>
        <w:rPr>
          <w:b/>
          <w:bCs/>
          <w:color w:val="auto"/>
          <w:kern w:val="44"/>
          <w:sz w:val="36"/>
          <w:szCs w:val="44"/>
          <w:highlight w:val="none"/>
        </w:rPr>
      </w:pPr>
      <w:r>
        <w:rPr>
          <w:color w:val="auto"/>
          <w:szCs w:val="21"/>
          <w:highlight w:val="none"/>
        </w:rPr>
        <w:t xml:space="preserve">  </w:t>
      </w:r>
      <w:r>
        <w:rPr>
          <w:color w:val="auto"/>
          <w:szCs w:val="21"/>
          <w:highlight w:val="none"/>
        </w:rPr>
        <w:br w:type="page"/>
      </w:r>
      <w:bookmarkStart w:id="147" w:name="_Toc32428"/>
      <w:bookmarkStart w:id="148" w:name="_Toc246261270"/>
      <w:bookmarkStart w:id="149" w:name="_Toc222114884"/>
      <w:bookmarkStart w:id="150" w:name="_Toc221374631"/>
      <w:bookmarkStart w:id="151" w:name="_Toc221356956"/>
      <w:bookmarkStart w:id="152" w:name="_Toc262105509"/>
      <w:bookmarkStart w:id="153" w:name="_Toc245722286"/>
      <w:bookmarkStart w:id="154" w:name="_Toc249758718"/>
      <w:bookmarkStart w:id="155" w:name="_Toc249758719"/>
      <w:bookmarkStart w:id="156" w:name="_Toc249758870"/>
      <w:bookmarkStart w:id="157" w:name="_Toc262049424"/>
      <w:bookmarkStart w:id="158" w:name="_Toc223716003"/>
      <w:bookmarkStart w:id="159" w:name="_Toc221423624"/>
      <w:bookmarkStart w:id="160" w:name="_Toc389760268"/>
      <w:bookmarkStart w:id="161" w:name="_Toc245191319"/>
      <w:bookmarkStart w:id="162" w:name="_Toc29347"/>
      <w:bookmarkStart w:id="163" w:name="_Toc239145359"/>
      <w:bookmarkStart w:id="164" w:name="_Toc241404207"/>
      <w:bookmarkStart w:id="165" w:name="_Toc221356892"/>
      <w:r>
        <w:rPr>
          <w:rStyle w:val="39"/>
          <w:rFonts w:ascii="Times New Roman" w:hAnsi="Times New Roman" w:eastAsia="宋体"/>
          <w:color w:val="auto"/>
          <w:highlight w:val="none"/>
        </w:rPr>
        <w:t>第二部分   合同主要条款</w:t>
      </w:r>
      <w:bookmarkEnd w:id="147"/>
    </w:p>
    <w:p w14:paraId="147FD73F">
      <w:pPr>
        <w:spacing w:line="360" w:lineRule="auto"/>
        <w:ind w:firstLine="442" w:firstLineChars="200"/>
        <w:rPr>
          <w:color w:val="auto"/>
          <w:sz w:val="22"/>
          <w:szCs w:val="22"/>
          <w:highlight w:val="none"/>
        </w:rPr>
      </w:pPr>
      <w:bookmarkStart w:id="166" w:name="_Toc215415537"/>
      <w:bookmarkStart w:id="167" w:name="_Toc223933228"/>
      <w:bookmarkStart w:id="168" w:name="_Toc216667827"/>
      <w:bookmarkStart w:id="169" w:name="_Toc227057040"/>
      <w:bookmarkStart w:id="170" w:name="_Toc227056853"/>
      <w:bookmarkStart w:id="171" w:name="_Toc227489894"/>
      <w:bookmarkStart w:id="172" w:name="_Toc217460692"/>
      <w:bookmarkStart w:id="173" w:name="_Toc346043709"/>
      <w:bookmarkStart w:id="174" w:name="_Toc223717611"/>
      <w:bookmarkStart w:id="175" w:name="_Toc219538620"/>
      <w:bookmarkStart w:id="176" w:name="_Toc218041733"/>
      <w:bookmarkStart w:id="177" w:name="_Hlk206598940"/>
      <w:r>
        <w:rPr>
          <w:b/>
          <w:bCs/>
          <w:color w:val="auto"/>
          <w:sz w:val="22"/>
          <w:szCs w:val="22"/>
          <w:highlight w:val="none"/>
        </w:rPr>
        <w:t>注：</w:t>
      </w:r>
      <w:r>
        <w:rPr>
          <w:color w:val="auto"/>
          <w:sz w:val="22"/>
          <w:szCs w:val="22"/>
          <w:highlight w:val="none"/>
        </w:rPr>
        <w:t>本合同格式为参考模板，以下条款为买卖双方必须遵守的基本条款，不得更改实质性内容，买卖双方也可根据实际情况另签合同条款，正式合同以双方签字盖章的文本为准。</w:t>
      </w:r>
    </w:p>
    <w:bookmarkEnd w:id="166"/>
    <w:bookmarkEnd w:id="167"/>
    <w:bookmarkEnd w:id="168"/>
    <w:bookmarkEnd w:id="169"/>
    <w:bookmarkEnd w:id="170"/>
    <w:bookmarkEnd w:id="171"/>
    <w:bookmarkEnd w:id="172"/>
    <w:bookmarkEnd w:id="173"/>
    <w:bookmarkEnd w:id="174"/>
    <w:bookmarkEnd w:id="175"/>
    <w:bookmarkEnd w:id="176"/>
    <w:p w14:paraId="3FC2A3D3">
      <w:pPr>
        <w:spacing w:line="360" w:lineRule="auto"/>
        <w:rPr>
          <w:color w:val="auto"/>
          <w:highlight w:val="none"/>
        </w:rPr>
      </w:pPr>
    </w:p>
    <w:p w14:paraId="6C45CDB7">
      <w:pPr>
        <w:pStyle w:val="12"/>
        <w:keepNext w:val="0"/>
        <w:keepLines w:val="0"/>
        <w:pageBreakBefore w:val="0"/>
        <w:kinsoku/>
        <w:wordWrap/>
        <w:topLinePunct w:val="0"/>
        <w:bidi w:val="0"/>
        <w:snapToGrid w:val="0"/>
        <w:spacing w:line="360" w:lineRule="auto"/>
        <w:outlineLvl w:val="9"/>
        <w:rPr>
          <w:rFonts w:hint="eastAsia" w:ascii="宋体" w:hAnsi="宋体" w:eastAsia="宋体" w:cs="宋体"/>
          <w:sz w:val="22"/>
          <w:szCs w:val="22"/>
        </w:rPr>
      </w:pPr>
      <w:r>
        <w:rPr>
          <w:rFonts w:hint="eastAsia" w:ascii="宋体" w:hAnsi="宋体" w:eastAsia="宋体" w:cs="宋体"/>
          <w:sz w:val="22"/>
          <w:szCs w:val="22"/>
        </w:rPr>
        <w:t>甲方：</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eastAsia="zh-CN"/>
        </w:rPr>
        <w:t>温州市数据集团有限公司</w:t>
      </w:r>
      <w:r>
        <w:rPr>
          <w:rFonts w:hint="eastAsia" w:ascii="宋体" w:hAnsi="宋体" w:eastAsia="宋体" w:cs="宋体"/>
          <w:sz w:val="22"/>
          <w:szCs w:val="22"/>
          <w:u w:val="single"/>
        </w:rPr>
        <w:t xml:space="preserve">  </w:t>
      </w:r>
    </w:p>
    <w:p w14:paraId="5B141730">
      <w:pPr>
        <w:pStyle w:val="12"/>
        <w:keepNext w:val="0"/>
        <w:keepLines w:val="0"/>
        <w:pageBreakBefore w:val="0"/>
        <w:kinsoku/>
        <w:wordWrap/>
        <w:topLinePunct w:val="0"/>
        <w:bidi w:val="0"/>
        <w:snapToGrid w:val="0"/>
        <w:spacing w:line="360" w:lineRule="auto"/>
        <w:outlineLvl w:val="9"/>
        <w:rPr>
          <w:rFonts w:hint="eastAsia" w:ascii="宋体" w:hAnsi="宋体" w:eastAsia="宋体" w:cs="宋体"/>
          <w:sz w:val="22"/>
          <w:szCs w:val="22"/>
        </w:rPr>
      </w:pPr>
      <w:r>
        <w:rPr>
          <w:rFonts w:hint="eastAsia" w:ascii="宋体" w:hAnsi="宋体" w:eastAsia="宋体" w:cs="宋体"/>
          <w:sz w:val="22"/>
          <w:szCs w:val="22"/>
        </w:rPr>
        <w:t>乙方：</w:t>
      </w:r>
      <w:r>
        <w:rPr>
          <w:rFonts w:hint="eastAsia" w:ascii="宋体" w:hAnsi="宋体" w:eastAsia="宋体" w:cs="宋体"/>
          <w:sz w:val="22"/>
          <w:szCs w:val="22"/>
          <w:u w:val="single"/>
        </w:rPr>
        <w:t xml:space="preserve">                                   </w:t>
      </w:r>
    </w:p>
    <w:p w14:paraId="158FA6D7">
      <w:pPr>
        <w:spacing w:before="196" w:line="219" w:lineRule="auto"/>
        <w:outlineLvl w:val="9"/>
        <w:rPr>
          <w:rFonts w:hint="eastAsia" w:ascii="宋体" w:hAnsi="宋体" w:eastAsia="宋体" w:cs="宋体"/>
          <w:sz w:val="22"/>
          <w:szCs w:val="22"/>
        </w:rPr>
      </w:pPr>
    </w:p>
    <w:p w14:paraId="74E78EB8">
      <w:pPr>
        <w:keepNext/>
        <w:keepLines/>
        <w:autoSpaceDE w:val="0"/>
        <w:autoSpaceDN w:val="0"/>
        <w:adjustRightInd w:val="0"/>
        <w:spacing w:line="456" w:lineRule="exact"/>
        <w:jc w:val="center"/>
        <w:outlineLvl w:val="9"/>
        <w:rPr>
          <w:rFonts w:hint="eastAsia" w:ascii="宋体" w:hAnsi="宋体" w:eastAsia="宋体" w:cs="宋体"/>
          <w:kern w:val="44"/>
          <w:sz w:val="22"/>
          <w:szCs w:val="22"/>
          <w:lang w:val="zh-CN"/>
        </w:rPr>
      </w:pPr>
      <w:r>
        <w:rPr>
          <w:rFonts w:hint="eastAsia" w:ascii="宋体" w:hAnsi="宋体" w:eastAsia="宋体" w:cs="宋体"/>
          <w:b/>
          <w:bCs/>
          <w:kern w:val="44"/>
          <w:sz w:val="22"/>
          <w:szCs w:val="22"/>
          <w:lang w:val="zh-CN"/>
        </w:rPr>
        <w:t>第一部分 合同通用条款</w:t>
      </w:r>
    </w:p>
    <w:p w14:paraId="4F647E86">
      <w:pPr>
        <w:autoSpaceDE w:val="0"/>
        <w:autoSpaceDN w:val="0"/>
        <w:adjustRightInd w:val="0"/>
        <w:spacing w:line="456" w:lineRule="exact"/>
        <w:ind w:firstLine="440" w:firstLineChars="200"/>
        <w:outlineLvl w:val="9"/>
        <w:rPr>
          <w:rFonts w:hint="eastAsia" w:ascii="宋体" w:hAnsi="宋体" w:eastAsia="宋体" w:cs="宋体"/>
          <w:sz w:val="22"/>
          <w:szCs w:val="22"/>
          <w:lang w:val="zh-CN"/>
        </w:rPr>
      </w:pPr>
      <w:r>
        <w:rPr>
          <w:rFonts w:hint="eastAsia" w:ascii="宋体" w:hAnsi="宋体" w:eastAsia="宋体" w:cs="宋体"/>
          <w:sz w:val="22"/>
          <w:szCs w:val="22"/>
          <w:lang w:val="zh-CN"/>
        </w:rPr>
        <w:t>参照《中华人民共和国民法典》等法律、法规及有关的国家、地方、行业标准的规定，在相互尊重，真诚合作的基础上，并按照公正、平等、自愿、诚实信用的原则，同意按照以下条款和条件，签署本合同。</w:t>
      </w:r>
    </w:p>
    <w:p w14:paraId="2125CB02">
      <w:pPr>
        <w:autoSpaceDE w:val="0"/>
        <w:autoSpaceDN w:val="0"/>
        <w:adjustRightInd w:val="0"/>
        <w:spacing w:line="456" w:lineRule="exact"/>
        <w:ind w:firstLine="442" w:firstLineChars="200"/>
        <w:outlineLvl w:val="9"/>
        <w:rPr>
          <w:rFonts w:hint="eastAsia" w:ascii="宋体" w:hAnsi="宋体" w:eastAsia="宋体" w:cs="宋体"/>
          <w:b/>
          <w:bCs/>
          <w:sz w:val="22"/>
          <w:szCs w:val="22"/>
          <w:lang w:val="zh-CN"/>
        </w:rPr>
      </w:pPr>
      <w:r>
        <w:rPr>
          <w:rFonts w:hint="eastAsia" w:ascii="宋体" w:hAnsi="宋体" w:eastAsia="宋体" w:cs="宋体"/>
          <w:b/>
          <w:bCs/>
          <w:sz w:val="22"/>
          <w:szCs w:val="22"/>
          <w:lang w:val="zh-CN"/>
        </w:rPr>
        <w:t>A</w:t>
      </w:r>
      <w:r>
        <w:rPr>
          <w:rFonts w:hint="eastAsia" w:ascii="宋体" w:hAnsi="宋体" w:eastAsia="宋体" w:cs="宋体"/>
          <w:b/>
          <w:bCs/>
          <w:sz w:val="22"/>
          <w:szCs w:val="22"/>
        </w:rPr>
        <w:t>.</w:t>
      </w:r>
      <w:r>
        <w:rPr>
          <w:rFonts w:hint="eastAsia" w:ascii="宋体" w:hAnsi="宋体" w:eastAsia="宋体" w:cs="宋体"/>
          <w:b/>
          <w:bCs/>
          <w:sz w:val="22"/>
          <w:szCs w:val="22"/>
          <w:lang w:val="zh-CN"/>
        </w:rPr>
        <w:t>词语定义、适用语言和法规</w:t>
      </w:r>
    </w:p>
    <w:p w14:paraId="155AAA10">
      <w:pPr>
        <w:autoSpaceDE w:val="0"/>
        <w:autoSpaceDN w:val="0"/>
        <w:adjustRightInd w:val="0"/>
        <w:spacing w:line="456" w:lineRule="exact"/>
        <w:ind w:firstLine="442" w:firstLineChars="200"/>
        <w:outlineLvl w:val="9"/>
        <w:rPr>
          <w:rFonts w:hint="eastAsia" w:ascii="宋体" w:hAnsi="宋体" w:eastAsia="宋体" w:cs="宋体"/>
          <w:sz w:val="22"/>
          <w:szCs w:val="22"/>
          <w:lang w:val="zh-CN"/>
        </w:rPr>
      </w:pPr>
      <w:r>
        <w:rPr>
          <w:rFonts w:hint="eastAsia" w:ascii="宋体" w:hAnsi="宋体" w:eastAsia="宋体" w:cs="宋体"/>
          <w:b/>
          <w:bCs/>
          <w:sz w:val="22"/>
          <w:szCs w:val="22"/>
          <w:lang w:val="zh-CN"/>
        </w:rPr>
        <w:t>第一条</w:t>
      </w:r>
      <w:r>
        <w:rPr>
          <w:rFonts w:hint="eastAsia" w:ascii="宋体" w:hAnsi="宋体" w:eastAsia="宋体" w:cs="宋体"/>
          <w:b/>
          <w:bCs/>
          <w:sz w:val="22"/>
          <w:szCs w:val="22"/>
        </w:rPr>
        <w:t xml:space="preserve"> </w:t>
      </w:r>
      <w:r>
        <w:rPr>
          <w:rFonts w:hint="eastAsia" w:ascii="宋体" w:hAnsi="宋体" w:eastAsia="宋体" w:cs="宋体"/>
          <w:sz w:val="22"/>
          <w:szCs w:val="22"/>
          <w:lang w:val="zh-CN"/>
        </w:rPr>
        <w:t>下列名词和用语，除上下文另有规定外，应具有如下含义。</w:t>
      </w:r>
    </w:p>
    <w:p w14:paraId="2EDEA240">
      <w:pPr>
        <w:autoSpaceDE w:val="0"/>
        <w:autoSpaceDN w:val="0"/>
        <w:adjustRightInd w:val="0"/>
        <w:spacing w:line="456" w:lineRule="exact"/>
        <w:ind w:firstLine="440" w:firstLineChars="200"/>
        <w:outlineLvl w:val="9"/>
        <w:rPr>
          <w:rFonts w:hint="eastAsia" w:ascii="宋体" w:hAnsi="宋体" w:eastAsia="宋体" w:cs="宋体"/>
          <w:sz w:val="22"/>
          <w:szCs w:val="22"/>
          <w:lang w:val="zh-CN"/>
        </w:rPr>
      </w:pPr>
      <w:r>
        <w:rPr>
          <w:rFonts w:hint="eastAsia" w:ascii="宋体" w:hAnsi="宋体" w:eastAsia="宋体" w:cs="宋体"/>
          <w:sz w:val="22"/>
          <w:szCs w:val="22"/>
          <w:lang w:val="zh-CN"/>
        </w:rPr>
        <w:t>（一）“工程”是指甲方委托实施监理的工程。</w:t>
      </w:r>
    </w:p>
    <w:p w14:paraId="533A1FF5">
      <w:pPr>
        <w:autoSpaceDE w:val="0"/>
        <w:autoSpaceDN w:val="0"/>
        <w:adjustRightInd w:val="0"/>
        <w:spacing w:line="456" w:lineRule="exact"/>
        <w:ind w:firstLine="440" w:firstLineChars="200"/>
        <w:outlineLvl w:val="9"/>
        <w:rPr>
          <w:rFonts w:hint="eastAsia" w:ascii="宋体" w:hAnsi="宋体" w:eastAsia="宋体" w:cs="宋体"/>
          <w:sz w:val="22"/>
          <w:szCs w:val="22"/>
          <w:lang w:val="zh-CN"/>
        </w:rPr>
      </w:pPr>
      <w:r>
        <w:rPr>
          <w:rFonts w:hint="eastAsia" w:ascii="宋体" w:hAnsi="宋体" w:eastAsia="宋体" w:cs="宋体"/>
          <w:sz w:val="22"/>
          <w:szCs w:val="22"/>
          <w:lang w:val="zh-CN"/>
        </w:rPr>
        <w:t>（二）“第三方”是指除甲方、乙方以外与工程建设有关的当事人。</w:t>
      </w:r>
    </w:p>
    <w:p w14:paraId="25286E35">
      <w:pPr>
        <w:autoSpaceDE w:val="0"/>
        <w:autoSpaceDN w:val="0"/>
        <w:adjustRightInd w:val="0"/>
        <w:spacing w:line="456" w:lineRule="exact"/>
        <w:ind w:firstLine="440" w:firstLineChars="200"/>
        <w:outlineLvl w:val="9"/>
        <w:rPr>
          <w:rFonts w:hint="eastAsia" w:ascii="宋体" w:hAnsi="宋体" w:eastAsia="宋体" w:cs="宋体"/>
          <w:sz w:val="22"/>
          <w:szCs w:val="22"/>
          <w:lang w:val="zh-CN"/>
        </w:rPr>
      </w:pPr>
      <w:r>
        <w:rPr>
          <w:rFonts w:hint="eastAsia" w:ascii="宋体" w:hAnsi="宋体" w:eastAsia="宋体" w:cs="宋体"/>
          <w:sz w:val="22"/>
          <w:szCs w:val="22"/>
          <w:lang w:val="zh-CN"/>
        </w:rPr>
        <w:t>（三）“工程建设监理”分为正常的监理工作、附加工作和额外工作。</w:t>
      </w:r>
    </w:p>
    <w:p w14:paraId="570CD016">
      <w:pPr>
        <w:autoSpaceDE w:val="0"/>
        <w:autoSpaceDN w:val="0"/>
        <w:adjustRightInd w:val="0"/>
        <w:spacing w:line="456" w:lineRule="exact"/>
        <w:ind w:firstLine="442" w:firstLineChars="200"/>
        <w:outlineLvl w:val="9"/>
        <w:rPr>
          <w:rFonts w:hint="eastAsia" w:ascii="宋体" w:hAnsi="宋体" w:eastAsia="宋体" w:cs="宋体"/>
          <w:sz w:val="22"/>
          <w:szCs w:val="22"/>
          <w:lang w:val="zh-CN"/>
        </w:rPr>
      </w:pPr>
      <w:r>
        <w:rPr>
          <w:rFonts w:hint="eastAsia" w:ascii="宋体" w:hAnsi="宋体" w:eastAsia="宋体" w:cs="宋体"/>
          <w:b/>
          <w:bCs/>
          <w:sz w:val="22"/>
          <w:szCs w:val="22"/>
          <w:lang w:val="zh-CN"/>
        </w:rPr>
        <w:t>第二条</w:t>
      </w:r>
      <w:r>
        <w:rPr>
          <w:rFonts w:hint="eastAsia" w:ascii="宋体" w:hAnsi="宋体" w:eastAsia="宋体" w:cs="宋体"/>
          <w:b/>
          <w:bCs/>
          <w:sz w:val="22"/>
          <w:szCs w:val="22"/>
        </w:rPr>
        <w:t xml:space="preserve"> </w:t>
      </w:r>
      <w:r>
        <w:rPr>
          <w:rFonts w:hint="eastAsia" w:ascii="宋体" w:hAnsi="宋体" w:eastAsia="宋体" w:cs="宋体"/>
          <w:sz w:val="22"/>
          <w:szCs w:val="22"/>
          <w:lang w:val="zh-CN"/>
        </w:rPr>
        <w:t>监理合同适用的法规是国家的法律、行政法规，以及专用条件中议定的部门规章或工程所在地的地方法规、地方规章。</w:t>
      </w:r>
    </w:p>
    <w:p w14:paraId="62B88F9C">
      <w:pPr>
        <w:autoSpaceDE w:val="0"/>
        <w:autoSpaceDN w:val="0"/>
        <w:adjustRightInd w:val="0"/>
        <w:spacing w:line="456" w:lineRule="exact"/>
        <w:ind w:firstLine="442" w:firstLineChars="200"/>
        <w:outlineLvl w:val="9"/>
        <w:rPr>
          <w:rFonts w:hint="eastAsia" w:ascii="宋体" w:hAnsi="宋体" w:eastAsia="宋体" w:cs="宋体"/>
          <w:sz w:val="22"/>
          <w:szCs w:val="22"/>
          <w:lang w:val="zh-CN"/>
        </w:rPr>
      </w:pPr>
      <w:r>
        <w:rPr>
          <w:rFonts w:hint="eastAsia" w:ascii="宋体" w:hAnsi="宋体" w:eastAsia="宋体" w:cs="宋体"/>
          <w:b/>
          <w:bCs/>
          <w:sz w:val="22"/>
          <w:szCs w:val="22"/>
          <w:lang w:val="zh-CN"/>
        </w:rPr>
        <w:t>第三条</w:t>
      </w:r>
      <w:r>
        <w:rPr>
          <w:rFonts w:hint="eastAsia" w:ascii="宋体" w:hAnsi="宋体" w:eastAsia="宋体" w:cs="宋体"/>
          <w:b/>
          <w:bCs/>
          <w:sz w:val="22"/>
          <w:szCs w:val="22"/>
        </w:rPr>
        <w:t xml:space="preserve"> </w:t>
      </w:r>
      <w:r>
        <w:rPr>
          <w:rFonts w:hint="eastAsia" w:ascii="宋体" w:hAnsi="宋体" w:eastAsia="宋体" w:cs="宋体"/>
          <w:sz w:val="22"/>
          <w:szCs w:val="22"/>
          <w:lang w:val="zh-CN"/>
        </w:rPr>
        <w:t>监理合同的书写、解释和说明，以汉语为主导语言，以汉语合同文本为准。</w:t>
      </w:r>
    </w:p>
    <w:p w14:paraId="5D87F5AC">
      <w:pPr>
        <w:autoSpaceDE w:val="0"/>
        <w:autoSpaceDN w:val="0"/>
        <w:adjustRightInd w:val="0"/>
        <w:spacing w:line="456" w:lineRule="exact"/>
        <w:ind w:firstLine="442" w:firstLineChars="200"/>
        <w:outlineLvl w:val="9"/>
        <w:rPr>
          <w:rFonts w:hint="eastAsia" w:ascii="宋体" w:hAnsi="宋体" w:eastAsia="宋体" w:cs="宋体"/>
          <w:b/>
          <w:bCs/>
          <w:sz w:val="22"/>
          <w:szCs w:val="22"/>
          <w:lang w:val="zh-CN"/>
        </w:rPr>
      </w:pPr>
      <w:r>
        <w:rPr>
          <w:rFonts w:hint="eastAsia" w:ascii="宋体" w:hAnsi="宋体" w:eastAsia="宋体" w:cs="宋体"/>
          <w:b/>
          <w:bCs/>
          <w:sz w:val="22"/>
          <w:szCs w:val="22"/>
          <w:lang w:val="zh-CN"/>
        </w:rPr>
        <w:t>B</w:t>
      </w:r>
      <w:r>
        <w:rPr>
          <w:rFonts w:hint="eastAsia" w:ascii="宋体" w:hAnsi="宋体" w:eastAsia="宋体" w:cs="宋体"/>
          <w:b/>
          <w:bCs/>
          <w:sz w:val="22"/>
          <w:szCs w:val="22"/>
        </w:rPr>
        <w:t>.</w:t>
      </w:r>
      <w:r>
        <w:rPr>
          <w:rFonts w:hint="eastAsia" w:ascii="宋体" w:hAnsi="宋体" w:eastAsia="宋体" w:cs="宋体"/>
          <w:b/>
          <w:bCs/>
          <w:sz w:val="22"/>
          <w:szCs w:val="22"/>
          <w:lang w:val="zh-CN"/>
        </w:rPr>
        <w:t>乙方的权利和义务</w:t>
      </w:r>
    </w:p>
    <w:p w14:paraId="367F9161">
      <w:pPr>
        <w:autoSpaceDE w:val="0"/>
        <w:autoSpaceDN w:val="0"/>
        <w:adjustRightInd w:val="0"/>
        <w:spacing w:line="456" w:lineRule="exact"/>
        <w:ind w:firstLine="442" w:firstLineChars="200"/>
        <w:outlineLvl w:val="9"/>
        <w:rPr>
          <w:rFonts w:hint="eastAsia" w:ascii="宋体" w:hAnsi="宋体" w:eastAsia="宋体" w:cs="宋体"/>
          <w:sz w:val="22"/>
          <w:szCs w:val="22"/>
          <w:lang w:val="zh-CN"/>
        </w:rPr>
      </w:pPr>
      <w:r>
        <w:rPr>
          <w:rFonts w:hint="eastAsia" w:ascii="宋体" w:hAnsi="宋体" w:eastAsia="宋体" w:cs="宋体"/>
          <w:b/>
          <w:bCs/>
          <w:sz w:val="22"/>
          <w:szCs w:val="22"/>
          <w:lang w:val="zh-CN"/>
        </w:rPr>
        <w:t>第四条</w:t>
      </w:r>
      <w:r>
        <w:rPr>
          <w:rFonts w:hint="eastAsia" w:ascii="宋体" w:hAnsi="宋体" w:eastAsia="宋体" w:cs="宋体"/>
          <w:b/>
          <w:bCs/>
          <w:sz w:val="22"/>
          <w:szCs w:val="22"/>
        </w:rPr>
        <w:t xml:space="preserve"> </w:t>
      </w:r>
      <w:r>
        <w:rPr>
          <w:rFonts w:hint="eastAsia" w:ascii="宋体" w:hAnsi="宋体" w:eastAsia="宋体" w:cs="宋体"/>
          <w:sz w:val="22"/>
          <w:szCs w:val="22"/>
          <w:lang w:val="zh-CN"/>
        </w:rPr>
        <w:t>完成监理合同专用</w:t>
      </w:r>
      <w:r>
        <w:rPr>
          <w:rFonts w:hint="eastAsia" w:ascii="宋体" w:hAnsi="宋体" w:eastAsia="宋体" w:cs="宋体"/>
          <w:sz w:val="22"/>
          <w:szCs w:val="22"/>
        </w:rPr>
        <w:t>条款</w:t>
      </w:r>
      <w:r>
        <w:rPr>
          <w:rFonts w:hint="eastAsia" w:ascii="宋体" w:hAnsi="宋体" w:eastAsia="宋体" w:cs="宋体"/>
          <w:sz w:val="22"/>
          <w:szCs w:val="22"/>
          <w:lang w:val="zh-CN"/>
        </w:rPr>
        <w:t>中约定的监理工程范围内的监理业务。</w:t>
      </w:r>
    </w:p>
    <w:p w14:paraId="7BB461AF">
      <w:pPr>
        <w:autoSpaceDE w:val="0"/>
        <w:autoSpaceDN w:val="0"/>
        <w:adjustRightInd w:val="0"/>
        <w:spacing w:line="456" w:lineRule="exact"/>
        <w:ind w:firstLine="442" w:firstLineChars="200"/>
        <w:outlineLvl w:val="9"/>
        <w:rPr>
          <w:rFonts w:hint="eastAsia" w:ascii="宋体" w:hAnsi="宋体" w:eastAsia="宋体" w:cs="宋体"/>
          <w:sz w:val="22"/>
          <w:szCs w:val="22"/>
          <w:lang w:val="zh-CN"/>
        </w:rPr>
      </w:pPr>
      <w:r>
        <w:rPr>
          <w:rFonts w:hint="eastAsia" w:ascii="宋体" w:hAnsi="宋体" w:eastAsia="宋体" w:cs="宋体"/>
          <w:b/>
          <w:bCs/>
          <w:sz w:val="22"/>
          <w:szCs w:val="22"/>
          <w:lang w:val="zh-CN"/>
        </w:rPr>
        <w:t>第五条</w:t>
      </w:r>
      <w:r>
        <w:rPr>
          <w:rFonts w:hint="eastAsia" w:ascii="宋体" w:hAnsi="宋体" w:eastAsia="宋体" w:cs="宋体"/>
          <w:b/>
          <w:bCs/>
          <w:sz w:val="22"/>
          <w:szCs w:val="22"/>
        </w:rPr>
        <w:t xml:space="preserve"> </w:t>
      </w:r>
      <w:r>
        <w:rPr>
          <w:rFonts w:hint="eastAsia" w:ascii="宋体" w:hAnsi="宋体" w:eastAsia="宋体" w:cs="宋体"/>
          <w:sz w:val="22"/>
          <w:szCs w:val="22"/>
          <w:lang w:val="zh-CN"/>
        </w:rPr>
        <w:t>在履行本合同义务的期间，乙方应运用合理的技能，认真、勤奋地工作。帮助甲方实现合同预定的目标，公正地维护各方的合法权益。</w:t>
      </w:r>
    </w:p>
    <w:p w14:paraId="59E2D340">
      <w:pPr>
        <w:pStyle w:val="8"/>
        <w:spacing w:line="456" w:lineRule="exact"/>
        <w:ind w:firstLine="480"/>
        <w:outlineLvl w:val="9"/>
        <w:rPr>
          <w:rFonts w:hint="eastAsia" w:ascii="宋体" w:hAnsi="宋体" w:eastAsia="宋体" w:cs="宋体"/>
          <w:sz w:val="22"/>
          <w:szCs w:val="22"/>
          <w:lang w:val="zh-CN"/>
        </w:rPr>
      </w:pPr>
      <w:r>
        <w:rPr>
          <w:rFonts w:hint="eastAsia" w:ascii="宋体" w:hAnsi="宋体" w:eastAsia="宋体" w:cs="宋体"/>
          <w:sz w:val="22"/>
          <w:szCs w:val="22"/>
          <w:lang w:val="zh-CN"/>
        </w:rPr>
        <w:t>乙方应依据本合同的服务内容，协助甲方对供应方的服务内容进行质量、进度、投资、安全与变更控制，对供应方的服务内容进行合同、文档资料、配置、应急和效能管理，并协调各方的工作关系。</w:t>
      </w:r>
    </w:p>
    <w:p w14:paraId="32D302C6">
      <w:pPr>
        <w:autoSpaceDE w:val="0"/>
        <w:autoSpaceDN w:val="0"/>
        <w:adjustRightInd w:val="0"/>
        <w:spacing w:line="456" w:lineRule="exact"/>
        <w:ind w:firstLine="442" w:firstLineChars="200"/>
        <w:outlineLvl w:val="9"/>
        <w:rPr>
          <w:rFonts w:hint="eastAsia" w:ascii="宋体" w:hAnsi="宋体" w:eastAsia="宋体" w:cs="宋体"/>
          <w:sz w:val="22"/>
          <w:szCs w:val="22"/>
          <w:lang w:val="zh-CN"/>
        </w:rPr>
      </w:pPr>
      <w:r>
        <w:rPr>
          <w:rFonts w:hint="eastAsia" w:ascii="宋体" w:hAnsi="宋体" w:eastAsia="宋体" w:cs="宋体"/>
          <w:b/>
          <w:bCs/>
          <w:sz w:val="22"/>
          <w:szCs w:val="22"/>
          <w:lang w:val="zh-CN"/>
        </w:rPr>
        <w:t>第六条</w:t>
      </w:r>
      <w:r>
        <w:rPr>
          <w:rFonts w:hint="eastAsia" w:ascii="宋体" w:hAnsi="宋体" w:eastAsia="宋体" w:cs="宋体"/>
          <w:b/>
          <w:bCs/>
          <w:sz w:val="22"/>
          <w:szCs w:val="22"/>
        </w:rPr>
        <w:t xml:space="preserve"> </w:t>
      </w:r>
      <w:r>
        <w:rPr>
          <w:rFonts w:hint="eastAsia" w:ascii="宋体" w:hAnsi="宋体" w:eastAsia="宋体" w:cs="宋体"/>
          <w:sz w:val="22"/>
          <w:szCs w:val="22"/>
          <w:lang w:val="zh-CN"/>
        </w:rPr>
        <w:t>乙方使用甲方提供的设施和物品属于甲方的财产，在监理工作完成或中止时，应将其设施和剩余的物品库存清单提交给甲方，并按合同约定的时间和方式移交此类设施和物品。</w:t>
      </w:r>
    </w:p>
    <w:p w14:paraId="38800A76">
      <w:pPr>
        <w:autoSpaceDE w:val="0"/>
        <w:autoSpaceDN w:val="0"/>
        <w:adjustRightInd w:val="0"/>
        <w:spacing w:line="456" w:lineRule="exact"/>
        <w:ind w:firstLine="442" w:firstLineChars="200"/>
        <w:outlineLvl w:val="9"/>
        <w:rPr>
          <w:rFonts w:hint="eastAsia" w:ascii="宋体" w:hAnsi="宋体" w:eastAsia="宋体" w:cs="宋体"/>
          <w:sz w:val="22"/>
          <w:szCs w:val="22"/>
          <w:lang w:val="zh-CN"/>
        </w:rPr>
      </w:pPr>
      <w:r>
        <w:rPr>
          <w:rFonts w:hint="eastAsia" w:ascii="宋体" w:hAnsi="宋体" w:eastAsia="宋体" w:cs="宋体"/>
          <w:b/>
          <w:bCs/>
          <w:sz w:val="22"/>
          <w:szCs w:val="22"/>
          <w:lang w:val="zh-CN"/>
        </w:rPr>
        <w:t xml:space="preserve">第七条 </w:t>
      </w:r>
      <w:r>
        <w:rPr>
          <w:rFonts w:hint="eastAsia" w:ascii="宋体" w:hAnsi="宋体" w:eastAsia="宋体" w:cs="宋体"/>
          <w:sz w:val="22"/>
          <w:szCs w:val="22"/>
          <w:lang w:val="zh-CN"/>
        </w:rPr>
        <w:t>在本合同期内或合同终止后，未征得甲方书面同意，乙方不得泄露与本工程、本合同义务活动有关的保密资料。</w:t>
      </w:r>
    </w:p>
    <w:p w14:paraId="29E51248">
      <w:pPr>
        <w:autoSpaceDE w:val="0"/>
        <w:autoSpaceDN w:val="0"/>
        <w:adjustRightInd w:val="0"/>
        <w:spacing w:line="456" w:lineRule="exact"/>
        <w:ind w:firstLine="442" w:firstLineChars="200"/>
        <w:outlineLvl w:val="9"/>
        <w:rPr>
          <w:rFonts w:hint="eastAsia" w:ascii="宋体" w:hAnsi="宋体" w:eastAsia="宋体" w:cs="宋体"/>
          <w:sz w:val="22"/>
          <w:szCs w:val="22"/>
          <w:lang w:val="zh-CN"/>
        </w:rPr>
      </w:pPr>
      <w:r>
        <w:rPr>
          <w:rFonts w:hint="eastAsia" w:ascii="宋体" w:hAnsi="宋体" w:eastAsia="宋体" w:cs="宋体"/>
          <w:b/>
          <w:bCs/>
          <w:sz w:val="22"/>
          <w:szCs w:val="22"/>
          <w:lang w:val="zh-CN"/>
        </w:rPr>
        <w:t xml:space="preserve">第八条 </w:t>
      </w:r>
      <w:r>
        <w:rPr>
          <w:rFonts w:hint="eastAsia" w:ascii="宋体" w:hAnsi="宋体" w:eastAsia="宋体" w:cs="宋体"/>
          <w:sz w:val="22"/>
          <w:szCs w:val="22"/>
          <w:lang w:val="zh-CN"/>
        </w:rPr>
        <w:t>甲方在委托的工程范围内，授予乙方以下职责：</w:t>
      </w:r>
    </w:p>
    <w:p w14:paraId="023B8580">
      <w:pPr>
        <w:autoSpaceDE w:val="0"/>
        <w:autoSpaceDN w:val="0"/>
        <w:adjustRightInd w:val="0"/>
        <w:spacing w:line="456" w:lineRule="exact"/>
        <w:ind w:firstLine="440" w:firstLineChars="200"/>
        <w:outlineLvl w:val="9"/>
        <w:rPr>
          <w:rFonts w:hint="eastAsia" w:ascii="宋体" w:hAnsi="宋体" w:eastAsia="宋体" w:cs="宋体"/>
          <w:sz w:val="22"/>
          <w:szCs w:val="22"/>
          <w:lang w:val="zh-CN"/>
        </w:rPr>
      </w:pPr>
      <w:r>
        <w:rPr>
          <w:rFonts w:hint="eastAsia" w:ascii="宋体" w:hAnsi="宋体" w:eastAsia="宋体" w:cs="宋体"/>
          <w:sz w:val="22"/>
          <w:szCs w:val="22"/>
          <w:lang w:val="zh-CN"/>
        </w:rPr>
        <w:t>（一）工程建设有关事项向甲方提出建议；</w:t>
      </w:r>
    </w:p>
    <w:p w14:paraId="3105E29E">
      <w:pPr>
        <w:autoSpaceDE w:val="0"/>
        <w:autoSpaceDN w:val="0"/>
        <w:adjustRightInd w:val="0"/>
        <w:spacing w:line="456" w:lineRule="exact"/>
        <w:ind w:firstLine="440" w:firstLineChars="200"/>
        <w:outlineLvl w:val="9"/>
        <w:rPr>
          <w:rFonts w:hint="eastAsia" w:ascii="宋体" w:hAnsi="宋体" w:eastAsia="宋体" w:cs="宋体"/>
          <w:sz w:val="22"/>
          <w:szCs w:val="22"/>
          <w:lang w:val="zh-CN"/>
        </w:rPr>
      </w:pPr>
      <w:r>
        <w:rPr>
          <w:rFonts w:hint="eastAsia" w:ascii="宋体" w:hAnsi="宋体" w:eastAsia="宋体" w:cs="宋体"/>
          <w:sz w:val="22"/>
          <w:szCs w:val="22"/>
          <w:lang w:val="zh-CN"/>
        </w:rPr>
        <w:t>（二）工程设计中的技术问题，按照安全和优化的原则，提出建议，并向甲方提出书面报告。如果由于拟提出的建议会提高工程造价，或延长工期，应当事先取得甲方的书面同意；</w:t>
      </w:r>
    </w:p>
    <w:p w14:paraId="3E7DEE31">
      <w:pPr>
        <w:autoSpaceDE w:val="0"/>
        <w:autoSpaceDN w:val="0"/>
        <w:adjustRightInd w:val="0"/>
        <w:spacing w:line="456" w:lineRule="exact"/>
        <w:ind w:firstLine="440" w:firstLineChars="200"/>
        <w:outlineLvl w:val="9"/>
        <w:rPr>
          <w:rFonts w:hint="eastAsia" w:ascii="宋体" w:hAnsi="宋体" w:eastAsia="宋体" w:cs="宋体"/>
          <w:sz w:val="22"/>
          <w:szCs w:val="22"/>
          <w:lang w:val="zh-CN"/>
        </w:rPr>
      </w:pPr>
      <w:r>
        <w:rPr>
          <w:rFonts w:hint="eastAsia" w:ascii="宋体" w:hAnsi="宋体" w:eastAsia="宋体" w:cs="宋体"/>
          <w:sz w:val="22"/>
          <w:szCs w:val="22"/>
          <w:lang w:val="zh-CN"/>
        </w:rPr>
        <w:t>（三）工程项目实施组织设计和技术方案，按照保质量、保工期和降低成本的原则，提出审查意见并及时通知承建单位，并向甲方提出书面报告。如果由于拟提出建议会提高工程造价、延长工期，应当事先取得甲方的书面同意；</w:t>
      </w:r>
    </w:p>
    <w:p w14:paraId="56F4655F">
      <w:pPr>
        <w:autoSpaceDE w:val="0"/>
        <w:autoSpaceDN w:val="0"/>
        <w:adjustRightInd w:val="0"/>
        <w:spacing w:line="456" w:lineRule="exact"/>
        <w:ind w:firstLine="440" w:firstLineChars="200"/>
        <w:outlineLvl w:val="9"/>
        <w:rPr>
          <w:rFonts w:hint="eastAsia" w:ascii="宋体" w:hAnsi="宋体" w:eastAsia="宋体" w:cs="宋体"/>
          <w:sz w:val="22"/>
          <w:szCs w:val="22"/>
          <w:lang w:val="zh-CN"/>
        </w:rPr>
      </w:pPr>
      <w:r>
        <w:rPr>
          <w:rFonts w:hint="eastAsia" w:ascii="宋体" w:hAnsi="宋体" w:eastAsia="宋体" w:cs="宋体"/>
          <w:sz w:val="22"/>
          <w:szCs w:val="22"/>
          <w:lang w:val="zh-CN"/>
        </w:rPr>
        <w:t>（四）主持工程建设有关的协作单位的组织协调，重要协调事项应当事先向甲方报告。</w:t>
      </w:r>
    </w:p>
    <w:p w14:paraId="39051EA6">
      <w:pPr>
        <w:autoSpaceDE w:val="0"/>
        <w:autoSpaceDN w:val="0"/>
        <w:adjustRightInd w:val="0"/>
        <w:spacing w:line="456" w:lineRule="exact"/>
        <w:ind w:firstLine="440" w:firstLineChars="200"/>
        <w:outlineLvl w:val="9"/>
        <w:rPr>
          <w:rFonts w:hint="eastAsia" w:ascii="宋体" w:hAnsi="宋体" w:eastAsia="宋体" w:cs="宋体"/>
          <w:sz w:val="22"/>
          <w:szCs w:val="22"/>
          <w:lang w:val="zh-CN"/>
        </w:rPr>
      </w:pPr>
      <w:r>
        <w:rPr>
          <w:rFonts w:hint="eastAsia" w:ascii="宋体" w:hAnsi="宋体" w:eastAsia="宋体" w:cs="宋体"/>
          <w:sz w:val="22"/>
          <w:szCs w:val="22"/>
          <w:lang w:val="zh-CN"/>
        </w:rPr>
        <w:t>（五）乙方发布停工令和复工令应当事先向甲方报告，如在紧急情况下未能事先报告时，则应在24小时内向甲方做出书面报告。</w:t>
      </w:r>
    </w:p>
    <w:p w14:paraId="49FC7873">
      <w:pPr>
        <w:autoSpaceDE w:val="0"/>
        <w:autoSpaceDN w:val="0"/>
        <w:adjustRightInd w:val="0"/>
        <w:spacing w:line="456" w:lineRule="exact"/>
        <w:ind w:firstLine="440" w:firstLineChars="200"/>
        <w:outlineLvl w:val="9"/>
        <w:rPr>
          <w:rFonts w:hint="eastAsia" w:ascii="宋体" w:hAnsi="宋体" w:eastAsia="宋体" w:cs="宋体"/>
          <w:sz w:val="22"/>
          <w:szCs w:val="22"/>
          <w:lang w:val="zh-CN"/>
        </w:rPr>
      </w:pPr>
      <w:r>
        <w:rPr>
          <w:rFonts w:hint="eastAsia" w:ascii="宋体" w:hAnsi="宋体" w:eastAsia="宋体" w:cs="宋体"/>
          <w:sz w:val="22"/>
          <w:szCs w:val="22"/>
          <w:lang w:val="zh-CN"/>
        </w:rPr>
        <w:t>（六）检验和确认工程上使用的材料设备和施工质量。对于不符合设计要求及国家质量标准的材料设备，必须通知承建单位停止使用或更换；对不符合规范和质量标准和不安全的作业，必须通知承建商停工整改、返工。</w:t>
      </w:r>
    </w:p>
    <w:p w14:paraId="37032B78">
      <w:pPr>
        <w:autoSpaceDE w:val="0"/>
        <w:autoSpaceDN w:val="0"/>
        <w:adjustRightInd w:val="0"/>
        <w:spacing w:line="456" w:lineRule="exact"/>
        <w:ind w:firstLine="440" w:firstLineChars="200"/>
        <w:outlineLvl w:val="9"/>
        <w:rPr>
          <w:rFonts w:hint="eastAsia" w:ascii="宋体" w:hAnsi="宋体" w:eastAsia="宋体" w:cs="宋体"/>
          <w:sz w:val="22"/>
          <w:szCs w:val="22"/>
          <w:lang w:val="zh-CN"/>
        </w:rPr>
      </w:pPr>
      <w:r>
        <w:rPr>
          <w:rFonts w:hint="eastAsia" w:ascii="宋体" w:hAnsi="宋体" w:eastAsia="宋体" w:cs="宋体"/>
          <w:sz w:val="22"/>
          <w:szCs w:val="22"/>
          <w:lang w:val="zh-CN"/>
        </w:rPr>
        <w:t>（七）检查、监督工程施工进度，以及签认工程实际竣工日期提前或超过工程承包合同规定的竣工期限。</w:t>
      </w:r>
    </w:p>
    <w:p w14:paraId="059A6EEB">
      <w:pPr>
        <w:autoSpaceDE w:val="0"/>
        <w:autoSpaceDN w:val="0"/>
        <w:adjustRightInd w:val="0"/>
        <w:spacing w:line="456" w:lineRule="exact"/>
        <w:ind w:firstLine="440" w:firstLineChars="200"/>
        <w:outlineLvl w:val="9"/>
        <w:rPr>
          <w:rFonts w:hint="eastAsia" w:ascii="宋体" w:hAnsi="宋体" w:eastAsia="宋体" w:cs="宋体"/>
          <w:sz w:val="22"/>
          <w:szCs w:val="22"/>
          <w:lang w:val="zh-CN"/>
        </w:rPr>
      </w:pPr>
      <w:r>
        <w:rPr>
          <w:rFonts w:hint="eastAsia" w:ascii="宋体" w:hAnsi="宋体" w:eastAsia="宋体" w:cs="宋体"/>
          <w:sz w:val="22"/>
          <w:szCs w:val="22"/>
          <w:lang w:val="zh-CN"/>
        </w:rPr>
        <w:t>（八）在工程承包合同约定的工程价格范围内，审核和签认工程款支付，以及确认与否决结算工程款的复核。未经乙方签字确认，甲方不支付工程款；</w:t>
      </w:r>
    </w:p>
    <w:p w14:paraId="0C939210">
      <w:pPr>
        <w:autoSpaceDE w:val="0"/>
        <w:autoSpaceDN w:val="0"/>
        <w:adjustRightInd w:val="0"/>
        <w:spacing w:line="456" w:lineRule="exact"/>
        <w:ind w:firstLine="440" w:firstLineChars="200"/>
        <w:outlineLvl w:val="9"/>
        <w:rPr>
          <w:rFonts w:hint="eastAsia" w:ascii="宋体" w:hAnsi="宋体" w:eastAsia="宋体" w:cs="宋体"/>
          <w:sz w:val="22"/>
          <w:szCs w:val="22"/>
          <w:lang w:val="zh-CN"/>
        </w:rPr>
      </w:pPr>
      <w:r>
        <w:rPr>
          <w:rFonts w:hint="eastAsia" w:ascii="宋体" w:hAnsi="宋体" w:eastAsia="宋体" w:cs="宋体"/>
          <w:sz w:val="22"/>
          <w:szCs w:val="22"/>
          <w:lang w:val="zh-CN"/>
        </w:rPr>
        <w:t>（九）在监理过程中如发现承建商工作不力，乙方必须提出调换有关人员的建议。</w:t>
      </w:r>
    </w:p>
    <w:p w14:paraId="1425C93A">
      <w:pPr>
        <w:autoSpaceDE w:val="0"/>
        <w:autoSpaceDN w:val="0"/>
        <w:adjustRightInd w:val="0"/>
        <w:spacing w:line="456" w:lineRule="exact"/>
        <w:ind w:firstLine="442" w:firstLineChars="200"/>
        <w:outlineLvl w:val="9"/>
        <w:rPr>
          <w:rFonts w:hint="eastAsia" w:ascii="宋体" w:hAnsi="宋体" w:eastAsia="宋体" w:cs="宋体"/>
          <w:sz w:val="22"/>
          <w:szCs w:val="22"/>
          <w:lang w:val="zh-CN"/>
        </w:rPr>
      </w:pPr>
      <w:r>
        <w:rPr>
          <w:rFonts w:hint="eastAsia" w:ascii="宋体" w:hAnsi="宋体" w:eastAsia="宋体" w:cs="宋体"/>
          <w:b/>
          <w:bCs/>
          <w:sz w:val="22"/>
          <w:szCs w:val="22"/>
          <w:lang w:val="zh-CN"/>
        </w:rPr>
        <w:t>第九条</w:t>
      </w:r>
      <w:r>
        <w:rPr>
          <w:rFonts w:hint="eastAsia" w:ascii="宋体" w:hAnsi="宋体" w:eastAsia="宋体" w:cs="宋体"/>
          <w:b/>
          <w:bCs/>
          <w:sz w:val="22"/>
          <w:szCs w:val="22"/>
        </w:rPr>
        <w:t xml:space="preserve"> </w:t>
      </w:r>
      <w:r>
        <w:rPr>
          <w:rFonts w:hint="eastAsia" w:ascii="宋体" w:hAnsi="宋体" w:eastAsia="宋体" w:cs="宋体"/>
          <w:sz w:val="22"/>
          <w:szCs w:val="22"/>
          <w:lang w:val="zh-CN"/>
        </w:rPr>
        <w:t>乙方在甲方授权下，可对任何第三方合同规定的条款提出变更建议。</w:t>
      </w:r>
    </w:p>
    <w:p w14:paraId="06763C66">
      <w:pPr>
        <w:autoSpaceDE w:val="0"/>
        <w:autoSpaceDN w:val="0"/>
        <w:adjustRightInd w:val="0"/>
        <w:spacing w:line="456" w:lineRule="exact"/>
        <w:ind w:firstLine="442" w:firstLineChars="200"/>
        <w:outlineLvl w:val="9"/>
        <w:rPr>
          <w:rFonts w:hint="eastAsia" w:ascii="宋体" w:hAnsi="宋体" w:eastAsia="宋体" w:cs="宋体"/>
          <w:sz w:val="22"/>
          <w:szCs w:val="22"/>
          <w:lang w:val="zh-CN"/>
        </w:rPr>
      </w:pPr>
      <w:r>
        <w:rPr>
          <w:rFonts w:hint="eastAsia" w:ascii="宋体" w:hAnsi="宋体" w:eastAsia="宋体" w:cs="宋体"/>
          <w:b/>
          <w:bCs/>
          <w:sz w:val="22"/>
          <w:szCs w:val="22"/>
          <w:lang w:val="zh-CN"/>
        </w:rPr>
        <w:t>第十条</w:t>
      </w:r>
      <w:r>
        <w:rPr>
          <w:rFonts w:hint="eastAsia" w:ascii="宋体" w:hAnsi="宋体" w:eastAsia="宋体" w:cs="宋体"/>
          <w:b/>
          <w:bCs/>
          <w:sz w:val="22"/>
          <w:szCs w:val="22"/>
        </w:rPr>
        <w:t xml:space="preserve"> </w:t>
      </w:r>
      <w:r>
        <w:rPr>
          <w:rFonts w:hint="eastAsia" w:ascii="宋体" w:hAnsi="宋体" w:eastAsia="宋体" w:cs="宋体"/>
          <w:sz w:val="22"/>
          <w:szCs w:val="22"/>
          <w:lang w:val="zh-CN"/>
        </w:rPr>
        <w:t>乙方除履行以上义务外，还应履行国家有关法规规定的监理义务。</w:t>
      </w:r>
    </w:p>
    <w:p w14:paraId="3EEF3178">
      <w:pPr>
        <w:autoSpaceDE w:val="0"/>
        <w:autoSpaceDN w:val="0"/>
        <w:adjustRightInd w:val="0"/>
        <w:spacing w:line="456" w:lineRule="exact"/>
        <w:ind w:firstLine="442" w:firstLineChars="200"/>
        <w:outlineLvl w:val="9"/>
        <w:rPr>
          <w:rFonts w:hint="eastAsia" w:ascii="宋体" w:hAnsi="宋体" w:eastAsia="宋体" w:cs="宋体"/>
          <w:b/>
          <w:bCs/>
          <w:sz w:val="22"/>
          <w:szCs w:val="22"/>
          <w:lang w:val="zh-CN"/>
        </w:rPr>
      </w:pPr>
      <w:r>
        <w:rPr>
          <w:rFonts w:hint="eastAsia" w:ascii="宋体" w:hAnsi="宋体" w:eastAsia="宋体" w:cs="宋体"/>
          <w:b/>
          <w:bCs/>
          <w:sz w:val="22"/>
          <w:szCs w:val="22"/>
        </w:rPr>
        <w:t>C.</w:t>
      </w:r>
      <w:r>
        <w:rPr>
          <w:rFonts w:hint="eastAsia" w:ascii="宋体" w:hAnsi="宋体" w:eastAsia="宋体" w:cs="宋体"/>
          <w:b/>
          <w:bCs/>
          <w:sz w:val="22"/>
          <w:szCs w:val="22"/>
          <w:lang w:val="zh-CN"/>
        </w:rPr>
        <w:t>甲方的权利和义务</w:t>
      </w:r>
    </w:p>
    <w:p w14:paraId="2FBC410B">
      <w:pPr>
        <w:autoSpaceDE w:val="0"/>
        <w:autoSpaceDN w:val="0"/>
        <w:adjustRightInd w:val="0"/>
        <w:spacing w:line="456" w:lineRule="exact"/>
        <w:ind w:firstLine="442" w:firstLineChars="200"/>
        <w:outlineLvl w:val="9"/>
        <w:rPr>
          <w:rFonts w:hint="eastAsia" w:ascii="宋体" w:hAnsi="宋体" w:eastAsia="宋体" w:cs="宋体"/>
          <w:sz w:val="22"/>
          <w:szCs w:val="22"/>
          <w:lang w:val="zh-CN"/>
        </w:rPr>
      </w:pPr>
      <w:r>
        <w:rPr>
          <w:rFonts w:hint="eastAsia" w:ascii="宋体" w:hAnsi="宋体" w:eastAsia="宋体" w:cs="宋体"/>
          <w:b/>
          <w:bCs/>
          <w:sz w:val="22"/>
          <w:szCs w:val="22"/>
          <w:lang w:val="zh-CN"/>
        </w:rPr>
        <w:t>第十一条</w:t>
      </w:r>
      <w:r>
        <w:rPr>
          <w:rFonts w:hint="eastAsia" w:ascii="宋体" w:hAnsi="宋体" w:eastAsia="宋体" w:cs="宋体"/>
          <w:b/>
          <w:bCs/>
          <w:sz w:val="22"/>
          <w:szCs w:val="22"/>
        </w:rPr>
        <w:t xml:space="preserve"> </w:t>
      </w:r>
      <w:r>
        <w:rPr>
          <w:rFonts w:hint="eastAsia" w:ascii="宋体" w:hAnsi="宋体" w:eastAsia="宋体" w:cs="宋体"/>
          <w:sz w:val="22"/>
          <w:szCs w:val="22"/>
          <w:lang w:val="zh-CN"/>
        </w:rPr>
        <w:t>甲方应当在双方约定的时间内免费向乙方提供与工程有关的为乙方所需要的工程资料。</w:t>
      </w:r>
    </w:p>
    <w:p w14:paraId="09C7B050">
      <w:pPr>
        <w:autoSpaceDE w:val="0"/>
        <w:autoSpaceDN w:val="0"/>
        <w:adjustRightInd w:val="0"/>
        <w:spacing w:line="456" w:lineRule="exact"/>
        <w:ind w:firstLine="442" w:firstLineChars="200"/>
        <w:outlineLvl w:val="9"/>
        <w:rPr>
          <w:rFonts w:hint="eastAsia" w:ascii="宋体" w:hAnsi="宋体" w:eastAsia="宋体" w:cs="宋体"/>
          <w:sz w:val="22"/>
          <w:szCs w:val="22"/>
          <w:lang w:val="zh-CN"/>
        </w:rPr>
      </w:pPr>
      <w:r>
        <w:rPr>
          <w:rFonts w:hint="eastAsia" w:ascii="宋体" w:hAnsi="宋体" w:eastAsia="宋体" w:cs="宋体"/>
          <w:b/>
          <w:bCs/>
          <w:sz w:val="22"/>
          <w:szCs w:val="22"/>
          <w:lang w:val="zh-CN"/>
        </w:rPr>
        <w:t>第十二条</w:t>
      </w:r>
      <w:r>
        <w:rPr>
          <w:rFonts w:hint="eastAsia" w:ascii="宋体" w:hAnsi="宋体" w:eastAsia="宋体" w:cs="宋体"/>
          <w:b/>
          <w:bCs/>
          <w:sz w:val="22"/>
          <w:szCs w:val="22"/>
        </w:rPr>
        <w:t xml:space="preserve"> </w:t>
      </w:r>
      <w:r>
        <w:rPr>
          <w:rFonts w:hint="eastAsia" w:ascii="宋体" w:hAnsi="宋体" w:eastAsia="宋体" w:cs="宋体"/>
          <w:sz w:val="22"/>
          <w:szCs w:val="22"/>
          <w:lang w:val="zh-CN"/>
        </w:rPr>
        <w:t>甲方应当向乙方提供甲方与承建商签订的施工合同（副本）以及分包合同和订货合同。</w:t>
      </w:r>
    </w:p>
    <w:p w14:paraId="2C724023">
      <w:pPr>
        <w:autoSpaceDE w:val="0"/>
        <w:autoSpaceDN w:val="0"/>
        <w:adjustRightInd w:val="0"/>
        <w:spacing w:line="456" w:lineRule="exact"/>
        <w:ind w:firstLine="442" w:firstLineChars="200"/>
        <w:outlineLvl w:val="9"/>
        <w:rPr>
          <w:rFonts w:hint="eastAsia" w:ascii="宋体" w:hAnsi="宋体" w:eastAsia="宋体" w:cs="宋体"/>
          <w:sz w:val="22"/>
          <w:szCs w:val="22"/>
          <w:lang w:val="zh-CN"/>
        </w:rPr>
      </w:pPr>
      <w:r>
        <w:rPr>
          <w:rFonts w:hint="eastAsia" w:ascii="宋体" w:hAnsi="宋体" w:eastAsia="宋体" w:cs="宋体"/>
          <w:b/>
          <w:bCs/>
          <w:sz w:val="22"/>
          <w:szCs w:val="22"/>
          <w:lang w:val="zh-CN"/>
        </w:rPr>
        <w:t>第十三条</w:t>
      </w:r>
      <w:r>
        <w:rPr>
          <w:rFonts w:hint="eastAsia" w:ascii="宋体" w:hAnsi="宋体" w:eastAsia="宋体" w:cs="宋体"/>
          <w:b/>
          <w:bCs/>
          <w:sz w:val="22"/>
          <w:szCs w:val="22"/>
        </w:rPr>
        <w:t xml:space="preserve"> </w:t>
      </w:r>
      <w:r>
        <w:rPr>
          <w:rFonts w:hint="eastAsia" w:ascii="宋体" w:hAnsi="宋体" w:eastAsia="宋体" w:cs="宋体"/>
          <w:sz w:val="22"/>
          <w:szCs w:val="22"/>
          <w:lang w:val="zh-CN"/>
        </w:rPr>
        <w:t>甲方应当在约定的时间内就乙方书面提交并要求做出决定的一切事宜做出书面决定。逾期应视为甲方同意。</w:t>
      </w:r>
    </w:p>
    <w:p w14:paraId="6CA13F34">
      <w:pPr>
        <w:autoSpaceDE w:val="0"/>
        <w:autoSpaceDN w:val="0"/>
        <w:adjustRightInd w:val="0"/>
        <w:spacing w:line="456" w:lineRule="exact"/>
        <w:ind w:firstLine="442" w:firstLineChars="200"/>
        <w:outlineLvl w:val="9"/>
        <w:rPr>
          <w:rFonts w:hint="eastAsia" w:ascii="宋体" w:hAnsi="宋体" w:eastAsia="宋体" w:cs="宋体"/>
          <w:sz w:val="22"/>
          <w:szCs w:val="22"/>
          <w:lang w:val="zh-CN"/>
        </w:rPr>
      </w:pPr>
      <w:r>
        <w:rPr>
          <w:rFonts w:hint="eastAsia" w:ascii="宋体" w:hAnsi="宋体" w:eastAsia="宋体" w:cs="宋体"/>
          <w:b/>
          <w:bCs/>
          <w:sz w:val="22"/>
          <w:szCs w:val="22"/>
          <w:lang w:val="zh-CN"/>
        </w:rPr>
        <w:t>第十四条</w:t>
      </w:r>
      <w:r>
        <w:rPr>
          <w:rFonts w:hint="eastAsia" w:ascii="宋体" w:hAnsi="宋体" w:eastAsia="宋体" w:cs="宋体"/>
          <w:b/>
          <w:bCs/>
          <w:sz w:val="22"/>
          <w:szCs w:val="22"/>
        </w:rPr>
        <w:t xml:space="preserve"> </w:t>
      </w:r>
      <w:r>
        <w:rPr>
          <w:rFonts w:hint="eastAsia" w:ascii="宋体" w:hAnsi="宋体" w:eastAsia="宋体" w:cs="宋体"/>
          <w:sz w:val="22"/>
          <w:szCs w:val="22"/>
          <w:lang w:val="zh-CN"/>
        </w:rPr>
        <w:t>甲方应授权一名熟悉本工程情况的授权代表，负责与乙方联系。更换授权代表，要提前通知乙方。</w:t>
      </w:r>
    </w:p>
    <w:p w14:paraId="5A9518BF">
      <w:pPr>
        <w:autoSpaceDE w:val="0"/>
        <w:autoSpaceDN w:val="0"/>
        <w:adjustRightInd w:val="0"/>
        <w:spacing w:line="456" w:lineRule="exact"/>
        <w:ind w:firstLine="442" w:firstLineChars="200"/>
        <w:outlineLvl w:val="9"/>
        <w:rPr>
          <w:rFonts w:hint="eastAsia" w:ascii="宋体" w:hAnsi="宋体" w:eastAsia="宋体" w:cs="宋体"/>
          <w:sz w:val="22"/>
          <w:szCs w:val="22"/>
          <w:lang w:val="zh-CN"/>
        </w:rPr>
      </w:pPr>
      <w:r>
        <w:rPr>
          <w:rFonts w:hint="eastAsia" w:ascii="宋体" w:hAnsi="宋体" w:eastAsia="宋体" w:cs="宋体"/>
          <w:b/>
          <w:bCs/>
          <w:sz w:val="22"/>
          <w:szCs w:val="22"/>
          <w:lang w:val="zh-CN"/>
        </w:rPr>
        <w:t>第十五条</w:t>
      </w:r>
      <w:r>
        <w:rPr>
          <w:rFonts w:hint="eastAsia" w:ascii="宋体" w:hAnsi="宋体" w:eastAsia="宋体" w:cs="宋体"/>
          <w:b/>
          <w:bCs/>
          <w:sz w:val="22"/>
          <w:szCs w:val="22"/>
        </w:rPr>
        <w:t xml:space="preserve"> </w:t>
      </w:r>
      <w:r>
        <w:rPr>
          <w:rFonts w:hint="eastAsia" w:ascii="宋体" w:hAnsi="宋体" w:eastAsia="宋体" w:cs="宋体"/>
          <w:sz w:val="22"/>
          <w:szCs w:val="22"/>
          <w:lang w:val="zh-CN"/>
        </w:rPr>
        <w:t>甲方应当将授予乙方的监理权利，以及乙方主要成员的主要职能分工，及时书面通知已选定的第三方。</w:t>
      </w:r>
    </w:p>
    <w:p w14:paraId="0EC8E993">
      <w:pPr>
        <w:autoSpaceDE w:val="0"/>
        <w:autoSpaceDN w:val="0"/>
        <w:adjustRightInd w:val="0"/>
        <w:spacing w:line="456" w:lineRule="exact"/>
        <w:ind w:firstLine="442" w:firstLineChars="200"/>
        <w:outlineLvl w:val="9"/>
        <w:rPr>
          <w:rFonts w:hint="eastAsia" w:ascii="宋体" w:hAnsi="宋体" w:eastAsia="宋体" w:cs="宋体"/>
          <w:sz w:val="22"/>
          <w:szCs w:val="22"/>
          <w:lang w:val="zh-CN"/>
        </w:rPr>
      </w:pPr>
      <w:r>
        <w:rPr>
          <w:rFonts w:hint="eastAsia" w:ascii="宋体" w:hAnsi="宋体" w:eastAsia="宋体" w:cs="宋体"/>
          <w:b/>
          <w:bCs/>
          <w:sz w:val="22"/>
          <w:szCs w:val="22"/>
          <w:lang w:val="zh-CN"/>
        </w:rPr>
        <w:t>第十六条</w:t>
      </w:r>
      <w:r>
        <w:rPr>
          <w:rFonts w:hint="eastAsia" w:ascii="宋体" w:hAnsi="宋体" w:eastAsia="宋体" w:cs="宋体"/>
          <w:b/>
          <w:bCs/>
          <w:sz w:val="22"/>
          <w:szCs w:val="22"/>
        </w:rPr>
        <w:t xml:space="preserve"> </w:t>
      </w:r>
      <w:r>
        <w:rPr>
          <w:rFonts w:hint="eastAsia" w:ascii="宋体" w:hAnsi="宋体" w:eastAsia="宋体" w:cs="宋体"/>
          <w:sz w:val="22"/>
          <w:szCs w:val="22"/>
          <w:lang w:val="zh-CN"/>
        </w:rPr>
        <w:t>甲方应为乙方提供如下资料：</w:t>
      </w:r>
    </w:p>
    <w:p w14:paraId="21454DE0">
      <w:pPr>
        <w:autoSpaceDE w:val="0"/>
        <w:autoSpaceDN w:val="0"/>
        <w:adjustRightInd w:val="0"/>
        <w:spacing w:line="456" w:lineRule="exact"/>
        <w:ind w:firstLine="440" w:firstLineChars="200"/>
        <w:outlineLvl w:val="9"/>
        <w:rPr>
          <w:rFonts w:hint="eastAsia" w:ascii="宋体" w:hAnsi="宋体" w:eastAsia="宋体" w:cs="宋体"/>
          <w:sz w:val="22"/>
          <w:szCs w:val="22"/>
          <w:lang w:val="zh-CN"/>
        </w:rPr>
      </w:pPr>
      <w:r>
        <w:rPr>
          <w:rFonts w:hint="eastAsia" w:ascii="宋体" w:hAnsi="宋体" w:eastAsia="宋体" w:cs="宋体"/>
          <w:sz w:val="22"/>
          <w:szCs w:val="22"/>
          <w:lang w:val="zh-CN"/>
        </w:rPr>
        <w:t>（</w:t>
      </w:r>
      <w:r>
        <w:rPr>
          <w:rFonts w:hint="eastAsia" w:ascii="宋体" w:hAnsi="宋体" w:eastAsia="宋体" w:cs="宋体"/>
          <w:sz w:val="22"/>
          <w:szCs w:val="22"/>
        </w:rPr>
        <w:t>1</w:t>
      </w:r>
      <w:r>
        <w:rPr>
          <w:rFonts w:hint="eastAsia" w:ascii="宋体" w:hAnsi="宋体" w:eastAsia="宋体" w:cs="宋体"/>
          <w:sz w:val="22"/>
          <w:szCs w:val="22"/>
          <w:lang w:val="zh-CN"/>
        </w:rPr>
        <w:t>）本工程甲方与承建商签订的合同副本；</w:t>
      </w:r>
    </w:p>
    <w:p w14:paraId="36558BA2">
      <w:pPr>
        <w:autoSpaceDE w:val="0"/>
        <w:autoSpaceDN w:val="0"/>
        <w:adjustRightInd w:val="0"/>
        <w:spacing w:line="456" w:lineRule="exact"/>
        <w:ind w:firstLine="440" w:firstLineChars="200"/>
        <w:outlineLvl w:val="9"/>
        <w:rPr>
          <w:rFonts w:hint="eastAsia" w:ascii="宋体" w:hAnsi="宋体" w:eastAsia="宋体" w:cs="宋体"/>
          <w:sz w:val="22"/>
          <w:szCs w:val="22"/>
          <w:lang w:val="zh-CN"/>
        </w:rPr>
      </w:pPr>
      <w:r>
        <w:rPr>
          <w:rFonts w:hint="eastAsia" w:ascii="宋体" w:hAnsi="宋体" w:eastAsia="宋体" w:cs="宋体"/>
          <w:sz w:val="22"/>
          <w:szCs w:val="22"/>
          <w:lang w:val="zh-CN"/>
        </w:rPr>
        <w:t>（</w:t>
      </w:r>
      <w:r>
        <w:rPr>
          <w:rFonts w:hint="eastAsia" w:ascii="宋体" w:hAnsi="宋体" w:eastAsia="宋体" w:cs="宋体"/>
          <w:sz w:val="22"/>
          <w:szCs w:val="22"/>
        </w:rPr>
        <w:t>2</w:t>
      </w:r>
      <w:r>
        <w:rPr>
          <w:rFonts w:hint="eastAsia" w:ascii="宋体" w:hAnsi="宋体" w:eastAsia="宋体" w:cs="宋体"/>
          <w:sz w:val="22"/>
          <w:szCs w:val="22"/>
          <w:lang w:val="zh-CN"/>
        </w:rPr>
        <w:t>）提供与本工程有关的协作单位、配合单位的名单。</w:t>
      </w:r>
    </w:p>
    <w:p w14:paraId="3BB1DA73">
      <w:pPr>
        <w:autoSpaceDE w:val="0"/>
        <w:autoSpaceDN w:val="0"/>
        <w:adjustRightInd w:val="0"/>
        <w:spacing w:line="456" w:lineRule="exact"/>
        <w:ind w:firstLine="442" w:firstLineChars="200"/>
        <w:outlineLvl w:val="9"/>
        <w:rPr>
          <w:rFonts w:hint="eastAsia" w:ascii="宋体" w:hAnsi="宋体" w:eastAsia="宋体" w:cs="宋体"/>
          <w:sz w:val="22"/>
          <w:szCs w:val="22"/>
          <w:lang w:val="zh-CN"/>
        </w:rPr>
      </w:pPr>
      <w:r>
        <w:rPr>
          <w:rFonts w:hint="eastAsia" w:ascii="宋体" w:hAnsi="宋体" w:eastAsia="宋体" w:cs="宋体"/>
          <w:b/>
          <w:bCs/>
          <w:sz w:val="22"/>
          <w:szCs w:val="22"/>
          <w:lang w:val="zh-CN"/>
        </w:rPr>
        <w:t>第十七条</w:t>
      </w:r>
      <w:r>
        <w:rPr>
          <w:rFonts w:hint="eastAsia" w:ascii="宋体" w:hAnsi="宋体" w:eastAsia="宋体" w:cs="宋体"/>
          <w:b/>
          <w:bCs/>
          <w:sz w:val="22"/>
          <w:szCs w:val="22"/>
        </w:rPr>
        <w:t xml:space="preserve"> </w:t>
      </w:r>
      <w:r>
        <w:rPr>
          <w:rFonts w:hint="eastAsia" w:ascii="宋体" w:hAnsi="宋体" w:eastAsia="宋体" w:cs="宋体"/>
          <w:sz w:val="22"/>
          <w:szCs w:val="22"/>
          <w:lang w:val="zh-CN"/>
        </w:rPr>
        <w:t>甲方向乙方提供合同专用条件约定的办公场所和设施。</w:t>
      </w:r>
    </w:p>
    <w:p w14:paraId="7B7376A3">
      <w:pPr>
        <w:autoSpaceDE w:val="0"/>
        <w:autoSpaceDN w:val="0"/>
        <w:adjustRightInd w:val="0"/>
        <w:spacing w:line="456" w:lineRule="exact"/>
        <w:ind w:firstLine="442" w:firstLineChars="200"/>
        <w:outlineLvl w:val="9"/>
        <w:rPr>
          <w:rFonts w:hint="eastAsia" w:ascii="宋体" w:hAnsi="宋体" w:eastAsia="宋体" w:cs="宋体"/>
          <w:sz w:val="22"/>
          <w:szCs w:val="22"/>
          <w:lang w:val="zh-CN"/>
        </w:rPr>
      </w:pPr>
      <w:r>
        <w:rPr>
          <w:rFonts w:hint="eastAsia" w:ascii="宋体" w:hAnsi="宋体" w:eastAsia="宋体" w:cs="宋体"/>
          <w:b/>
          <w:bCs/>
          <w:sz w:val="22"/>
          <w:szCs w:val="22"/>
          <w:lang w:val="zh-CN"/>
        </w:rPr>
        <w:t>第十八条</w:t>
      </w:r>
      <w:r>
        <w:rPr>
          <w:rFonts w:hint="eastAsia" w:ascii="宋体" w:hAnsi="宋体" w:eastAsia="宋体" w:cs="宋体"/>
          <w:b/>
          <w:bCs/>
          <w:sz w:val="22"/>
          <w:szCs w:val="22"/>
        </w:rPr>
        <w:t xml:space="preserve"> </w:t>
      </w:r>
      <w:r>
        <w:rPr>
          <w:rFonts w:hint="eastAsia" w:ascii="宋体" w:hAnsi="宋体" w:eastAsia="宋体" w:cs="宋体"/>
          <w:sz w:val="22"/>
          <w:szCs w:val="22"/>
          <w:lang w:val="zh-CN"/>
        </w:rPr>
        <w:t>工程实施各阶段，经甲方和乙方验收合格并由乙方审核同意承建单位的付款申请并出具书面报告后，甲方方可按付款程序向工程承建单位支付相应款项。</w:t>
      </w:r>
    </w:p>
    <w:p w14:paraId="44D0CAAC">
      <w:pPr>
        <w:autoSpaceDE w:val="0"/>
        <w:autoSpaceDN w:val="0"/>
        <w:adjustRightInd w:val="0"/>
        <w:spacing w:line="456" w:lineRule="exact"/>
        <w:ind w:firstLine="442" w:firstLineChars="200"/>
        <w:outlineLvl w:val="9"/>
        <w:rPr>
          <w:rFonts w:hint="eastAsia" w:ascii="宋体" w:hAnsi="宋体" w:eastAsia="宋体" w:cs="宋体"/>
          <w:sz w:val="22"/>
          <w:szCs w:val="22"/>
          <w:lang w:val="zh-CN"/>
        </w:rPr>
      </w:pPr>
      <w:r>
        <w:rPr>
          <w:rFonts w:hint="eastAsia" w:ascii="宋体" w:hAnsi="宋体" w:eastAsia="宋体" w:cs="宋体"/>
          <w:b/>
          <w:bCs/>
          <w:sz w:val="22"/>
          <w:szCs w:val="22"/>
          <w:lang w:val="zh-CN"/>
        </w:rPr>
        <w:t>第十九条</w:t>
      </w:r>
      <w:r>
        <w:rPr>
          <w:rFonts w:hint="eastAsia" w:ascii="宋体" w:hAnsi="宋体" w:eastAsia="宋体" w:cs="宋体"/>
          <w:b/>
          <w:bCs/>
          <w:sz w:val="22"/>
          <w:szCs w:val="22"/>
        </w:rPr>
        <w:t xml:space="preserve"> </w:t>
      </w:r>
      <w:r>
        <w:rPr>
          <w:rFonts w:hint="eastAsia" w:ascii="宋体" w:hAnsi="宋体" w:eastAsia="宋体" w:cs="宋体"/>
          <w:sz w:val="22"/>
          <w:szCs w:val="22"/>
          <w:lang w:val="zh-CN"/>
        </w:rPr>
        <w:t>甲方有对工程规模、设计标准、规划设计、生产工艺设计和设计使用功能要求的认定权，以及对工程设计变更的审批权；</w:t>
      </w:r>
    </w:p>
    <w:p w14:paraId="79C1892D">
      <w:pPr>
        <w:autoSpaceDE w:val="0"/>
        <w:autoSpaceDN w:val="0"/>
        <w:adjustRightInd w:val="0"/>
        <w:spacing w:line="456" w:lineRule="exact"/>
        <w:ind w:firstLine="442" w:firstLineChars="200"/>
        <w:outlineLvl w:val="9"/>
        <w:rPr>
          <w:rFonts w:hint="eastAsia" w:ascii="宋体" w:hAnsi="宋体" w:eastAsia="宋体" w:cs="宋体"/>
          <w:sz w:val="22"/>
          <w:szCs w:val="22"/>
          <w:lang w:val="zh-CN"/>
        </w:rPr>
      </w:pPr>
      <w:r>
        <w:rPr>
          <w:rFonts w:hint="eastAsia" w:ascii="宋体" w:hAnsi="宋体" w:eastAsia="宋体" w:cs="宋体"/>
          <w:b/>
          <w:bCs/>
          <w:sz w:val="22"/>
          <w:szCs w:val="22"/>
          <w:lang w:val="zh-CN"/>
        </w:rPr>
        <w:t>第二十条</w:t>
      </w:r>
      <w:r>
        <w:rPr>
          <w:rFonts w:hint="eastAsia" w:ascii="宋体" w:hAnsi="宋体" w:eastAsia="宋体" w:cs="宋体"/>
          <w:b/>
          <w:bCs/>
          <w:sz w:val="22"/>
          <w:szCs w:val="22"/>
        </w:rPr>
        <w:t xml:space="preserve"> </w:t>
      </w:r>
      <w:r>
        <w:rPr>
          <w:rFonts w:hint="eastAsia" w:ascii="宋体" w:hAnsi="宋体" w:eastAsia="宋体" w:cs="宋体"/>
          <w:sz w:val="22"/>
          <w:szCs w:val="22"/>
          <w:lang w:val="zh-CN"/>
        </w:rPr>
        <w:t>甲方有权对乙方和各级监理人员的监理工作进行检查；要求乙方提交监理进度报告、监理工作月度报告及监理业务范围内的专项报告。</w:t>
      </w:r>
    </w:p>
    <w:p w14:paraId="093CA513">
      <w:pPr>
        <w:autoSpaceDE w:val="0"/>
        <w:autoSpaceDN w:val="0"/>
        <w:adjustRightInd w:val="0"/>
        <w:spacing w:line="456" w:lineRule="exact"/>
        <w:ind w:firstLine="442" w:firstLineChars="200"/>
        <w:outlineLvl w:val="9"/>
        <w:rPr>
          <w:rFonts w:hint="eastAsia" w:ascii="宋体" w:hAnsi="宋体" w:eastAsia="宋体" w:cs="宋体"/>
          <w:sz w:val="22"/>
          <w:szCs w:val="22"/>
          <w:lang w:val="zh-CN"/>
        </w:rPr>
      </w:pPr>
      <w:r>
        <w:rPr>
          <w:rFonts w:hint="eastAsia" w:ascii="宋体" w:hAnsi="宋体" w:eastAsia="宋体" w:cs="宋体"/>
          <w:b/>
          <w:bCs/>
          <w:sz w:val="22"/>
          <w:szCs w:val="22"/>
          <w:lang w:val="zh-CN"/>
        </w:rPr>
        <w:t>第二十一条</w:t>
      </w:r>
      <w:r>
        <w:rPr>
          <w:rFonts w:hint="eastAsia" w:ascii="宋体" w:hAnsi="宋体" w:eastAsia="宋体" w:cs="宋体"/>
          <w:b/>
          <w:bCs/>
          <w:sz w:val="22"/>
          <w:szCs w:val="22"/>
        </w:rPr>
        <w:t xml:space="preserve"> </w:t>
      </w:r>
      <w:r>
        <w:rPr>
          <w:rFonts w:hint="eastAsia" w:ascii="宋体" w:hAnsi="宋体" w:eastAsia="宋体" w:cs="宋体"/>
          <w:sz w:val="22"/>
          <w:szCs w:val="22"/>
          <w:lang w:val="zh-CN"/>
        </w:rPr>
        <w:t>在本合同履行过程中经甲方确定的监理人员，原则上乙方均不得随意更换，确有调整需要的，乙方应当书面通知甲方并征得甲方同意。对于不符合甲方要求的监理人员，甲方有权更换。</w:t>
      </w:r>
    </w:p>
    <w:p w14:paraId="5ED8073B">
      <w:pPr>
        <w:autoSpaceDE w:val="0"/>
        <w:autoSpaceDN w:val="0"/>
        <w:adjustRightInd w:val="0"/>
        <w:spacing w:line="456" w:lineRule="exact"/>
        <w:ind w:firstLine="442" w:firstLineChars="200"/>
        <w:outlineLvl w:val="9"/>
        <w:rPr>
          <w:rFonts w:hint="eastAsia" w:ascii="宋体" w:hAnsi="宋体" w:eastAsia="宋体" w:cs="宋体"/>
          <w:b/>
          <w:bCs/>
          <w:sz w:val="22"/>
          <w:szCs w:val="22"/>
          <w:lang w:val="zh-CN"/>
        </w:rPr>
      </w:pPr>
      <w:r>
        <w:rPr>
          <w:rFonts w:hint="eastAsia" w:ascii="宋体" w:hAnsi="宋体" w:eastAsia="宋体" w:cs="宋体"/>
          <w:b/>
          <w:bCs/>
          <w:sz w:val="22"/>
          <w:szCs w:val="22"/>
        </w:rPr>
        <w:t>D.</w:t>
      </w:r>
      <w:r>
        <w:rPr>
          <w:rFonts w:hint="eastAsia" w:ascii="宋体" w:hAnsi="宋体" w:eastAsia="宋体" w:cs="宋体"/>
          <w:b/>
          <w:bCs/>
          <w:sz w:val="22"/>
          <w:szCs w:val="22"/>
          <w:lang w:val="zh-CN"/>
        </w:rPr>
        <w:t>乙方的违约责任</w:t>
      </w:r>
    </w:p>
    <w:p w14:paraId="0734814B">
      <w:pPr>
        <w:autoSpaceDE w:val="0"/>
        <w:autoSpaceDN w:val="0"/>
        <w:adjustRightInd w:val="0"/>
        <w:spacing w:line="456" w:lineRule="exact"/>
        <w:ind w:firstLine="442" w:firstLineChars="200"/>
        <w:outlineLvl w:val="9"/>
        <w:rPr>
          <w:rFonts w:hint="eastAsia" w:ascii="宋体" w:hAnsi="宋体" w:eastAsia="宋体" w:cs="宋体"/>
          <w:sz w:val="22"/>
          <w:szCs w:val="22"/>
          <w:lang w:val="zh-CN"/>
        </w:rPr>
      </w:pPr>
      <w:r>
        <w:rPr>
          <w:rFonts w:hint="eastAsia" w:ascii="宋体" w:hAnsi="宋体" w:eastAsia="宋体" w:cs="宋体"/>
          <w:b/>
          <w:bCs/>
          <w:sz w:val="22"/>
          <w:szCs w:val="22"/>
          <w:lang w:val="zh-CN"/>
        </w:rPr>
        <w:t>第二十二条</w:t>
      </w:r>
      <w:r>
        <w:rPr>
          <w:rFonts w:hint="eastAsia" w:ascii="宋体" w:hAnsi="宋体" w:eastAsia="宋体" w:cs="宋体"/>
          <w:b/>
          <w:bCs/>
          <w:sz w:val="22"/>
          <w:szCs w:val="22"/>
        </w:rPr>
        <w:t xml:space="preserve"> </w:t>
      </w:r>
      <w:r>
        <w:rPr>
          <w:rFonts w:hint="eastAsia" w:ascii="宋体" w:hAnsi="宋体" w:eastAsia="宋体" w:cs="宋体"/>
          <w:sz w:val="22"/>
          <w:szCs w:val="22"/>
          <w:lang w:val="zh-CN"/>
        </w:rPr>
        <w:t>乙方应当履行监理合同中约定的义务。如果由于监理工程师对设计、施工、材料和设备等方面的直接指示或违法行为、或侵犯了第三方的权益引起甲方造成经济损失，由此造成的责任全部由乙方承担。同时，乙方还应按照本合同约定的监理酬金的20%向甲方支付违约金，造成甲方损失的还应赔偿甲方全部损失。乙方的上述违约行为导致甲方认为乙方提供的监理服务不满足本合同约定的要求的，甲方有权解除本合同，解除合同不免除乙方按照约定承担上述违约责任。触及法律的，还应承担相应的法律责任。</w:t>
      </w:r>
    </w:p>
    <w:p w14:paraId="435E314D">
      <w:pPr>
        <w:autoSpaceDE w:val="0"/>
        <w:autoSpaceDN w:val="0"/>
        <w:adjustRightInd w:val="0"/>
        <w:spacing w:line="456" w:lineRule="exact"/>
        <w:ind w:firstLine="442" w:firstLineChars="200"/>
        <w:outlineLvl w:val="9"/>
        <w:rPr>
          <w:rFonts w:hint="eastAsia" w:ascii="宋体" w:hAnsi="宋体" w:eastAsia="宋体" w:cs="宋体"/>
          <w:sz w:val="22"/>
          <w:szCs w:val="22"/>
          <w:lang w:val="zh-CN"/>
        </w:rPr>
      </w:pPr>
      <w:r>
        <w:rPr>
          <w:rFonts w:hint="eastAsia" w:ascii="宋体" w:hAnsi="宋体" w:eastAsia="宋体" w:cs="宋体"/>
          <w:b/>
          <w:bCs/>
          <w:sz w:val="22"/>
          <w:szCs w:val="22"/>
          <w:lang w:val="zh-CN"/>
        </w:rPr>
        <w:t>第二十三条</w:t>
      </w:r>
      <w:r>
        <w:rPr>
          <w:rFonts w:hint="eastAsia" w:ascii="宋体" w:hAnsi="宋体" w:eastAsia="宋体" w:cs="宋体"/>
          <w:b/>
          <w:bCs/>
          <w:sz w:val="22"/>
          <w:szCs w:val="22"/>
        </w:rPr>
        <w:t xml:space="preserve"> </w:t>
      </w:r>
      <w:r>
        <w:rPr>
          <w:rFonts w:hint="eastAsia" w:ascii="宋体" w:hAnsi="宋体" w:eastAsia="宋体" w:cs="宋体"/>
          <w:sz w:val="22"/>
          <w:szCs w:val="22"/>
          <w:lang w:val="zh-CN"/>
        </w:rPr>
        <w:t>乙方未履行职责范围内职责而导致质量、工期和费用出现问题，乙方应按照本合同约定的监理酬金的20%向甲方支付违约金，造成甲方损失的还应赔偿甲方全部损失。乙方的上述违约行为导致甲方认为乙方提供的监理服务不满足本合同约定的要求的，甲方有权解除本合同，解除合同不免除乙方按照约定承担上述违约责任。</w:t>
      </w:r>
    </w:p>
    <w:p w14:paraId="479291EE">
      <w:pPr>
        <w:autoSpaceDE w:val="0"/>
        <w:autoSpaceDN w:val="0"/>
        <w:adjustRightInd w:val="0"/>
        <w:spacing w:line="456" w:lineRule="exact"/>
        <w:ind w:firstLine="442" w:firstLineChars="200"/>
        <w:outlineLvl w:val="9"/>
        <w:rPr>
          <w:rFonts w:hint="eastAsia" w:ascii="宋体" w:hAnsi="宋体" w:eastAsia="宋体" w:cs="宋体"/>
          <w:sz w:val="22"/>
          <w:szCs w:val="22"/>
          <w:lang w:val="zh-CN"/>
        </w:rPr>
      </w:pPr>
      <w:r>
        <w:rPr>
          <w:rFonts w:hint="eastAsia" w:ascii="宋体" w:hAnsi="宋体" w:eastAsia="宋体" w:cs="宋体"/>
          <w:b/>
          <w:bCs/>
          <w:sz w:val="22"/>
          <w:szCs w:val="22"/>
          <w:lang w:val="zh-CN"/>
        </w:rPr>
        <w:t>第二十四条</w:t>
      </w:r>
      <w:r>
        <w:rPr>
          <w:rFonts w:hint="eastAsia" w:ascii="宋体" w:hAnsi="宋体" w:eastAsia="宋体" w:cs="宋体"/>
          <w:b/>
          <w:bCs/>
          <w:sz w:val="22"/>
          <w:szCs w:val="22"/>
        </w:rPr>
        <w:t xml:space="preserve"> </w:t>
      </w:r>
      <w:r>
        <w:rPr>
          <w:rFonts w:hint="eastAsia" w:ascii="宋体" w:hAnsi="宋体" w:eastAsia="宋体" w:cs="宋体"/>
          <w:sz w:val="22"/>
          <w:szCs w:val="22"/>
          <w:lang w:val="zh-CN"/>
        </w:rPr>
        <w:t>因不可抗力导致监理合同不能全部或部分履行，乙方不承担责任。</w:t>
      </w:r>
    </w:p>
    <w:p w14:paraId="1D5021C3">
      <w:pPr>
        <w:autoSpaceDE w:val="0"/>
        <w:autoSpaceDN w:val="0"/>
        <w:adjustRightInd w:val="0"/>
        <w:spacing w:line="456" w:lineRule="exact"/>
        <w:ind w:firstLine="442" w:firstLineChars="200"/>
        <w:outlineLvl w:val="9"/>
        <w:rPr>
          <w:rFonts w:hint="eastAsia" w:ascii="宋体" w:hAnsi="宋体" w:eastAsia="宋体" w:cs="宋体"/>
          <w:sz w:val="22"/>
          <w:szCs w:val="22"/>
          <w:lang w:val="zh-CN"/>
        </w:rPr>
      </w:pPr>
      <w:r>
        <w:rPr>
          <w:rFonts w:hint="eastAsia" w:ascii="宋体" w:hAnsi="宋体" w:eastAsia="宋体" w:cs="宋体"/>
          <w:b/>
          <w:bCs/>
          <w:sz w:val="22"/>
          <w:szCs w:val="22"/>
          <w:lang w:val="zh-CN"/>
        </w:rPr>
        <w:t>第二十五条</w:t>
      </w:r>
      <w:r>
        <w:rPr>
          <w:rFonts w:hint="eastAsia" w:ascii="宋体" w:hAnsi="宋体" w:eastAsia="宋体" w:cs="宋体"/>
          <w:b/>
          <w:bCs/>
          <w:sz w:val="22"/>
          <w:szCs w:val="22"/>
        </w:rPr>
        <w:t xml:space="preserve"> </w:t>
      </w:r>
      <w:r>
        <w:rPr>
          <w:rFonts w:hint="eastAsia" w:ascii="宋体" w:hAnsi="宋体" w:eastAsia="宋体" w:cs="宋体"/>
          <w:sz w:val="22"/>
          <w:szCs w:val="22"/>
          <w:lang w:val="zh-CN"/>
        </w:rPr>
        <w:t>乙方向甲方提出索赔要求不成立时，乙方应当补偿由于该索赔所导致甲方的直接费用支出（包括但不限于审计费用、律师费、诉讼费等）。</w:t>
      </w:r>
    </w:p>
    <w:p w14:paraId="6B95E807">
      <w:pPr>
        <w:autoSpaceDE w:val="0"/>
        <w:autoSpaceDN w:val="0"/>
        <w:adjustRightInd w:val="0"/>
        <w:spacing w:line="456" w:lineRule="exact"/>
        <w:ind w:firstLine="442" w:firstLineChars="200"/>
        <w:outlineLvl w:val="9"/>
        <w:rPr>
          <w:rFonts w:hint="eastAsia" w:ascii="宋体" w:hAnsi="宋体" w:eastAsia="宋体" w:cs="宋体"/>
          <w:sz w:val="22"/>
          <w:szCs w:val="22"/>
          <w:lang w:val="zh-CN"/>
        </w:rPr>
      </w:pPr>
      <w:r>
        <w:rPr>
          <w:rFonts w:hint="eastAsia" w:ascii="宋体" w:hAnsi="宋体" w:eastAsia="宋体" w:cs="宋体"/>
          <w:b/>
          <w:bCs/>
          <w:sz w:val="22"/>
          <w:szCs w:val="22"/>
          <w:lang w:val="zh-CN"/>
        </w:rPr>
        <w:t>第二十六条</w:t>
      </w:r>
      <w:r>
        <w:rPr>
          <w:rFonts w:hint="eastAsia" w:ascii="宋体" w:hAnsi="宋体" w:eastAsia="宋体" w:cs="宋体"/>
          <w:sz w:val="22"/>
          <w:szCs w:val="22"/>
          <w:lang w:val="zh-CN"/>
        </w:rPr>
        <w:t xml:space="preserve"> 乙方的监理工作不仅应满足本合同约定的流程要求，更应以专业审慎的标准确保其出具的所有报告、审查意见、付款建议及验收结论的准确性、真实性和客观性。若乙方的监理工作不满足上述要求的，由此导致的责任均由乙方承担。</w:t>
      </w:r>
    </w:p>
    <w:p w14:paraId="48C42855">
      <w:pPr>
        <w:autoSpaceDE w:val="0"/>
        <w:autoSpaceDN w:val="0"/>
        <w:adjustRightInd w:val="0"/>
        <w:spacing w:line="456" w:lineRule="exact"/>
        <w:ind w:firstLine="442" w:firstLineChars="200"/>
        <w:outlineLvl w:val="9"/>
        <w:rPr>
          <w:rFonts w:hint="eastAsia" w:ascii="宋体" w:hAnsi="宋体" w:eastAsia="宋体" w:cs="宋体"/>
          <w:sz w:val="22"/>
          <w:szCs w:val="22"/>
          <w:lang w:val="zh-CN"/>
        </w:rPr>
      </w:pPr>
      <w:r>
        <w:rPr>
          <w:rFonts w:hint="eastAsia" w:ascii="宋体" w:hAnsi="宋体" w:eastAsia="宋体" w:cs="宋体"/>
          <w:b/>
          <w:bCs/>
          <w:sz w:val="22"/>
          <w:szCs w:val="22"/>
          <w:lang w:val="zh-CN"/>
        </w:rPr>
        <w:t>第二十七条</w:t>
      </w:r>
      <w:r>
        <w:rPr>
          <w:rFonts w:hint="eastAsia" w:ascii="宋体" w:hAnsi="宋体" w:eastAsia="宋体" w:cs="宋体"/>
          <w:sz w:val="22"/>
          <w:szCs w:val="22"/>
          <w:lang w:val="zh-CN"/>
        </w:rPr>
        <w:t xml:space="preserve"> 因乙方未能及时发现承建商工作中的重大问题（包括但不限于技术方案缺陷、施工质量不合格、进度严重滞后、虚报工程量等），或虽发现但未采取有效措施（包括书面报告甲方、下达停工令等）制止并督促整改，从而导致甲方遭受损失的，乙方应承担相应的赔偿责任。同时，乙方还应按照本合同约定的监理酬金的30%向甲方支付违约金，造成甲方损失的还应赔偿甲方全部损失。乙方的上述违约行为导致甲方认为乙方提供的监理服务不满足本合同约定的要求的，甲方有权解除本合同，解除合同不免除乙方按照约定承担上述违约责任。</w:t>
      </w:r>
    </w:p>
    <w:p w14:paraId="743AEFD7">
      <w:pPr>
        <w:autoSpaceDE w:val="0"/>
        <w:autoSpaceDN w:val="0"/>
        <w:adjustRightInd w:val="0"/>
        <w:spacing w:line="456" w:lineRule="exact"/>
        <w:ind w:firstLine="442" w:firstLineChars="200"/>
        <w:outlineLvl w:val="9"/>
        <w:rPr>
          <w:rFonts w:hint="eastAsia" w:ascii="宋体" w:hAnsi="宋体" w:eastAsia="宋体" w:cs="宋体"/>
          <w:sz w:val="22"/>
          <w:szCs w:val="22"/>
          <w:lang w:val="zh-CN"/>
        </w:rPr>
      </w:pPr>
      <w:r>
        <w:rPr>
          <w:rFonts w:hint="eastAsia" w:ascii="宋体" w:hAnsi="宋体" w:eastAsia="宋体" w:cs="宋体"/>
          <w:b/>
          <w:bCs/>
          <w:sz w:val="22"/>
          <w:szCs w:val="22"/>
          <w:lang w:val="zh-CN"/>
        </w:rPr>
        <w:t xml:space="preserve">第二十八条 </w:t>
      </w:r>
      <w:r>
        <w:rPr>
          <w:rFonts w:hint="eastAsia" w:ascii="宋体" w:hAnsi="宋体" w:eastAsia="宋体" w:cs="宋体"/>
          <w:sz w:val="22"/>
          <w:szCs w:val="22"/>
          <w:lang w:val="zh-CN"/>
        </w:rPr>
        <w:t>乙方对工程款支付申请的审核与签认，视为其对相关工程量、质量的确认。若事后证明该签认存在重大错误，乙方应对由此给甲方造成的损失承担连带赔偿责任。</w:t>
      </w:r>
    </w:p>
    <w:p w14:paraId="39F35B63">
      <w:pPr>
        <w:autoSpaceDE w:val="0"/>
        <w:autoSpaceDN w:val="0"/>
        <w:adjustRightInd w:val="0"/>
        <w:spacing w:line="456" w:lineRule="exact"/>
        <w:ind w:firstLine="442" w:firstLineChars="200"/>
        <w:outlineLvl w:val="9"/>
        <w:rPr>
          <w:rFonts w:hint="eastAsia" w:ascii="宋体" w:hAnsi="宋体" w:eastAsia="宋体" w:cs="宋体"/>
          <w:b/>
          <w:bCs/>
          <w:sz w:val="22"/>
          <w:szCs w:val="22"/>
          <w:lang w:val="zh-CN"/>
        </w:rPr>
      </w:pPr>
      <w:r>
        <w:rPr>
          <w:rFonts w:hint="eastAsia" w:ascii="宋体" w:hAnsi="宋体" w:eastAsia="宋体" w:cs="宋体"/>
          <w:b/>
          <w:bCs/>
          <w:sz w:val="22"/>
          <w:szCs w:val="22"/>
        </w:rPr>
        <w:t>E.</w:t>
      </w:r>
      <w:r>
        <w:rPr>
          <w:rFonts w:hint="eastAsia" w:ascii="宋体" w:hAnsi="宋体" w:eastAsia="宋体" w:cs="宋体"/>
          <w:b/>
          <w:bCs/>
          <w:sz w:val="22"/>
          <w:szCs w:val="22"/>
          <w:lang w:val="zh-CN"/>
        </w:rPr>
        <w:t>甲方的违约责任</w:t>
      </w:r>
    </w:p>
    <w:p w14:paraId="0F9E3F1A">
      <w:pPr>
        <w:autoSpaceDE w:val="0"/>
        <w:autoSpaceDN w:val="0"/>
        <w:adjustRightInd w:val="0"/>
        <w:spacing w:line="456" w:lineRule="exact"/>
        <w:ind w:firstLine="442" w:firstLineChars="200"/>
        <w:outlineLvl w:val="9"/>
        <w:rPr>
          <w:rFonts w:hint="eastAsia" w:ascii="宋体" w:hAnsi="宋体" w:eastAsia="宋体" w:cs="宋体"/>
          <w:sz w:val="22"/>
          <w:szCs w:val="22"/>
          <w:lang w:val="zh-CN"/>
        </w:rPr>
      </w:pPr>
      <w:r>
        <w:rPr>
          <w:rFonts w:hint="eastAsia" w:ascii="宋体" w:hAnsi="宋体" w:eastAsia="宋体" w:cs="宋体"/>
          <w:b/>
          <w:bCs/>
          <w:sz w:val="22"/>
          <w:szCs w:val="22"/>
          <w:lang w:val="zh-CN"/>
        </w:rPr>
        <w:t>第二十</w:t>
      </w:r>
      <w:r>
        <w:rPr>
          <w:rFonts w:hint="eastAsia" w:ascii="宋体" w:hAnsi="宋体" w:cs="宋体"/>
          <w:b/>
          <w:bCs/>
          <w:sz w:val="22"/>
          <w:szCs w:val="22"/>
          <w:lang w:val="en-US" w:eastAsia="zh-CN"/>
        </w:rPr>
        <w:t>九</w:t>
      </w:r>
      <w:r>
        <w:rPr>
          <w:rFonts w:hint="eastAsia" w:ascii="宋体" w:hAnsi="宋体" w:eastAsia="宋体" w:cs="宋体"/>
          <w:b/>
          <w:bCs/>
          <w:sz w:val="22"/>
          <w:szCs w:val="22"/>
          <w:lang w:val="zh-CN"/>
        </w:rPr>
        <w:t>条</w:t>
      </w:r>
      <w:r>
        <w:rPr>
          <w:rFonts w:hint="eastAsia" w:ascii="宋体" w:hAnsi="宋体" w:eastAsia="宋体" w:cs="宋体"/>
          <w:b/>
          <w:bCs/>
          <w:sz w:val="22"/>
          <w:szCs w:val="22"/>
        </w:rPr>
        <w:t xml:space="preserve"> </w:t>
      </w:r>
      <w:r>
        <w:rPr>
          <w:rFonts w:hint="eastAsia" w:ascii="宋体" w:hAnsi="宋体" w:eastAsia="宋体" w:cs="宋体"/>
          <w:sz w:val="22"/>
          <w:szCs w:val="22"/>
          <w:lang w:val="zh-CN"/>
        </w:rPr>
        <w:t>甲方应当履行监理合同约定的义务，如有违反则应当承担违约责任，赔偿给乙方造成的经济损失。累计赔偿总额不应超过监理酬金总数（除去税金）。</w:t>
      </w:r>
    </w:p>
    <w:p w14:paraId="1439CC5C">
      <w:pPr>
        <w:autoSpaceDE w:val="0"/>
        <w:autoSpaceDN w:val="0"/>
        <w:adjustRightInd w:val="0"/>
        <w:spacing w:line="456" w:lineRule="exact"/>
        <w:ind w:firstLine="442" w:firstLineChars="200"/>
        <w:outlineLvl w:val="9"/>
        <w:rPr>
          <w:rFonts w:hint="eastAsia" w:ascii="宋体" w:hAnsi="宋体" w:eastAsia="宋体" w:cs="宋体"/>
          <w:sz w:val="22"/>
          <w:szCs w:val="22"/>
          <w:lang w:val="zh-CN"/>
        </w:rPr>
      </w:pPr>
      <w:r>
        <w:rPr>
          <w:rFonts w:hint="eastAsia" w:ascii="宋体" w:hAnsi="宋体" w:eastAsia="宋体" w:cs="宋体"/>
          <w:b/>
          <w:bCs/>
          <w:sz w:val="22"/>
          <w:szCs w:val="22"/>
          <w:lang w:val="zh-CN"/>
        </w:rPr>
        <w:t>第</w:t>
      </w:r>
      <w:r>
        <w:rPr>
          <w:rFonts w:hint="eastAsia" w:ascii="宋体" w:hAnsi="宋体" w:cs="宋体"/>
          <w:b/>
          <w:bCs/>
          <w:sz w:val="22"/>
          <w:szCs w:val="22"/>
          <w:lang w:val="en-US" w:eastAsia="zh-CN"/>
        </w:rPr>
        <w:t>三十</w:t>
      </w:r>
      <w:r>
        <w:rPr>
          <w:rFonts w:hint="eastAsia" w:ascii="宋体" w:hAnsi="宋体" w:eastAsia="宋体" w:cs="宋体"/>
          <w:b/>
          <w:bCs/>
          <w:sz w:val="22"/>
          <w:szCs w:val="22"/>
          <w:lang w:val="zh-CN"/>
        </w:rPr>
        <w:t>条</w:t>
      </w:r>
      <w:r>
        <w:rPr>
          <w:rFonts w:hint="eastAsia" w:ascii="宋体" w:hAnsi="宋体" w:eastAsia="宋体" w:cs="宋体"/>
          <w:b/>
          <w:bCs/>
          <w:sz w:val="22"/>
          <w:szCs w:val="22"/>
        </w:rPr>
        <w:t xml:space="preserve"> </w:t>
      </w:r>
      <w:r>
        <w:rPr>
          <w:rFonts w:hint="eastAsia" w:ascii="宋体" w:hAnsi="宋体" w:eastAsia="宋体" w:cs="宋体"/>
          <w:sz w:val="22"/>
          <w:szCs w:val="22"/>
          <w:lang w:val="zh-CN"/>
        </w:rPr>
        <w:t>甲方如果向乙方提出的赔偿要求不能成立，则应当补偿由索赔所引起的乙方的直接费用支出。</w:t>
      </w:r>
    </w:p>
    <w:p w14:paraId="4C8C67BD">
      <w:pPr>
        <w:autoSpaceDE w:val="0"/>
        <w:autoSpaceDN w:val="0"/>
        <w:adjustRightInd w:val="0"/>
        <w:spacing w:line="456" w:lineRule="exact"/>
        <w:ind w:firstLine="442" w:firstLineChars="200"/>
        <w:outlineLvl w:val="9"/>
        <w:rPr>
          <w:rFonts w:hint="eastAsia" w:ascii="宋体" w:hAnsi="宋体" w:eastAsia="宋体" w:cs="宋体"/>
          <w:b/>
          <w:bCs/>
          <w:sz w:val="22"/>
          <w:szCs w:val="22"/>
          <w:lang w:val="zh-CN"/>
        </w:rPr>
      </w:pPr>
      <w:r>
        <w:rPr>
          <w:rFonts w:hint="eastAsia" w:ascii="宋体" w:hAnsi="宋体" w:eastAsia="宋体" w:cs="宋体"/>
          <w:b/>
          <w:bCs/>
          <w:sz w:val="22"/>
          <w:szCs w:val="22"/>
        </w:rPr>
        <w:t>F.</w:t>
      </w:r>
      <w:r>
        <w:rPr>
          <w:rFonts w:hint="eastAsia" w:ascii="宋体" w:hAnsi="宋体" w:eastAsia="宋体" w:cs="宋体"/>
          <w:b/>
          <w:bCs/>
          <w:sz w:val="22"/>
          <w:szCs w:val="22"/>
          <w:lang w:val="zh-CN"/>
        </w:rPr>
        <w:t>合同生效、变更与终止</w:t>
      </w:r>
    </w:p>
    <w:p w14:paraId="15FCD127">
      <w:pPr>
        <w:autoSpaceDE w:val="0"/>
        <w:autoSpaceDN w:val="0"/>
        <w:adjustRightInd w:val="0"/>
        <w:spacing w:line="456" w:lineRule="exact"/>
        <w:ind w:firstLine="442" w:firstLineChars="200"/>
        <w:outlineLvl w:val="9"/>
        <w:rPr>
          <w:rFonts w:hint="eastAsia" w:ascii="宋体" w:hAnsi="宋体" w:eastAsia="宋体" w:cs="宋体"/>
          <w:sz w:val="22"/>
          <w:szCs w:val="22"/>
          <w:lang w:val="zh-CN"/>
        </w:rPr>
      </w:pPr>
      <w:r>
        <w:rPr>
          <w:rFonts w:hint="eastAsia" w:ascii="宋体" w:hAnsi="宋体" w:eastAsia="宋体" w:cs="宋体"/>
          <w:b/>
          <w:bCs/>
          <w:sz w:val="22"/>
          <w:szCs w:val="22"/>
          <w:lang w:val="zh-CN"/>
        </w:rPr>
        <w:t>第</w:t>
      </w:r>
      <w:r>
        <w:rPr>
          <w:rFonts w:hint="eastAsia" w:ascii="宋体" w:hAnsi="宋体" w:cs="宋体"/>
          <w:b/>
          <w:bCs/>
          <w:sz w:val="22"/>
          <w:szCs w:val="22"/>
          <w:lang w:val="en-US" w:eastAsia="zh-CN"/>
        </w:rPr>
        <w:t>三十一</w:t>
      </w:r>
      <w:r>
        <w:rPr>
          <w:rFonts w:hint="eastAsia" w:ascii="宋体" w:hAnsi="宋体" w:eastAsia="宋体" w:cs="宋体"/>
          <w:b/>
          <w:bCs/>
          <w:sz w:val="22"/>
          <w:szCs w:val="22"/>
          <w:lang w:val="zh-CN"/>
        </w:rPr>
        <w:t>条</w:t>
      </w:r>
      <w:r>
        <w:rPr>
          <w:rFonts w:hint="eastAsia" w:ascii="宋体" w:hAnsi="宋体" w:eastAsia="宋体" w:cs="宋体"/>
          <w:b/>
          <w:bCs/>
          <w:sz w:val="22"/>
          <w:szCs w:val="22"/>
        </w:rPr>
        <w:t xml:space="preserve"> </w:t>
      </w:r>
      <w:r>
        <w:rPr>
          <w:rFonts w:hint="eastAsia" w:ascii="宋体" w:hAnsi="宋体" w:eastAsia="宋体" w:cs="宋体"/>
          <w:sz w:val="22"/>
          <w:szCs w:val="22"/>
          <w:lang w:val="zh-CN"/>
        </w:rPr>
        <w:t>本合同自甲乙双方加盖单位公章并由负责人、法定代表人或各自委托的代理人签字或盖章之日之日起生效。</w:t>
      </w:r>
    </w:p>
    <w:p w14:paraId="027EA735">
      <w:pPr>
        <w:autoSpaceDE w:val="0"/>
        <w:autoSpaceDN w:val="0"/>
        <w:adjustRightInd w:val="0"/>
        <w:spacing w:line="456" w:lineRule="exact"/>
        <w:ind w:firstLine="442" w:firstLineChars="200"/>
        <w:outlineLvl w:val="9"/>
        <w:rPr>
          <w:rFonts w:hint="eastAsia" w:ascii="宋体" w:hAnsi="宋体" w:eastAsia="宋体" w:cs="宋体"/>
          <w:sz w:val="22"/>
          <w:szCs w:val="22"/>
          <w:lang w:val="zh-CN"/>
        </w:rPr>
      </w:pPr>
      <w:r>
        <w:rPr>
          <w:rFonts w:hint="eastAsia" w:ascii="宋体" w:hAnsi="宋体" w:eastAsia="宋体" w:cs="宋体"/>
          <w:b/>
          <w:bCs/>
          <w:sz w:val="22"/>
          <w:szCs w:val="22"/>
          <w:lang w:val="zh-CN"/>
        </w:rPr>
        <w:t>第</w:t>
      </w:r>
      <w:r>
        <w:rPr>
          <w:rFonts w:hint="eastAsia" w:ascii="宋体" w:hAnsi="宋体" w:cs="宋体"/>
          <w:b/>
          <w:bCs/>
          <w:sz w:val="22"/>
          <w:szCs w:val="22"/>
          <w:lang w:val="en-US" w:eastAsia="zh-CN"/>
        </w:rPr>
        <w:t>三十二</w:t>
      </w:r>
      <w:r>
        <w:rPr>
          <w:rFonts w:hint="eastAsia" w:ascii="宋体" w:hAnsi="宋体" w:eastAsia="宋体" w:cs="宋体"/>
          <w:b/>
          <w:bCs/>
          <w:sz w:val="22"/>
          <w:szCs w:val="22"/>
          <w:lang w:val="zh-CN"/>
        </w:rPr>
        <w:t>条</w:t>
      </w:r>
      <w:r>
        <w:rPr>
          <w:rFonts w:hint="eastAsia" w:ascii="宋体" w:hAnsi="宋体" w:eastAsia="宋体" w:cs="宋体"/>
          <w:b/>
          <w:bCs/>
          <w:sz w:val="22"/>
          <w:szCs w:val="22"/>
        </w:rPr>
        <w:t xml:space="preserve"> </w:t>
      </w:r>
      <w:r>
        <w:rPr>
          <w:rFonts w:hint="eastAsia" w:ascii="宋体" w:hAnsi="宋体" w:eastAsia="宋体" w:cs="宋体"/>
          <w:sz w:val="22"/>
          <w:szCs w:val="22"/>
          <w:lang w:val="zh-CN"/>
        </w:rPr>
        <w:t>乙方向甲方办理完工程移交手续，乙方收到监理费尾款后，本合同即告终止。</w:t>
      </w:r>
    </w:p>
    <w:p w14:paraId="6BBB118A">
      <w:pPr>
        <w:autoSpaceDE w:val="0"/>
        <w:autoSpaceDN w:val="0"/>
        <w:adjustRightInd w:val="0"/>
        <w:spacing w:line="456" w:lineRule="exact"/>
        <w:ind w:firstLine="442" w:firstLineChars="200"/>
        <w:outlineLvl w:val="9"/>
        <w:rPr>
          <w:rFonts w:hint="eastAsia" w:ascii="宋体" w:hAnsi="宋体" w:eastAsia="宋体" w:cs="宋体"/>
          <w:sz w:val="22"/>
          <w:szCs w:val="22"/>
          <w:lang w:val="zh-CN"/>
        </w:rPr>
      </w:pPr>
      <w:r>
        <w:rPr>
          <w:rFonts w:hint="eastAsia" w:ascii="宋体" w:hAnsi="宋体" w:eastAsia="宋体" w:cs="宋体"/>
          <w:b/>
          <w:bCs/>
          <w:sz w:val="22"/>
          <w:szCs w:val="22"/>
          <w:lang w:val="zh-CN"/>
        </w:rPr>
        <w:t>第</w:t>
      </w:r>
      <w:r>
        <w:rPr>
          <w:rFonts w:hint="eastAsia" w:ascii="宋体" w:hAnsi="宋体" w:cs="宋体"/>
          <w:b/>
          <w:bCs/>
          <w:sz w:val="22"/>
          <w:szCs w:val="22"/>
          <w:lang w:val="en-US" w:eastAsia="zh-CN"/>
        </w:rPr>
        <w:t>三十三</w:t>
      </w:r>
      <w:r>
        <w:rPr>
          <w:rFonts w:hint="eastAsia" w:ascii="宋体" w:hAnsi="宋体" w:eastAsia="宋体" w:cs="宋体"/>
          <w:b/>
          <w:bCs/>
          <w:sz w:val="22"/>
          <w:szCs w:val="22"/>
          <w:lang w:val="zh-CN"/>
        </w:rPr>
        <w:t>条</w:t>
      </w:r>
      <w:r>
        <w:rPr>
          <w:rFonts w:hint="eastAsia" w:ascii="宋体" w:hAnsi="宋体" w:eastAsia="宋体" w:cs="宋体"/>
          <w:b/>
          <w:bCs/>
          <w:sz w:val="22"/>
          <w:szCs w:val="22"/>
        </w:rPr>
        <w:t xml:space="preserve"> </w:t>
      </w:r>
      <w:r>
        <w:rPr>
          <w:rFonts w:hint="eastAsia" w:ascii="宋体" w:hAnsi="宋体" w:eastAsia="宋体" w:cs="宋体"/>
          <w:sz w:val="22"/>
          <w:szCs w:val="22"/>
          <w:lang w:val="zh-CN"/>
        </w:rPr>
        <w:t>由于甲方或第三方的原因使监理工作受到阻碍或延误，以致增加了工作量或持续时间，应当延长合同期限，甲乙双方就合同期的延长和增加的监理费用尽快签订补充协议。</w:t>
      </w:r>
    </w:p>
    <w:p w14:paraId="1CCC3429">
      <w:pPr>
        <w:autoSpaceDE w:val="0"/>
        <w:autoSpaceDN w:val="0"/>
        <w:adjustRightInd w:val="0"/>
        <w:spacing w:line="456" w:lineRule="exact"/>
        <w:ind w:firstLine="442" w:firstLineChars="200"/>
        <w:outlineLvl w:val="9"/>
        <w:rPr>
          <w:rFonts w:hint="eastAsia" w:ascii="宋体" w:hAnsi="宋体" w:eastAsia="宋体" w:cs="宋体"/>
          <w:sz w:val="22"/>
          <w:szCs w:val="22"/>
          <w:lang w:val="zh-CN"/>
        </w:rPr>
      </w:pPr>
      <w:r>
        <w:rPr>
          <w:rFonts w:hint="eastAsia" w:ascii="宋体" w:hAnsi="宋体" w:eastAsia="宋体" w:cs="宋体"/>
          <w:b/>
          <w:bCs/>
          <w:sz w:val="22"/>
          <w:szCs w:val="22"/>
          <w:lang w:val="zh-CN"/>
        </w:rPr>
        <w:t>第三十</w:t>
      </w:r>
      <w:r>
        <w:rPr>
          <w:rFonts w:hint="eastAsia" w:ascii="宋体" w:hAnsi="宋体" w:cs="宋体"/>
          <w:b/>
          <w:bCs/>
          <w:sz w:val="22"/>
          <w:szCs w:val="22"/>
          <w:lang w:val="en-US" w:eastAsia="zh-CN"/>
        </w:rPr>
        <w:t>四</w:t>
      </w:r>
      <w:r>
        <w:rPr>
          <w:rFonts w:hint="eastAsia" w:ascii="宋体" w:hAnsi="宋体" w:eastAsia="宋体" w:cs="宋体"/>
          <w:b/>
          <w:bCs/>
          <w:sz w:val="22"/>
          <w:szCs w:val="22"/>
          <w:lang w:val="zh-CN"/>
        </w:rPr>
        <w:t>条</w:t>
      </w:r>
      <w:r>
        <w:rPr>
          <w:rFonts w:hint="eastAsia" w:ascii="宋体" w:hAnsi="宋体" w:eastAsia="宋体" w:cs="宋体"/>
          <w:b/>
          <w:bCs/>
          <w:sz w:val="22"/>
          <w:szCs w:val="22"/>
        </w:rPr>
        <w:t xml:space="preserve"> </w:t>
      </w:r>
      <w:r>
        <w:rPr>
          <w:rFonts w:hint="eastAsia" w:ascii="宋体" w:hAnsi="宋体" w:eastAsia="宋体" w:cs="宋体"/>
          <w:sz w:val="22"/>
          <w:szCs w:val="22"/>
          <w:lang w:val="zh-CN"/>
        </w:rPr>
        <w:t>由于乙方原因使得乙方不能全部或部分执行监理业务时，乙方应当立即通知甲方。甲方有权终止合同。此种情形不免除乙方的违约责任，乙方除应返还前期甲方已支付的费用外，还应赔偿对甲方造成的损失。</w:t>
      </w:r>
    </w:p>
    <w:p w14:paraId="40522D1D">
      <w:pPr>
        <w:autoSpaceDE w:val="0"/>
        <w:autoSpaceDN w:val="0"/>
        <w:adjustRightInd w:val="0"/>
        <w:spacing w:line="456" w:lineRule="exact"/>
        <w:ind w:firstLine="442" w:firstLineChars="200"/>
        <w:outlineLvl w:val="9"/>
        <w:rPr>
          <w:rFonts w:hint="eastAsia" w:ascii="宋体" w:hAnsi="宋体" w:eastAsia="宋体" w:cs="宋体"/>
          <w:sz w:val="22"/>
          <w:szCs w:val="22"/>
          <w:lang w:val="zh-CN"/>
        </w:rPr>
      </w:pPr>
      <w:r>
        <w:rPr>
          <w:rFonts w:hint="eastAsia" w:ascii="宋体" w:hAnsi="宋体" w:eastAsia="宋体" w:cs="宋体"/>
          <w:b/>
          <w:bCs/>
          <w:sz w:val="22"/>
          <w:szCs w:val="22"/>
          <w:lang w:val="zh-CN"/>
        </w:rPr>
        <w:t>第三十</w:t>
      </w:r>
      <w:r>
        <w:rPr>
          <w:rFonts w:hint="eastAsia" w:ascii="宋体" w:hAnsi="宋体" w:cs="宋体"/>
          <w:b/>
          <w:bCs/>
          <w:sz w:val="22"/>
          <w:szCs w:val="22"/>
          <w:lang w:val="en-US" w:eastAsia="zh-CN"/>
        </w:rPr>
        <w:t>五</w:t>
      </w:r>
      <w:r>
        <w:rPr>
          <w:rFonts w:hint="eastAsia" w:ascii="宋体" w:hAnsi="宋体" w:eastAsia="宋体" w:cs="宋体"/>
          <w:b/>
          <w:bCs/>
          <w:sz w:val="22"/>
          <w:szCs w:val="22"/>
          <w:lang w:val="zh-CN"/>
        </w:rPr>
        <w:t>条</w:t>
      </w:r>
      <w:r>
        <w:rPr>
          <w:rFonts w:hint="eastAsia" w:ascii="宋体" w:hAnsi="宋体" w:eastAsia="宋体" w:cs="宋体"/>
          <w:b/>
          <w:bCs/>
          <w:sz w:val="22"/>
          <w:szCs w:val="22"/>
        </w:rPr>
        <w:t xml:space="preserve"> </w:t>
      </w:r>
      <w:r>
        <w:rPr>
          <w:rFonts w:hint="eastAsia" w:ascii="宋体" w:hAnsi="宋体" w:eastAsia="宋体" w:cs="宋体"/>
          <w:sz w:val="22"/>
          <w:szCs w:val="22"/>
          <w:lang w:val="zh-CN"/>
        </w:rPr>
        <w:t>变更或解除合同的通知或协议应当采取书面形式，协议未达成之前，原合同仍然有效。</w:t>
      </w:r>
    </w:p>
    <w:p w14:paraId="776B225A">
      <w:pPr>
        <w:autoSpaceDE w:val="0"/>
        <w:autoSpaceDN w:val="0"/>
        <w:adjustRightInd w:val="0"/>
        <w:spacing w:line="456" w:lineRule="exact"/>
        <w:ind w:firstLine="442" w:firstLineChars="200"/>
        <w:outlineLvl w:val="9"/>
        <w:rPr>
          <w:rFonts w:hint="eastAsia" w:ascii="宋体" w:hAnsi="宋体" w:eastAsia="宋体" w:cs="宋体"/>
          <w:sz w:val="22"/>
          <w:szCs w:val="22"/>
          <w:lang w:val="zh-CN"/>
        </w:rPr>
      </w:pPr>
      <w:r>
        <w:rPr>
          <w:rFonts w:hint="eastAsia" w:ascii="宋体" w:hAnsi="宋体" w:eastAsia="宋体" w:cs="宋体"/>
          <w:b/>
          <w:bCs/>
          <w:sz w:val="22"/>
          <w:szCs w:val="22"/>
          <w:lang w:val="zh-CN"/>
        </w:rPr>
        <w:t>第三十</w:t>
      </w:r>
      <w:r>
        <w:rPr>
          <w:rFonts w:hint="eastAsia" w:ascii="宋体" w:hAnsi="宋体" w:cs="宋体"/>
          <w:b/>
          <w:bCs/>
          <w:sz w:val="22"/>
          <w:szCs w:val="22"/>
          <w:lang w:val="en-US" w:eastAsia="zh-CN"/>
        </w:rPr>
        <w:t>六</w:t>
      </w:r>
      <w:r>
        <w:rPr>
          <w:rFonts w:hint="eastAsia" w:ascii="宋体" w:hAnsi="宋体" w:eastAsia="宋体" w:cs="宋体"/>
          <w:b/>
          <w:bCs/>
          <w:sz w:val="22"/>
          <w:szCs w:val="22"/>
          <w:lang w:val="zh-CN"/>
        </w:rPr>
        <w:t>条</w:t>
      </w:r>
      <w:r>
        <w:rPr>
          <w:rFonts w:hint="eastAsia" w:ascii="宋体" w:hAnsi="宋体" w:eastAsia="宋体" w:cs="宋体"/>
          <w:b/>
          <w:bCs/>
          <w:sz w:val="22"/>
          <w:szCs w:val="22"/>
        </w:rPr>
        <w:t xml:space="preserve"> </w:t>
      </w:r>
      <w:r>
        <w:rPr>
          <w:rFonts w:hint="eastAsia" w:ascii="宋体" w:hAnsi="宋体" w:eastAsia="宋体" w:cs="宋体"/>
          <w:sz w:val="22"/>
          <w:szCs w:val="22"/>
          <w:lang w:val="zh-CN"/>
        </w:rPr>
        <w:t>乙方在应当获得监理酬金之日起30天内仍未收到支付单据，而甲方又未对乙方提出任何书面意见时，乙方可向甲方发出终止合同通知。如果终止监理合同的通知发出后14天内未得到甲方答复，可进一步发出终止合同的通知，如果第二次通知发出后30天内仍未得到甲方答复，可终止合同，或自行暂停或继续暂停执行全部或部分监理业务。</w:t>
      </w:r>
    </w:p>
    <w:p w14:paraId="53B7571D">
      <w:pPr>
        <w:autoSpaceDE w:val="0"/>
        <w:autoSpaceDN w:val="0"/>
        <w:adjustRightInd w:val="0"/>
        <w:spacing w:line="456" w:lineRule="exact"/>
        <w:ind w:firstLine="442" w:firstLineChars="200"/>
        <w:outlineLvl w:val="9"/>
        <w:rPr>
          <w:rFonts w:hint="eastAsia" w:ascii="宋体" w:hAnsi="宋体" w:eastAsia="宋体" w:cs="宋体"/>
          <w:sz w:val="22"/>
          <w:szCs w:val="22"/>
          <w:lang w:val="zh-CN"/>
        </w:rPr>
      </w:pPr>
      <w:r>
        <w:rPr>
          <w:rFonts w:hint="eastAsia" w:ascii="宋体" w:hAnsi="宋体" w:eastAsia="宋体" w:cs="宋体"/>
          <w:b/>
          <w:bCs/>
          <w:sz w:val="22"/>
          <w:szCs w:val="22"/>
          <w:lang w:val="zh-CN"/>
        </w:rPr>
        <w:t>第三十</w:t>
      </w:r>
      <w:r>
        <w:rPr>
          <w:rFonts w:hint="eastAsia" w:ascii="宋体" w:hAnsi="宋体" w:cs="宋体"/>
          <w:b/>
          <w:bCs/>
          <w:sz w:val="22"/>
          <w:szCs w:val="22"/>
          <w:lang w:val="en-US" w:eastAsia="zh-CN"/>
        </w:rPr>
        <w:t>七</w:t>
      </w:r>
      <w:r>
        <w:rPr>
          <w:rFonts w:hint="eastAsia" w:ascii="宋体" w:hAnsi="宋体" w:eastAsia="宋体" w:cs="宋体"/>
          <w:b/>
          <w:bCs/>
          <w:sz w:val="22"/>
          <w:szCs w:val="22"/>
          <w:lang w:val="zh-CN"/>
        </w:rPr>
        <w:t>条</w:t>
      </w:r>
      <w:r>
        <w:rPr>
          <w:rFonts w:hint="eastAsia" w:ascii="宋体" w:hAnsi="宋体" w:eastAsia="宋体" w:cs="宋体"/>
          <w:b/>
          <w:bCs/>
          <w:sz w:val="22"/>
          <w:szCs w:val="22"/>
        </w:rPr>
        <w:t xml:space="preserve"> </w:t>
      </w:r>
      <w:r>
        <w:rPr>
          <w:rFonts w:hint="eastAsia" w:ascii="宋体" w:hAnsi="宋体" w:eastAsia="宋体" w:cs="宋体"/>
          <w:sz w:val="22"/>
          <w:szCs w:val="22"/>
          <w:lang w:val="zh-CN"/>
        </w:rPr>
        <w:t>合同的协议终止并不影响各方应有的权利和应承担的责任。</w:t>
      </w:r>
    </w:p>
    <w:p w14:paraId="258DFC09">
      <w:pPr>
        <w:autoSpaceDE w:val="0"/>
        <w:autoSpaceDN w:val="0"/>
        <w:adjustRightInd w:val="0"/>
        <w:spacing w:line="456" w:lineRule="exact"/>
        <w:ind w:firstLine="442" w:firstLineChars="200"/>
        <w:outlineLvl w:val="9"/>
        <w:rPr>
          <w:rFonts w:hint="eastAsia" w:ascii="宋体" w:hAnsi="宋体" w:eastAsia="宋体" w:cs="宋体"/>
          <w:b/>
          <w:bCs/>
          <w:sz w:val="22"/>
          <w:szCs w:val="22"/>
          <w:lang w:val="zh-CN"/>
        </w:rPr>
      </w:pPr>
      <w:r>
        <w:rPr>
          <w:rFonts w:hint="eastAsia" w:ascii="宋体" w:hAnsi="宋体" w:eastAsia="宋体" w:cs="宋体"/>
          <w:b/>
          <w:bCs/>
          <w:sz w:val="22"/>
          <w:szCs w:val="22"/>
        </w:rPr>
        <w:t>G.</w:t>
      </w:r>
      <w:r>
        <w:rPr>
          <w:rFonts w:hint="eastAsia" w:ascii="宋体" w:hAnsi="宋体" w:eastAsia="宋体" w:cs="宋体"/>
          <w:b/>
          <w:bCs/>
          <w:sz w:val="22"/>
          <w:szCs w:val="22"/>
          <w:lang w:val="zh-CN"/>
        </w:rPr>
        <w:t>监理酬金</w:t>
      </w:r>
    </w:p>
    <w:p w14:paraId="562A1BDA">
      <w:pPr>
        <w:autoSpaceDE w:val="0"/>
        <w:autoSpaceDN w:val="0"/>
        <w:adjustRightInd w:val="0"/>
        <w:spacing w:line="456" w:lineRule="exact"/>
        <w:ind w:firstLine="442" w:firstLineChars="200"/>
        <w:outlineLvl w:val="9"/>
        <w:rPr>
          <w:rFonts w:hint="eastAsia" w:ascii="宋体" w:hAnsi="宋体" w:eastAsia="宋体" w:cs="宋体"/>
          <w:sz w:val="22"/>
          <w:szCs w:val="22"/>
          <w:lang w:val="zh-CN"/>
        </w:rPr>
      </w:pPr>
      <w:r>
        <w:rPr>
          <w:rFonts w:hint="eastAsia" w:ascii="宋体" w:hAnsi="宋体" w:eastAsia="宋体" w:cs="宋体"/>
          <w:b/>
          <w:bCs/>
          <w:sz w:val="22"/>
          <w:szCs w:val="22"/>
          <w:lang w:val="zh-CN"/>
        </w:rPr>
        <w:t>第三十</w:t>
      </w:r>
      <w:r>
        <w:rPr>
          <w:rFonts w:hint="eastAsia" w:ascii="宋体" w:hAnsi="宋体" w:cs="宋体"/>
          <w:b/>
          <w:bCs/>
          <w:sz w:val="22"/>
          <w:szCs w:val="22"/>
          <w:lang w:val="en-US" w:eastAsia="zh-CN"/>
        </w:rPr>
        <w:t>八</w:t>
      </w:r>
      <w:r>
        <w:rPr>
          <w:rFonts w:hint="eastAsia" w:ascii="宋体" w:hAnsi="宋体" w:eastAsia="宋体" w:cs="宋体"/>
          <w:b/>
          <w:bCs/>
          <w:sz w:val="22"/>
          <w:szCs w:val="22"/>
          <w:lang w:val="zh-CN"/>
        </w:rPr>
        <w:t>条</w:t>
      </w:r>
      <w:r>
        <w:rPr>
          <w:rFonts w:hint="eastAsia" w:ascii="宋体" w:hAnsi="宋体" w:eastAsia="宋体" w:cs="宋体"/>
          <w:b/>
          <w:bCs/>
          <w:sz w:val="22"/>
          <w:szCs w:val="22"/>
        </w:rPr>
        <w:t xml:space="preserve"> </w:t>
      </w:r>
      <w:r>
        <w:rPr>
          <w:rFonts w:hint="eastAsia" w:ascii="宋体" w:hAnsi="宋体" w:eastAsia="宋体" w:cs="宋体"/>
          <w:sz w:val="22"/>
          <w:szCs w:val="22"/>
          <w:lang w:val="zh-CN"/>
        </w:rPr>
        <w:t>监理酬金，按照监理合同专用条款约定的方法计取，并按约定的时间和数额支付。</w:t>
      </w:r>
    </w:p>
    <w:p w14:paraId="33596FE9">
      <w:pPr>
        <w:autoSpaceDE w:val="0"/>
        <w:autoSpaceDN w:val="0"/>
        <w:adjustRightInd w:val="0"/>
        <w:spacing w:line="456" w:lineRule="exact"/>
        <w:ind w:firstLine="442" w:firstLineChars="200"/>
        <w:outlineLvl w:val="9"/>
        <w:rPr>
          <w:rFonts w:hint="eastAsia" w:ascii="宋体" w:hAnsi="宋体" w:eastAsia="宋体" w:cs="宋体"/>
          <w:sz w:val="22"/>
          <w:szCs w:val="22"/>
          <w:lang w:val="zh-CN"/>
        </w:rPr>
      </w:pPr>
      <w:r>
        <w:rPr>
          <w:rFonts w:hint="eastAsia" w:ascii="宋体" w:hAnsi="宋体" w:eastAsia="宋体" w:cs="宋体"/>
          <w:b/>
          <w:bCs/>
          <w:sz w:val="22"/>
          <w:szCs w:val="22"/>
          <w:lang w:val="zh-CN"/>
        </w:rPr>
        <w:t>第三十</w:t>
      </w:r>
      <w:r>
        <w:rPr>
          <w:rFonts w:hint="eastAsia" w:ascii="宋体" w:hAnsi="宋体" w:cs="宋体"/>
          <w:b/>
          <w:bCs/>
          <w:sz w:val="22"/>
          <w:szCs w:val="22"/>
          <w:lang w:val="en-US" w:eastAsia="zh-CN"/>
        </w:rPr>
        <w:t>九</w:t>
      </w:r>
      <w:r>
        <w:rPr>
          <w:rFonts w:hint="eastAsia" w:ascii="宋体" w:hAnsi="宋体" w:eastAsia="宋体" w:cs="宋体"/>
          <w:b/>
          <w:bCs/>
          <w:sz w:val="22"/>
          <w:szCs w:val="22"/>
          <w:lang w:val="zh-CN"/>
        </w:rPr>
        <w:t xml:space="preserve">条 </w:t>
      </w:r>
      <w:r>
        <w:rPr>
          <w:rFonts w:hint="eastAsia" w:ascii="宋体" w:hAnsi="宋体" w:eastAsia="宋体" w:cs="宋体"/>
          <w:sz w:val="22"/>
          <w:szCs w:val="22"/>
          <w:lang w:val="zh-CN"/>
        </w:rPr>
        <w:t>如果甲方在规定的支付期限内未付监理酬金，自规定支付之时起，应当向乙方补偿应支付的酬金利息。利息以未支付酬金为基数，利率参照违约行为发生之日同期全国银行间同业拆借中心公布的贷款市场报价利率&lt;LPR&gt;计算至甲方实际履行完毕之日止。</w:t>
      </w:r>
    </w:p>
    <w:p w14:paraId="071C8D7B">
      <w:pPr>
        <w:autoSpaceDE w:val="0"/>
        <w:autoSpaceDN w:val="0"/>
        <w:adjustRightInd w:val="0"/>
        <w:spacing w:line="456" w:lineRule="exact"/>
        <w:ind w:firstLine="442" w:firstLineChars="200"/>
        <w:outlineLvl w:val="9"/>
        <w:rPr>
          <w:rFonts w:hint="eastAsia" w:ascii="宋体" w:hAnsi="宋体" w:eastAsia="宋体" w:cs="宋体"/>
          <w:sz w:val="22"/>
          <w:szCs w:val="22"/>
          <w:lang w:val="zh-CN"/>
        </w:rPr>
      </w:pPr>
      <w:r>
        <w:rPr>
          <w:rFonts w:hint="eastAsia" w:ascii="宋体" w:hAnsi="宋体" w:eastAsia="宋体" w:cs="宋体"/>
          <w:b/>
          <w:bCs/>
          <w:sz w:val="22"/>
          <w:szCs w:val="22"/>
          <w:lang w:val="zh-CN"/>
        </w:rPr>
        <w:t>第</w:t>
      </w:r>
      <w:r>
        <w:rPr>
          <w:rFonts w:hint="eastAsia" w:ascii="宋体" w:hAnsi="宋体" w:cs="宋体"/>
          <w:b/>
          <w:bCs/>
          <w:sz w:val="22"/>
          <w:szCs w:val="22"/>
          <w:lang w:val="en-US" w:eastAsia="zh-CN"/>
        </w:rPr>
        <w:t>四十</w:t>
      </w:r>
      <w:r>
        <w:rPr>
          <w:rFonts w:hint="eastAsia" w:ascii="宋体" w:hAnsi="宋体" w:eastAsia="宋体" w:cs="宋体"/>
          <w:b/>
          <w:bCs/>
          <w:sz w:val="22"/>
          <w:szCs w:val="22"/>
          <w:lang w:val="zh-CN"/>
        </w:rPr>
        <w:t>条</w:t>
      </w:r>
      <w:r>
        <w:rPr>
          <w:rFonts w:hint="eastAsia" w:ascii="宋体" w:hAnsi="宋体" w:eastAsia="宋体" w:cs="宋体"/>
          <w:b/>
          <w:bCs/>
          <w:sz w:val="22"/>
          <w:szCs w:val="22"/>
        </w:rPr>
        <w:t xml:space="preserve"> </w:t>
      </w:r>
      <w:r>
        <w:rPr>
          <w:rFonts w:hint="eastAsia" w:ascii="宋体" w:hAnsi="宋体" w:eastAsia="宋体" w:cs="宋体"/>
          <w:sz w:val="22"/>
          <w:szCs w:val="22"/>
          <w:lang w:val="zh-CN"/>
        </w:rPr>
        <w:t>如果甲方对乙方提交的支付通知书中酬金或部分酬金项目提出异议，应当在收到支付通知书5个工作日内向乙方发出异议的通知，但甲方不得拖延其他无异议酬金项目的支付。</w:t>
      </w:r>
    </w:p>
    <w:p w14:paraId="0FEBAC50">
      <w:pPr>
        <w:autoSpaceDE w:val="0"/>
        <w:autoSpaceDN w:val="0"/>
        <w:adjustRightInd w:val="0"/>
        <w:spacing w:line="456" w:lineRule="exact"/>
        <w:ind w:firstLine="442" w:firstLineChars="200"/>
        <w:outlineLvl w:val="9"/>
        <w:rPr>
          <w:rFonts w:hint="eastAsia" w:ascii="宋体" w:hAnsi="宋体" w:eastAsia="宋体" w:cs="宋体"/>
          <w:b/>
          <w:bCs/>
          <w:sz w:val="22"/>
          <w:szCs w:val="22"/>
          <w:lang w:val="zh-CN"/>
        </w:rPr>
      </w:pPr>
      <w:r>
        <w:rPr>
          <w:rFonts w:hint="eastAsia" w:ascii="宋体" w:hAnsi="宋体" w:eastAsia="宋体" w:cs="宋体"/>
          <w:b/>
          <w:bCs/>
          <w:sz w:val="22"/>
          <w:szCs w:val="22"/>
        </w:rPr>
        <w:t>H.</w:t>
      </w:r>
      <w:r>
        <w:rPr>
          <w:rFonts w:hint="eastAsia" w:ascii="宋体" w:hAnsi="宋体" w:eastAsia="宋体" w:cs="宋体"/>
          <w:b/>
          <w:bCs/>
          <w:sz w:val="22"/>
          <w:szCs w:val="22"/>
          <w:lang w:val="zh-CN"/>
        </w:rPr>
        <w:t>其它</w:t>
      </w:r>
    </w:p>
    <w:p w14:paraId="6889EBFF">
      <w:pPr>
        <w:autoSpaceDE w:val="0"/>
        <w:autoSpaceDN w:val="0"/>
        <w:adjustRightInd w:val="0"/>
        <w:spacing w:line="456" w:lineRule="exact"/>
        <w:ind w:firstLine="442" w:firstLineChars="200"/>
        <w:outlineLvl w:val="9"/>
        <w:rPr>
          <w:rFonts w:hint="eastAsia" w:ascii="宋体" w:hAnsi="宋体" w:eastAsia="宋体" w:cs="宋体"/>
          <w:sz w:val="22"/>
          <w:szCs w:val="22"/>
          <w:lang w:val="zh-CN"/>
        </w:rPr>
      </w:pPr>
      <w:r>
        <w:rPr>
          <w:rFonts w:hint="eastAsia" w:ascii="宋体" w:hAnsi="宋体" w:eastAsia="宋体" w:cs="宋体"/>
          <w:b/>
          <w:bCs/>
          <w:sz w:val="22"/>
          <w:szCs w:val="22"/>
          <w:lang w:val="zh-CN"/>
        </w:rPr>
        <w:t>第</w:t>
      </w:r>
      <w:r>
        <w:rPr>
          <w:rFonts w:hint="eastAsia" w:ascii="宋体" w:hAnsi="宋体" w:cs="宋体"/>
          <w:b/>
          <w:bCs/>
          <w:sz w:val="22"/>
          <w:szCs w:val="22"/>
          <w:lang w:val="en-US" w:eastAsia="zh-CN"/>
        </w:rPr>
        <w:t>四十一</w:t>
      </w:r>
      <w:r>
        <w:rPr>
          <w:rFonts w:hint="eastAsia" w:ascii="宋体" w:hAnsi="宋体" w:eastAsia="宋体" w:cs="宋体"/>
          <w:b/>
          <w:bCs/>
          <w:sz w:val="22"/>
          <w:szCs w:val="22"/>
          <w:lang w:val="zh-CN"/>
        </w:rPr>
        <w:t>条</w:t>
      </w:r>
      <w:r>
        <w:rPr>
          <w:rFonts w:hint="eastAsia" w:ascii="宋体" w:hAnsi="宋体" w:eastAsia="宋体" w:cs="宋体"/>
          <w:b/>
          <w:bCs/>
          <w:sz w:val="22"/>
          <w:szCs w:val="22"/>
        </w:rPr>
        <w:t xml:space="preserve"> </w:t>
      </w:r>
      <w:r>
        <w:rPr>
          <w:rFonts w:hint="eastAsia" w:ascii="宋体" w:hAnsi="宋体" w:eastAsia="宋体" w:cs="宋体"/>
          <w:sz w:val="22"/>
          <w:szCs w:val="22"/>
          <w:lang w:val="zh-CN"/>
        </w:rPr>
        <w:t>未经过对方的书面同意，无论甲方或乙方均不得转让合同约定的权利和义务。</w:t>
      </w:r>
    </w:p>
    <w:p w14:paraId="6E495DE7">
      <w:pPr>
        <w:autoSpaceDE w:val="0"/>
        <w:autoSpaceDN w:val="0"/>
        <w:adjustRightInd w:val="0"/>
        <w:spacing w:line="456" w:lineRule="exact"/>
        <w:ind w:firstLine="442" w:firstLineChars="200"/>
        <w:outlineLvl w:val="9"/>
        <w:rPr>
          <w:rFonts w:hint="eastAsia" w:ascii="宋体" w:hAnsi="宋体" w:eastAsia="宋体" w:cs="宋体"/>
          <w:sz w:val="22"/>
          <w:szCs w:val="22"/>
          <w:lang w:val="zh-CN"/>
        </w:rPr>
      </w:pPr>
      <w:r>
        <w:rPr>
          <w:rFonts w:hint="eastAsia" w:ascii="宋体" w:hAnsi="宋体" w:eastAsia="宋体" w:cs="宋体"/>
          <w:b/>
          <w:bCs/>
          <w:sz w:val="22"/>
          <w:szCs w:val="22"/>
          <w:lang w:val="zh-CN"/>
        </w:rPr>
        <w:t>第</w:t>
      </w:r>
      <w:r>
        <w:rPr>
          <w:rFonts w:hint="eastAsia" w:ascii="宋体" w:hAnsi="宋体" w:cs="宋体"/>
          <w:b/>
          <w:bCs/>
          <w:sz w:val="22"/>
          <w:szCs w:val="22"/>
          <w:lang w:val="en-US" w:eastAsia="zh-CN"/>
        </w:rPr>
        <w:t>四十二</w:t>
      </w:r>
      <w:r>
        <w:rPr>
          <w:rFonts w:hint="eastAsia" w:ascii="宋体" w:hAnsi="宋体" w:eastAsia="宋体" w:cs="宋体"/>
          <w:b/>
          <w:bCs/>
          <w:sz w:val="22"/>
          <w:szCs w:val="22"/>
          <w:lang w:val="zh-CN"/>
        </w:rPr>
        <w:t>条</w:t>
      </w:r>
      <w:r>
        <w:rPr>
          <w:rFonts w:hint="eastAsia" w:ascii="宋体" w:hAnsi="宋体" w:eastAsia="宋体" w:cs="宋体"/>
          <w:b/>
          <w:bCs/>
          <w:sz w:val="22"/>
          <w:szCs w:val="22"/>
        </w:rPr>
        <w:t xml:space="preserve"> </w:t>
      </w:r>
      <w:r>
        <w:rPr>
          <w:rFonts w:hint="eastAsia" w:ascii="宋体" w:hAnsi="宋体" w:eastAsia="宋体" w:cs="宋体"/>
          <w:sz w:val="22"/>
          <w:szCs w:val="22"/>
          <w:lang w:val="zh-CN"/>
        </w:rPr>
        <w:t>除甲方书面同意外，乙方及职员不应接受监理合同约定以外的与监理工程项目有关的报酬。</w:t>
      </w:r>
    </w:p>
    <w:p w14:paraId="14ADF83D">
      <w:pPr>
        <w:autoSpaceDE w:val="0"/>
        <w:autoSpaceDN w:val="0"/>
        <w:adjustRightInd w:val="0"/>
        <w:spacing w:line="456" w:lineRule="exact"/>
        <w:ind w:firstLine="442" w:firstLineChars="200"/>
        <w:outlineLvl w:val="9"/>
        <w:rPr>
          <w:rFonts w:hint="eastAsia" w:ascii="宋体" w:hAnsi="宋体" w:eastAsia="宋体" w:cs="宋体"/>
          <w:sz w:val="22"/>
          <w:szCs w:val="22"/>
          <w:lang w:val="zh-CN"/>
        </w:rPr>
      </w:pPr>
      <w:r>
        <w:rPr>
          <w:rFonts w:hint="eastAsia" w:ascii="宋体" w:hAnsi="宋体" w:eastAsia="宋体" w:cs="宋体"/>
          <w:b/>
          <w:bCs/>
          <w:sz w:val="22"/>
          <w:szCs w:val="22"/>
          <w:lang w:val="zh-CN"/>
        </w:rPr>
        <w:t>第四十</w:t>
      </w:r>
      <w:r>
        <w:rPr>
          <w:rFonts w:hint="eastAsia" w:ascii="宋体" w:hAnsi="宋体" w:cs="宋体"/>
          <w:b/>
          <w:bCs/>
          <w:sz w:val="22"/>
          <w:szCs w:val="22"/>
          <w:lang w:val="en-US" w:eastAsia="zh-CN"/>
        </w:rPr>
        <w:t>三</w:t>
      </w:r>
      <w:r>
        <w:rPr>
          <w:rFonts w:hint="eastAsia" w:ascii="宋体" w:hAnsi="宋体" w:eastAsia="宋体" w:cs="宋体"/>
          <w:b/>
          <w:bCs/>
          <w:sz w:val="22"/>
          <w:szCs w:val="22"/>
          <w:lang w:val="zh-CN"/>
        </w:rPr>
        <w:t xml:space="preserve">条 </w:t>
      </w:r>
      <w:r>
        <w:rPr>
          <w:rFonts w:hint="eastAsia" w:ascii="宋体" w:hAnsi="宋体" w:eastAsia="宋体" w:cs="宋体"/>
          <w:sz w:val="22"/>
          <w:szCs w:val="22"/>
          <w:lang w:val="zh-CN"/>
        </w:rPr>
        <w:t>乙方不得参与可能与合同规定的与甲方的利益相冲突的任何活动。</w:t>
      </w:r>
    </w:p>
    <w:p w14:paraId="21D246EC">
      <w:pPr>
        <w:pStyle w:val="8"/>
        <w:spacing w:line="456" w:lineRule="exact"/>
        <w:ind w:firstLine="482"/>
        <w:outlineLvl w:val="9"/>
        <w:rPr>
          <w:rFonts w:hint="eastAsia" w:ascii="宋体" w:hAnsi="宋体" w:eastAsia="宋体" w:cs="宋体"/>
          <w:sz w:val="22"/>
          <w:szCs w:val="22"/>
        </w:rPr>
      </w:pPr>
      <w:r>
        <w:rPr>
          <w:rFonts w:hint="eastAsia" w:ascii="宋体" w:hAnsi="宋体" w:eastAsia="宋体" w:cs="宋体"/>
          <w:b/>
          <w:bCs/>
          <w:sz w:val="22"/>
          <w:szCs w:val="22"/>
        </w:rPr>
        <w:t>第四十</w:t>
      </w:r>
      <w:r>
        <w:rPr>
          <w:rFonts w:hint="eastAsia" w:ascii="宋体" w:hAnsi="宋体" w:cs="宋体"/>
          <w:b/>
          <w:bCs/>
          <w:sz w:val="22"/>
          <w:szCs w:val="22"/>
          <w:lang w:val="en-US" w:eastAsia="zh-CN"/>
        </w:rPr>
        <w:t>四</w:t>
      </w:r>
      <w:r>
        <w:rPr>
          <w:rFonts w:hint="eastAsia" w:ascii="宋体" w:hAnsi="宋体" w:eastAsia="宋体" w:cs="宋体"/>
          <w:b/>
          <w:bCs/>
          <w:sz w:val="22"/>
          <w:szCs w:val="22"/>
        </w:rPr>
        <w:t xml:space="preserve">条 </w:t>
      </w:r>
      <w:r>
        <w:rPr>
          <w:rFonts w:hint="eastAsia" w:ascii="宋体" w:hAnsi="宋体" w:eastAsia="宋体" w:cs="宋体"/>
          <w:sz w:val="22"/>
          <w:szCs w:val="22"/>
        </w:rPr>
        <w:t>若乙方存在本合同第</w:t>
      </w:r>
      <w:r>
        <w:rPr>
          <w:rFonts w:hint="eastAsia" w:ascii="宋体" w:hAnsi="宋体" w:cs="宋体"/>
          <w:sz w:val="22"/>
          <w:szCs w:val="22"/>
          <w:lang w:val="en-US" w:eastAsia="zh-CN"/>
        </w:rPr>
        <w:t>四十二</w:t>
      </w:r>
      <w:r>
        <w:rPr>
          <w:rFonts w:hint="eastAsia" w:ascii="宋体" w:hAnsi="宋体" w:eastAsia="宋体" w:cs="宋体"/>
          <w:sz w:val="22"/>
          <w:szCs w:val="22"/>
        </w:rPr>
        <w:t>条、第</w:t>
      </w:r>
      <w:r>
        <w:rPr>
          <w:rFonts w:hint="eastAsia" w:ascii="宋体" w:hAnsi="宋体" w:cs="宋体"/>
          <w:sz w:val="22"/>
          <w:szCs w:val="22"/>
          <w:lang w:val="en-US" w:eastAsia="zh-CN"/>
        </w:rPr>
        <w:t>四十三</w:t>
      </w:r>
      <w:r>
        <w:rPr>
          <w:rFonts w:hint="eastAsia" w:ascii="宋体" w:hAnsi="宋体" w:eastAsia="宋体" w:cs="宋体"/>
          <w:sz w:val="22"/>
          <w:szCs w:val="22"/>
        </w:rPr>
        <w:t>条的行为的，乙方应立即终止监理服务及利害冲突行为，并退还甲方已支付的款项，对甲方造成其他损失的，乙方应足额赔偿。</w:t>
      </w:r>
    </w:p>
    <w:p w14:paraId="36E40297">
      <w:pPr>
        <w:autoSpaceDE w:val="0"/>
        <w:autoSpaceDN w:val="0"/>
        <w:adjustRightInd w:val="0"/>
        <w:spacing w:line="458" w:lineRule="exact"/>
        <w:jc w:val="center"/>
        <w:outlineLvl w:val="9"/>
        <w:rPr>
          <w:rFonts w:hint="eastAsia" w:ascii="宋体" w:hAnsi="宋体" w:eastAsia="宋体" w:cs="宋体"/>
          <w:b/>
          <w:bCs/>
          <w:kern w:val="44"/>
          <w:sz w:val="22"/>
          <w:szCs w:val="22"/>
          <w:lang w:val="zh-CN"/>
        </w:rPr>
      </w:pPr>
    </w:p>
    <w:p w14:paraId="73F7F8FC">
      <w:pPr>
        <w:autoSpaceDE w:val="0"/>
        <w:autoSpaceDN w:val="0"/>
        <w:adjustRightInd w:val="0"/>
        <w:spacing w:line="458" w:lineRule="exact"/>
        <w:jc w:val="center"/>
        <w:outlineLvl w:val="9"/>
        <w:rPr>
          <w:rFonts w:hint="eastAsia" w:ascii="宋体" w:hAnsi="宋体" w:eastAsia="宋体" w:cs="宋体"/>
          <w:b/>
          <w:bCs/>
          <w:kern w:val="44"/>
          <w:sz w:val="22"/>
          <w:szCs w:val="22"/>
          <w:lang w:val="zh-CN"/>
        </w:rPr>
      </w:pPr>
    </w:p>
    <w:p w14:paraId="52BBF2CD">
      <w:pPr>
        <w:autoSpaceDE w:val="0"/>
        <w:autoSpaceDN w:val="0"/>
        <w:adjustRightInd w:val="0"/>
        <w:spacing w:line="420" w:lineRule="exact"/>
        <w:jc w:val="center"/>
        <w:outlineLvl w:val="9"/>
        <w:rPr>
          <w:rFonts w:hint="eastAsia" w:ascii="宋体" w:hAnsi="宋体" w:eastAsia="宋体" w:cs="宋体"/>
          <w:b/>
          <w:bCs/>
          <w:kern w:val="44"/>
          <w:sz w:val="22"/>
          <w:szCs w:val="22"/>
          <w:lang w:val="zh-CN"/>
        </w:rPr>
      </w:pPr>
      <w:r>
        <w:rPr>
          <w:rFonts w:hint="eastAsia" w:ascii="宋体" w:hAnsi="宋体" w:eastAsia="宋体" w:cs="宋体"/>
          <w:b/>
          <w:bCs/>
          <w:kern w:val="44"/>
          <w:sz w:val="22"/>
          <w:szCs w:val="22"/>
          <w:lang w:val="zh-CN"/>
        </w:rPr>
        <w:t>第二部分 合同专用条款</w:t>
      </w:r>
    </w:p>
    <w:p w14:paraId="2A6BD87C">
      <w:pPr>
        <w:autoSpaceDE w:val="0"/>
        <w:autoSpaceDN w:val="0"/>
        <w:adjustRightInd w:val="0"/>
        <w:spacing w:line="420" w:lineRule="exact"/>
        <w:ind w:firstLine="480"/>
        <w:outlineLvl w:val="9"/>
        <w:rPr>
          <w:rFonts w:hint="eastAsia" w:ascii="宋体" w:hAnsi="宋体" w:eastAsia="宋体" w:cs="宋体"/>
          <w:sz w:val="22"/>
          <w:szCs w:val="22"/>
          <w:lang w:val="zh-CN"/>
        </w:rPr>
      </w:pPr>
      <w:r>
        <w:rPr>
          <w:rFonts w:hint="eastAsia" w:ascii="宋体" w:hAnsi="宋体" w:eastAsia="宋体" w:cs="宋体"/>
          <w:sz w:val="22"/>
          <w:szCs w:val="22"/>
          <w:lang w:val="zh-CN"/>
        </w:rPr>
        <w:t>鉴于本工程的特点与实际需要，双方经协商同意以下专用条款作为本合同通用条款的补充。当通用条款与专用条款不一致时，以专用条款为准。</w:t>
      </w:r>
    </w:p>
    <w:p w14:paraId="6517D5DA">
      <w:pPr>
        <w:autoSpaceDE w:val="0"/>
        <w:autoSpaceDN w:val="0"/>
        <w:adjustRightInd w:val="0"/>
        <w:spacing w:line="420" w:lineRule="exact"/>
        <w:ind w:firstLine="442" w:firstLineChars="200"/>
        <w:outlineLvl w:val="9"/>
        <w:rPr>
          <w:rFonts w:hint="eastAsia" w:ascii="宋体" w:hAnsi="宋体" w:eastAsia="宋体" w:cs="宋体"/>
          <w:bCs/>
          <w:sz w:val="22"/>
          <w:szCs w:val="22"/>
          <w:lang w:val="zh-CN"/>
        </w:rPr>
      </w:pPr>
      <w:r>
        <w:rPr>
          <w:rFonts w:hint="eastAsia" w:ascii="宋体" w:hAnsi="宋体" w:eastAsia="宋体" w:cs="宋体"/>
          <w:b/>
          <w:sz w:val="22"/>
          <w:szCs w:val="22"/>
        </w:rPr>
        <w:t>第一条</w:t>
      </w:r>
      <w:r>
        <w:rPr>
          <w:rFonts w:hint="eastAsia" w:ascii="宋体" w:hAnsi="宋体" w:eastAsia="宋体" w:cs="宋体"/>
          <w:bCs/>
          <w:sz w:val="22"/>
          <w:szCs w:val="22"/>
        </w:rPr>
        <w:t xml:space="preserve"> </w:t>
      </w:r>
      <w:r>
        <w:rPr>
          <w:rFonts w:hint="eastAsia" w:ascii="宋体" w:hAnsi="宋体" w:eastAsia="宋体" w:cs="宋体"/>
          <w:bCs/>
          <w:sz w:val="22"/>
          <w:szCs w:val="22"/>
          <w:lang w:val="zh-CN"/>
        </w:rPr>
        <w:t>监理服务范围及内容</w:t>
      </w:r>
    </w:p>
    <w:p w14:paraId="257FABFD">
      <w:pPr>
        <w:spacing w:line="420" w:lineRule="exact"/>
        <w:ind w:firstLine="440" w:firstLineChars="200"/>
        <w:outlineLvl w:val="9"/>
        <w:rPr>
          <w:rFonts w:hint="eastAsia" w:ascii="宋体" w:hAnsi="宋体" w:eastAsia="宋体" w:cs="宋体"/>
          <w:bCs/>
          <w:sz w:val="22"/>
          <w:szCs w:val="22"/>
          <w:u w:val="single"/>
        </w:rPr>
      </w:pPr>
      <w:r>
        <w:rPr>
          <w:rFonts w:hint="eastAsia" w:ascii="宋体" w:hAnsi="宋体" w:eastAsia="宋体" w:cs="宋体"/>
          <w:sz w:val="22"/>
          <w:szCs w:val="22"/>
        </w:rPr>
        <w:t>1.</w:t>
      </w:r>
      <w:r>
        <w:rPr>
          <w:rFonts w:hint="eastAsia" w:ascii="宋体" w:hAnsi="宋体" w:eastAsia="宋体" w:cs="宋体"/>
          <w:sz w:val="22"/>
          <w:szCs w:val="22"/>
          <w:lang w:val="zh-CN"/>
        </w:rPr>
        <w:t>服务范围：</w:t>
      </w:r>
      <w:bookmarkStart w:id="178" w:name="OLE_LINK6"/>
      <w:bookmarkStart w:id="179" w:name="_Hlk205793851"/>
      <w:bookmarkStart w:id="180" w:name="_Hlk153376670"/>
      <w:r>
        <w:rPr>
          <w:rFonts w:hint="eastAsia" w:ascii="宋体" w:hAnsi="宋体" w:eastAsia="宋体" w:cs="宋体"/>
          <w:sz w:val="22"/>
          <w:szCs w:val="22"/>
          <w:u w:val="single"/>
          <w:lang w:val="en-US" w:eastAsia="zh-CN"/>
        </w:rPr>
        <w:t>温州城市数据空间</w:t>
      </w:r>
      <w:r>
        <w:rPr>
          <w:rFonts w:hint="eastAsia" w:ascii="宋体" w:hAnsi="宋体" w:eastAsia="宋体" w:cs="宋体"/>
          <w:bCs/>
          <w:sz w:val="22"/>
          <w:szCs w:val="22"/>
          <w:u w:val="single"/>
        </w:rPr>
        <w:t>项目</w:t>
      </w:r>
      <w:bookmarkEnd w:id="178"/>
      <w:bookmarkEnd w:id="179"/>
      <w:r>
        <w:rPr>
          <w:rFonts w:hint="eastAsia" w:ascii="宋体" w:hAnsi="宋体" w:eastAsia="宋体" w:cs="宋体"/>
          <w:bCs/>
          <w:sz w:val="22"/>
          <w:szCs w:val="22"/>
          <w:u w:val="single"/>
        </w:rPr>
        <w:t>监理</w:t>
      </w:r>
      <w:bookmarkEnd w:id="180"/>
      <w:r>
        <w:rPr>
          <w:rFonts w:hint="eastAsia" w:ascii="宋体" w:hAnsi="宋体" w:eastAsia="宋体" w:cs="宋体"/>
          <w:bCs/>
          <w:sz w:val="22"/>
          <w:szCs w:val="22"/>
          <w:u w:val="single"/>
        </w:rPr>
        <w:t>服务。</w:t>
      </w:r>
    </w:p>
    <w:p w14:paraId="486B0FCA">
      <w:pPr>
        <w:spacing w:line="420" w:lineRule="exact"/>
        <w:ind w:firstLine="440" w:firstLineChars="200"/>
        <w:outlineLvl w:val="9"/>
        <w:rPr>
          <w:rFonts w:hint="eastAsia" w:ascii="宋体" w:hAnsi="宋体" w:eastAsia="宋体" w:cs="宋体"/>
          <w:sz w:val="22"/>
          <w:szCs w:val="22"/>
        </w:rPr>
      </w:pPr>
      <w:r>
        <w:rPr>
          <w:rFonts w:hint="eastAsia" w:ascii="宋体" w:hAnsi="宋体" w:eastAsia="宋体" w:cs="宋体"/>
          <w:sz w:val="22"/>
          <w:szCs w:val="22"/>
        </w:rPr>
        <w:t>2.</w:t>
      </w:r>
      <w:r>
        <w:rPr>
          <w:rFonts w:hint="eastAsia" w:ascii="宋体" w:hAnsi="宋体" w:eastAsia="宋体" w:cs="宋体"/>
          <w:sz w:val="22"/>
          <w:szCs w:val="22"/>
          <w:lang w:val="zh-CN"/>
        </w:rPr>
        <w:t>服务内容：</w:t>
      </w:r>
      <w:r>
        <w:rPr>
          <w:rFonts w:hint="eastAsia" w:ascii="宋体" w:hAnsi="宋体" w:eastAsia="宋体" w:cs="宋体"/>
          <w:sz w:val="22"/>
          <w:szCs w:val="22"/>
          <w:u w:val="single"/>
          <w:lang w:val="zh-CN"/>
        </w:rPr>
        <w:t>对服务范围内供应商提供的服务过程进行有效地监督、控制和管理，做好组织协调工作，及时发现各供应商服务中存在的问题，并督促落实到位，全面维护甲方的合法权益，确保项目服务质量</w:t>
      </w:r>
      <w:r>
        <w:rPr>
          <w:rFonts w:hint="eastAsia" w:ascii="宋体" w:hAnsi="宋体" w:eastAsia="宋体" w:cs="宋体"/>
          <w:sz w:val="22"/>
          <w:szCs w:val="22"/>
          <w:u w:val="single"/>
        </w:rPr>
        <w:t>，要求做到</w:t>
      </w:r>
      <w:r>
        <w:rPr>
          <w:rFonts w:hint="eastAsia" w:ascii="宋体" w:hAnsi="宋体" w:eastAsia="宋体" w:cs="宋体"/>
          <w:sz w:val="22"/>
          <w:szCs w:val="22"/>
          <w:u w:val="single"/>
          <w:lang w:val="zh-CN"/>
        </w:rPr>
        <w:t>“四控三管一协调”，即“质量控制、进度控制、投资控制、变更控制、安全管理、合同管理、信息管理和组织协调工作”</w:t>
      </w:r>
      <w:r>
        <w:rPr>
          <w:rFonts w:hint="eastAsia" w:ascii="宋体" w:hAnsi="宋体" w:eastAsia="宋体" w:cs="宋体"/>
          <w:sz w:val="22"/>
          <w:szCs w:val="22"/>
          <w:u w:val="single"/>
        </w:rPr>
        <w:t>，并全程参与服务范围内各系统服务实施过程与项目验收工作。</w:t>
      </w:r>
    </w:p>
    <w:p w14:paraId="705290E8">
      <w:pPr>
        <w:spacing w:line="420" w:lineRule="exact"/>
        <w:ind w:firstLine="440" w:firstLineChars="200"/>
        <w:outlineLvl w:val="9"/>
        <w:rPr>
          <w:rFonts w:hint="eastAsia" w:ascii="宋体" w:hAnsi="宋体" w:eastAsia="宋体" w:cs="宋体"/>
          <w:sz w:val="22"/>
          <w:szCs w:val="22"/>
          <w:lang w:val="zh-CN"/>
        </w:rPr>
      </w:pPr>
      <w:r>
        <w:rPr>
          <w:rFonts w:hint="eastAsia" w:ascii="宋体" w:hAnsi="宋体" w:eastAsia="宋体" w:cs="宋体"/>
          <w:sz w:val="22"/>
          <w:szCs w:val="22"/>
        </w:rPr>
        <w:t>3.</w:t>
      </w:r>
      <w:r>
        <w:rPr>
          <w:rFonts w:hint="eastAsia" w:ascii="宋体" w:hAnsi="宋体" w:eastAsia="宋体" w:cs="宋体"/>
          <w:sz w:val="22"/>
          <w:szCs w:val="22"/>
          <w:lang w:val="zh-CN"/>
        </w:rPr>
        <w:t>监理服务的方式：</w:t>
      </w:r>
      <w:r>
        <w:rPr>
          <w:rFonts w:hint="eastAsia" w:ascii="宋体" w:hAnsi="宋体" w:eastAsia="宋体" w:cs="宋体"/>
          <w:sz w:val="22"/>
          <w:szCs w:val="22"/>
          <w:u w:val="single"/>
          <w:lang w:val="zh-CN"/>
        </w:rPr>
        <w:t>依据国家相关标准、规范和工程监理的政策、法规，通过项目控制方式和规范体系，为甲方提供监理服务。以下国家、行业及地方标准，作为本监理服务合同的执行标准，乙方在具体履行过程中应当遵守并保障服务质量</w:t>
      </w:r>
      <w:r>
        <w:rPr>
          <w:rFonts w:hint="eastAsia" w:ascii="宋体" w:hAnsi="宋体" w:eastAsia="宋体" w:cs="宋体"/>
          <w:sz w:val="22"/>
          <w:szCs w:val="22"/>
          <w:lang w:val="zh-CN"/>
        </w:rPr>
        <w:t>：</w:t>
      </w:r>
    </w:p>
    <w:p w14:paraId="7C5AF445">
      <w:pPr>
        <w:spacing w:line="420" w:lineRule="exact"/>
        <w:ind w:firstLine="440" w:firstLineChars="200"/>
        <w:outlineLvl w:val="9"/>
        <w:rPr>
          <w:rFonts w:hint="eastAsia" w:ascii="宋体" w:hAnsi="宋体" w:eastAsia="宋体" w:cs="宋体"/>
          <w:sz w:val="22"/>
          <w:szCs w:val="22"/>
          <w:lang w:val="zh-CN"/>
        </w:rPr>
      </w:pPr>
      <w:r>
        <w:rPr>
          <w:rFonts w:hint="eastAsia" w:ascii="宋体" w:hAnsi="宋体" w:eastAsia="宋体" w:cs="宋体"/>
          <w:sz w:val="22"/>
          <w:szCs w:val="22"/>
          <w:lang w:val="zh-CN"/>
        </w:rPr>
        <w:t>3.1《GB/T 19668.1-2014 信息技术服务 监理 第1部分：总则》；</w:t>
      </w:r>
    </w:p>
    <w:p w14:paraId="38235968">
      <w:pPr>
        <w:spacing w:line="420" w:lineRule="exact"/>
        <w:ind w:firstLine="440" w:firstLineChars="200"/>
        <w:outlineLvl w:val="9"/>
        <w:rPr>
          <w:rFonts w:hint="eastAsia" w:ascii="宋体" w:hAnsi="宋体" w:eastAsia="宋体" w:cs="宋体"/>
          <w:sz w:val="22"/>
          <w:szCs w:val="22"/>
          <w:lang w:val="zh-CN"/>
        </w:rPr>
      </w:pPr>
      <w:r>
        <w:rPr>
          <w:rFonts w:hint="eastAsia" w:ascii="宋体" w:hAnsi="宋体" w:eastAsia="宋体" w:cs="宋体"/>
          <w:sz w:val="22"/>
          <w:szCs w:val="22"/>
          <w:lang w:val="zh-CN"/>
        </w:rPr>
        <w:t>3.2 《GB/T 19668.2-2017 信息技术服务 监理 第2部分：基础设施工程监理规范》；</w:t>
      </w:r>
    </w:p>
    <w:p w14:paraId="395B800C">
      <w:pPr>
        <w:spacing w:line="420" w:lineRule="exact"/>
        <w:ind w:firstLine="440" w:firstLineChars="200"/>
        <w:outlineLvl w:val="9"/>
        <w:rPr>
          <w:rFonts w:hint="eastAsia" w:ascii="宋体" w:hAnsi="宋体" w:eastAsia="宋体" w:cs="宋体"/>
          <w:sz w:val="22"/>
          <w:szCs w:val="22"/>
          <w:lang w:val="zh-CN"/>
        </w:rPr>
      </w:pPr>
      <w:r>
        <w:rPr>
          <w:rFonts w:hint="eastAsia" w:ascii="宋体" w:hAnsi="宋体" w:eastAsia="宋体" w:cs="宋体"/>
          <w:sz w:val="22"/>
          <w:szCs w:val="22"/>
          <w:lang w:val="zh-CN"/>
        </w:rPr>
        <w:t>3.3《GB/T 19668.3-2017 信息技术服务 监理 第3部分：运行维护监理规范》；</w:t>
      </w:r>
    </w:p>
    <w:p w14:paraId="29702599">
      <w:pPr>
        <w:spacing w:line="420" w:lineRule="exact"/>
        <w:ind w:firstLine="440" w:firstLineChars="200"/>
        <w:outlineLvl w:val="9"/>
        <w:rPr>
          <w:rFonts w:hint="eastAsia" w:ascii="宋体" w:hAnsi="宋体" w:eastAsia="宋体" w:cs="宋体"/>
          <w:sz w:val="22"/>
          <w:szCs w:val="22"/>
          <w:lang w:val="zh-CN"/>
        </w:rPr>
      </w:pPr>
      <w:r>
        <w:rPr>
          <w:rFonts w:hint="eastAsia" w:ascii="宋体" w:hAnsi="宋体" w:eastAsia="宋体" w:cs="宋体"/>
          <w:sz w:val="22"/>
          <w:szCs w:val="22"/>
          <w:lang w:val="zh-CN"/>
        </w:rPr>
        <w:t>3.4 GB/T 19668.4-2017 信息技术服务 监理 第4部分：信息安全监理规范》；</w:t>
      </w:r>
    </w:p>
    <w:p w14:paraId="62134585">
      <w:pPr>
        <w:spacing w:line="420" w:lineRule="exact"/>
        <w:ind w:firstLine="440" w:firstLineChars="200"/>
        <w:outlineLvl w:val="9"/>
        <w:rPr>
          <w:rFonts w:hint="eastAsia" w:ascii="宋体" w:hAnsi="宋体" w:eastAsia="宋体" w:cs="宋体"/>
          <w:sz w:val="22"/>
          <w:szCs w:val="22"/>
          <w:lang w:val="zh-CN"/>
        </w:rPr>
      </w:pPr>
      <w:r>
        <w:rPr>
          <w:rFonts w:hint="eastAsia" w:ascii="宋体" w:hAnsi="宋体" w:eastAsia="宋体" w:cs="宋体"/>
          <w:sz w:val="22"/>
          <w:szCs w:val="22"/>
          <w:lang w:val="zh-CN"/>
        </w:rPr>
        <w:t>3.5 GB/T 19668.5-2018信息技术服务 监理 第5部分：软件工程监理规范》；</w:t>
      </w:r>
    </w:p>
    <w:p w14:paraId="2DE1E331">
      <w:pPr>
        <w:spacing w:line="420" w:lineRule="exact"/>
        <w:ind w:firstLine="440" w:firstLineChars="200"/>
        <w:outlineLvl w:val="9"/>
        <w:rPr>
          <w:rFonts w:hint="eastAsia" w:ascii="宋体" w:hAnsi="宋体" w:eastAsia="宋体" w:cs="宋体"/>
          <w:sz w:val="22"/>
          <w:szCs w:val="22"/>
          <w:lang w:val="zh-CN"/>
        </w:rPr>
      </w:pPr>
      <w:r>
        <w:rPr>
          <w:rFonts w:hint="eastAsia" w:ascii="宋体" w:hAnsi="宋体" w:eastAsia="宋体" w:cs="宋体"/>
          <w:sz w:val="22"/>
          <w:szCs w:val="22"/>
          <w:lang w:val="zh-CN"/>
        </w:rPr>
        <w:t>3.6《GB/T 19668.6-2019信息技术服务 监理 第6部分：应用系统：</w:t>
      </w:r>
      <w:bookmarkStart w:id="181" w:name="OLE_LINK4"/>
      <w:r>
        <w:rPr>
          <w:rFonts w:hint="eastAsia" w:ascii="宋体" w:hAnsi="宋体" w:eastAsia="宋体" w:cs="宋体"/>
          <w:sz w:val="22"/>
          <w:szCs w:val="22"/>
          <w:lang w:val="zh-CN"/>
        </w:rPr>
        <w:t>数据中心工程监理规范</w:t>
      </w:r>
      <w:bookmarkEnd w:id="181"/>
      <w:r>
        <w:rPr>
          <w:rFonts w:hint="eastAsia" w:ascii="宋体" w:hAnsi="宋体" w:eastAsia="宋体" w:cs="宋体"/>
          <w:sz w:val="22"/>
          <w:szCs w:val="22"/>
          <w:lang w:val="zh-CN"/>
        </w:rPr>
        <w:t>》；</w:t>
      </w:r>
    </w:p>
    <w:p w14:paraId="5D2D52B0">
      <w:pPr>
        <w:spacing w:line="420" w:lineRule="exact"/>
        <w:ind w:firstLine="440" w:firstLineChars="200"/>
        <w:outlineLvl w:val="9"/>
        <w:rPr>
          <w:rFonts w:hint="eastAsia" w:ascii="宋体" w:hAnsi="宋体" w:eastAsia="宋体" w:cs="宋体"/>
          <w:color w:val="000000"/>
          <w:sz w:val="22"/>
          <w:szCs w:val="22"/>
          <w:u w:val="single"/>
        </w:rPr>
      </w:pPr>
      <w:r>
        <w:rPr>
          <w:rFonts w:hint="eastAsia" w:ascii="宋体" w:hAnsi="宋体" w:eastAsia="宋体" w:cs="宋体"/>
          <w:sz w:val="22"/>
          <w:szCs w:val="22"/>
          <w:lang w:val="zh-CN"/>
        </w:rPr>
        <w:t>除上述国家、行业及地方标准外，与本合同服务相关的其他标准，乙方仍应执行。</w:t>
      </w:r>
    </w:p>
    <w:p w14:paraId="437350FB">
      <w:pPr>
        <w:tabs>
          <w:tab w:val="left" w:pos="1080"/>
        </w:tabs>
        <w:autoSpaceDE w:val="0"/>
        <w:autoSpaceDN w:val="0"/>
        <w:adjustRightInd w:val="0"/>
        <w:spacing w:line="420" w:lineRule="exact"/>
        <w:ind w:firstLine="440" w:firstLineChars="200"/>
        <w:outlineLvl w:val="9"/>
        <w:rPr>
          <w:rFonts w:hint="eastAsia" w:ascii="宋体" w:hAnsi="宋体" w:eastAsia="宋体" w:cs="宋体"/>
          <w:sz w:val="22"/>
          <w:szCs w:val="22"/>
          <w:lang w:val="zh-CN"/>
        </w:rPr>
      </w:pPr>
      <w:r>
        <w:rPr>
          <w:rFonts w:hint="eastAsia" w:ascii="宋体" w:hAnsi="宋体" w:eastAsia="宋体" w:cs="宋体"/>
          <w:sz w:val="22"/>
          <w:szCs w:val="22"/>
        </w:rPr>
        <w:t>4.</w:t>
      </w:r>
      <w:r>
        <w:rPr>
          <w:rFonts w:hint="eastAsia" w:ascii="宋体" w:hAnsi="宋体" w:eastAsia="宋体" w:cs="宋体"/>
          <w:sz w:val="22"/>
          <w:szCs w:val="22"/>
          <w:lang w:val="zh-CN"/>
        </w:rPr>
        <w:t>监理服务期限为：</w:t>
      </w:r>
      <w:r>
        <w:rPr>
          <w:rFonts w:hint="eastAsia" w:ascii="宋体" w:hAnsi="宋体" w:eastAsia="宋体" w:cs="宋体"/>
          <w:sz w:val="22"/>
          <w:szCs w:val="22"/>
          <w:u w:val="single"/>
          <w:lang w:val="zh-CN"/>
        </w:rPr>
        <w:t>项目通过终验完毕后，本合同服务期限视为终止。</w:t>
      </w:r>
    </w:p>
    <w:p w14:paraId="39AA5D87">
      <w:pPr>
        <w:tabs>
          <w:tab w:val="left" w:pos="0"/>
        </w:tabs>
        <w:autoSpaceDE w:val="0"/>
        <w:autoSpaceDN w:val="0"/>
        <w:adjustRightInd w:val="0"/>
        <w:spacing w:line="420" w:lineRule="exact"/>
        <w:ind w:firstLine="442" w:firstLineChars="200"/>
        <w:outlineLvl w:val="9"/>
        <w:rPr>
          <w:rFonts w:hint="eastAsia" w:ascii="宋体" w:hAnsi="宋体" w:eastAsia="宋体" w:cs="宋体"/>
          <w:sz w:val="22"/>
          <w:szCs w:val="22"/>
          <w:lang w:val="zh-CN"/>
        </w:rPr>
      </w:pPr>
      <w:r>
        <w:rPr>
          <w:rFonts w:hint="eastAsia" w:ascii="宋体" w:hAnsi="宋体" w:eastAsia="宋体" w:cs="宋体"/>
          <w:b/>
          <w:bCs/>
          <w:sz w:val="22"/>
          <w:szCs w:val="22"/>
        </w:rPr>
        <w:t>第二条</w:t>
      </w:r>
      <w:r>
        <w:rPr>
          <w:rFonts w:hint="eastAsia" w:ascii="宋体" w:hAnsi="宋体" w:eastAsia="宋体" w:cs="宋体"/>
          <w:sz w:val="22"/>
          <w:szCs w:val="22"/>
        </w:rPr>
        <w:t xml:space="preserve">  </w:t>
      </w:r>
      <w:r>
        <w:rPr>
          <w:rFonts w:hint="eastAsia" w:ascii="宋体" w:hAnsi="宋体" w:eastAsia="宋体" w:cs="宋体"/>
          <w:sz w:val="22"/>
          <w:szCs w:val="22"/>
          <w:lang w:val="zh-CN"/>
        </w:rPr>
        <w:t>甲方需为监理人员提供办公场所</w:t>
      </w:r>
      <w:r>
        <w:rPr>
          <w:rFonts w:hint="eastAsia" w:ascii="宋体" w:hAnsi="宋体" w:eastAsia="宋体" w:cs="宋体"/>
          <w:sz w:val="22"/>
          <w:szCs w:val="22"/>
        </w:rPr>
        <w:t>及基本办公设施</w:t>
      </w:r>
      <w:r>
        <w:rPr>
          <w:rFonts w:hint="eastAsia" w:ascii="宋体" w:hAnsi="宋体" w:eastAsia="宋体" w:cs="宋体"/>
          <w:sz w:val="22"/>
          <w:szCs w:val="22"/>
          <w:lang w:val="zh-CN"/>
        </w:rPr>
        <w:t>。项目建设期间需常驻监理工程师不少于</w:t>
      </w:r>
      <w:r>
        <w:rPr>
          <w:rFonts w:hint="eastAsia" w:ascii="宋体" w:hAnsi="宋体" w:cs="宋体"/>
          <w:sz w:val="22"/>
          <w:szCs w:val="22"/>
          <w:lang w:val="en-US" w:eastAsia="zh-CN"/>
        </w:rPr>
        <w:t>2</w:t>
      </w:r>
      <w:r>
        <w:rPr>
          <w:rFonts w:hint="eastAsia" w:ascii="宋体" w:hAnsi="宋体" w:eastAsia="宋体" w:cs="宋体"/>
          <w:sz w:val="22"/>
          <w:szCs w:val="22"/>
          <w:lang w:val="zh-CN"/>
        </w:rPr>
        <w:t>名（</w:t>
      </w:r>
      <w:r>
        <w:rPr>
          <w:rFonts w:hint="eastAsia" w:ascii="宋体" w:hAnsi="宋体" w:eastAsia="宋体" w:cs="宋体"/>
          <w:sz w:val="22"/>
          <w:szCs w:val="22"/>
          <w:lang w:val="zh-CN" w:eastAsia="zh-CN"/>
        </w:rPr>
        <w:t>驻场时间</w:t>
      </w:r>
      <w:r>
        <w:rPr>
          <w:rFonts w:hint="eastAsia" w:ascii="宋体" w:hAnsi="宋体" w:eastAsia="宋体" w:cs="宋体"/>
          <w:sz w:val="22"/>
          <w:szCs w:val="22"/>
          <w:lang w:val="zh-CN"/>
        </w:rPr>
        <w:t>为：2025年11月-202</w:t>
      </w:r>
      <w:r>
        <w:rPr>
          <w:rFonts w:hint="eastAsia" w:ascii="宋体" w:hAnsi="宋体" w:eastAsia="宋体" w:cs="宋体"/>
          <w:sz w:val="22"/>
          <w:szCs w:val="22"/>
          <w:lang w:val="zh-CN" w:eastAsia="zh-CN"/>
        </w:rPr>
        <w:t>7</w:t>
      </w:r>
      <w:r>
        <w:rPr>
          <w:rFonts w:hint="eastAsia" w:ascii="宋体" w:hAnsi="宋体" w:eastAsia="宋体" w:cs="宋体"/>
          <w:sz w:val="22"/>
          <w:szCs w:val="22"/>
          <w:lang w:val="zh-CN"/>
        </w:rPr>
        <w:t>年</w:t>
      </w:r>
      <w:r>
        <w:rPr>
          <w:rFonts w:hint="eastAsia" w:ascii="宋体" w:hAnsi="宋体" w:eastAsia="宋体" w:cs="宋体"/>
          <w:sz w:val="22"/>
          <w:szCs w:val="22"/>
          <w:lang w:val="zh-CN" w:eastAsia="zh-CN"/>
        </w:rPr>
        <w:t>4</w:t>
      </w:r>
      <w:r>
        <w:rPr>
          <w:rFonts w:hint="eastAsia" w:ascii="宋体" w:hAnsi="宋体" w:eastAsia="宋体" w:cs="宋体"/>
          <w:sz w:val="22"/>
          <w:szCs w:val="22"/>
          <w:lang w:val="zh-CN"/>
        </w:rPr>
        <w:t>月）。</w:t>
      </w:r>
    </w:p>
    <w:p w14:paraId="27093648">
      <w:pPr>
        <w:spacing w:line="420" w:lineRule="exact"/>
        <w:ind w:firstLine="442" w:firstLineChars="200"/>
        <w:outlineLvl w:val="9"/>
        <w:rPr>
          <w:rFonts w:hint="eastAsia" w:ascii="宋体" w:hAnsi="宋体" w:eastAsia="宋体" w:cs="宋体"/>
          <w:sz w:val="22"/>
          <w:szCs w:val="22"/>
        </w:rPr>
      </w:pPr>
      <w:r>
        <w:rPr>
          <w:rFonts w:hint="eastAsia" w:ascii="宋体" w:hAnsi="宋体" w:eastAsia="宋体" w:cs="宋体"/>
          <w:b/>
          <w:bCs/>
          <w:sz w:val="22"/>
          <w:szCs w:val="22"/>
        </w:rPr>
        <w:t>第三条</w:t>
      </w:r>
      <w:r>
        <w:rPr>
          <w:rFonts w:hint="eastAsia" w:ascii="宋体" w:hAnsi="宋体" w:eastAsia="宋体" w:cs="宋体"/>
          <w:sz w:val="22"/>
          <w:szCs w:val="22"/>
        </w:rPr>
        <w:t xml:space="preserve"> 甲乙双方对本合同费用总额与支付方式约定如下：</w:t>
      </w:r>
    </w:p>
    <w:p w14:paraId="3B76D087">
      <w:pPr>
        <w:spacing w:line="420" w:lineRule="exact"/>
        <w:ind w:firstLine="539" w:firstLineChars="245"/>
        <w:outlineLvl w:val="9"/>
        <w:rPr>
          <w:rFonts w:hint="eastAsia" w:ascii="宋体" w:hAnsi="宋体" w:eastAsia="宋体" w:cs="宋体"/>
          <w:sz w:val="22"/>
          <w:szCs w:val="22"/>
        </w:rPr>
      </w:pPr>
      <w:r>
        <w:rPr>
          <w:rFonts w:hint="eastAsia" w:ascii="宋体" w:hAnsi="宋体" w:eastAsia="宋体" w:cs="宋体"/>
          <w:sz w:val="22"/>
          <w:szCs w:val="22"/>
        </w:rPr>
        <w:t>（一）合同金额</w:t>
      </w:r>
    </w:p>
    <w:p w14:paraId="7D2CE630">
      <w:pPr>
        <w:spacing w:line="420" w:lineRule="exact"/>
        <w:ind w:firstLine="539" w:firstLineChars="245"/>
        <w:outlineLvl w:val="9"/>
        <w:rPr>
          <w:rFonts w:hint="eastAsia" w:ascii="宋体" w:hAnsi="宋体" w:eastAsia="宋体" w:cs="宋体"/>
          <w:sz w:val="22"/>
          <w:szCs w:val="22"/>
          <w:u w:val="single"/>
        </w:rPr>
      </w:pPr>
      <w:r>
        <w:rPr>
          <w:rFonts w:hint="eastAsia" w:ascii="宋体" w:hAnsi="宋体" w:eastAsia="宋体" w:cs="宋体"/>
          <w:sz w:val="22"/>
          <w:szCs w:val="22"/>
        </w:rPr>
        <w:t>本合同费用总额（含税价）：</w:t>
      </w:r>
      <w:r>
        <w:rPr>
          <w:rFonts w:hint="eastAsia" w:ascii="宋体" w:hAnsi="宋体" w:eastAsia="宋体" w:cs="宋体"/>
          <w:sz w:val="22"/>
          <w:szCs w:val="22"/>
          <w:u w:val="single"/>
        </w:rPr>
        <w:t xml:space="preserve">                        </w:t>
      </w:r>
    </w:p>
    <w:p w14:paraId="6B5D469F">
      <w:pPr>
        <w:spacing w:line="420" w:lineRule="exact"/>
        <w:ind w:firstLine="539" w:firstLineChars="245"/>
        <w:outlineLvl w:val="9"/>
        <w:rPr>
          <w:rFonts w:hint="eastAsia" w:ascii="宋体" w:hAnsi="宋体" w:eastAsia="宋体" w:cs="宋体"/>
          <w:sz w:val="22"/>
          <w:szCs w:val="22"/>
          <w:highlight w:val="none"/>
        </w:rPr>
      </w:pPr>
      <w:r>
        <w:rPr>
          <w:rFonts w:hint="eastAsia" w:ascii="宋体" w:hAnsi="宋体" w:eastAsia="宋体" w:cs="宋体"/>
          <w:sz w:val="22"/>
          <w:szCs w:val="22"/>
        </w:rPr>
        <w:t>（二</w:t>
      </w:r>
      <w:r>
        <w:rPr>
          <w:rFonts w:hint="eastAsia" w:ascii="宋体" w:hAnsi="宋体" w:eastAsia="宋体" w:cs="宋体"/>
          <w:sz w:val="22"/>
          <w:szCs w:val="22"/>
          <w:highlight w:val="none"/>
        </w:rPr>
        <w:t>）支付方式</w:t>
      </w:r>
    </w:p>
    <w:p w14:paraId="6E099204">
      <w:pPr>
        <w:spacing w:line="420" w:lineRule="exact"/>
        <w:ind w:firstLine="539" w:firstLineChars="245"/>
        <w:outlineLvl w:val="9"/>
        <w:rPr>
          <w:rFonts w:hint="eastAsia" w:ascii="宋体" w:hAnsi="宋体" w:eastAsia="宋体" w:cs="宋体"/>
          <w:sz w:val="22"/>
          <w:szCs w:val="22"/>
          <w:highlight w:val="none"/>
        </w:rPr>
      </w:pPr>
      <w:r>
        <w:rPr>
          <w:rFonts w:hint="eastAsia" w:ascii="宋体" w:hAnsi="宋体" w:eastAsia="宋体" w:cs="宋体"/>
          <w:sz w:val="22"/>
          <w:szCs w:val="22"/>
          <w:highlight w:val="none"/>
        </w:rPr>
        <w:t>【第一期】</w:t>
      </w:r>
    </w:p>
    <w:p w14:paraId="5EBB3C87">
      <w:pPr>
        <w:spacing w:line="420" w:lineRule="exact"/>
        <w:ind w:firstLine="539" w:firstLineChars="245"/>
        <w:outlineLvl w:val="9"/>
        <w:rPr>
          <w:rFonts w:hint="eastAsia" w:ascii="宋体" w:hAnsi="宋体" w:eastAsia="宋体" w:cs="宋体"/>
          <w:sz w:val="22"/>
          <w:szCs w:val="22"/>
          <w:u w:val="single"/>
        </w:rPr>
      </w:pPr>
      <w:r>
        <w:rPr>
          <w:rFonts w:hint="eastAsia" w:ascii="宋体" w:hAnsi="宋体" w:eastAsia="宋体" w:cs="宋体"/>
          <w:sz w:val="22"/>
          <w:szCs w:val="22"/>
          <w:highlight w:val="none"/>
          <w:u w:val="single"/>
        </w:rPr>
        <w:t>支付金额：合同总价的40%，</w:t>
      </w:r>
      <w:bookmarkStart w:id="182" w:name="OLE_LINK9"/>
      <w:r>
        <w:rPr>
          <w:rFonts w:hint="eastAsia" w:ascii="宋体" w:hAnsi="宋体" w:eastAsia="宋体" w:cs="宋体"/>
          <w:sz w:val="22"/>
          <w:szCs w:val="22"/>
          <w:highlight w:val="none"/>
          <w:u w:val="single"/>
        </w:rPr>
        <w:t xml:space="preserve">计大写人民币  </w:t>
      </w:r>
      <w:r>
        <w:rPr>
          <w:rFonts w:hint="eastAsia" w:ascii="宋体" w:hAnsi="宋体" w:eastAsia="宋体" w:cs="宋体"/>
          <w:sz w:val="22"/>
          <w:szCs w:val="22"/>
          <w:u w:val="single"/>
        </w:rPr>
        <w:t xml:space="preserve">            。</w:t>
      </w:r>
      <w:bookmarkEnd w:id="182"/>
    </w:p>
    <w:p w14:paraId="2B86F228">
      <w:pPr>
        <w:spacing w:line="420" w:lineRule="exact"/>
        <w:ind w:firstLine="539" w:firstLineChars="245"/>
        <w:outlineLvl w:val="9"/>
        <w:rPr>
          <w:rFonts w:hint="eastAsia" w:ascii="宋体" w:hAnsi="宋体" w:eastAsia="宋体" w:cs="宋体"/>
          <w:sz w:val="22"/>
          <w:szCs w:val="22"/>
          <w:u w:val="single"/>
        </w:rPr>
      </w:pPr>
      <w:r>
        <w:rPr>
          <w:rFonts w:hint="eastAsia" w:ascii="宋体" w:hAnsi="宋体" w:eastAsia="宋体" w:cs="宋体"/>
          <w:sz w:val="22"/>
          <w:szCs w:val="22"/>
          <w:u w:val="single"/>
        </w:rPr>
        <w:t>支付条件及时间：由乙方先行开具相应金额符合规定的发票，甲方自本合同生效并收到发票之日起7个工作日内支付。</w:t>
      </w:r>
    </w:p>
    <w:p w14:paraId="215CF768">
      <w:pPr>
        <w:spacing w:line="420" w:lineRule="exact"/>
        <w:ind w:firstLine="539" w:firstLineChars="245"/>
        <w:outlineLvl w:val="9"/>
        <w:rPr>
          <w:rFonts w:hint="eastAsia" w:ascii="宋体" w:hAnsi="宋体" w:eastAsia="宋体" w:cs="宋体"/>
          <w:sz w:val="22"/>
          <w:szCs w:val="22"/>
        </w:rPr>
      </w:pPr>
      <w:r>
        <w:rPr>
          <w:rFonts w:hint="eastAsia" w:ascii="宋体" w:hAnsi="宋体" w:eastAsia="宋体" w:cs="宋体"/>
          <w:sz w:val="22"/>
          <w:szCs w:val="22"/>
        </w:rPr>
        <w:t>【第二期】</w:t>
      </w:r>
    </w:p>
    <w:p w14:paraId="042F0FF2">
      <w:pPr>
        <w:spacing w:line="420" w:lineRule="exact"/>
        <w:ind w:firstLine="539" w:firstLineChars="245"/>
        <w:outlineLvl w:val="9"/>
        <w:rPr>
          <w:rFonts w:hint="eastAsia" w:ascii="宋体" w:hAnsi="宋体" w:eastAsia="宋体" w:cs="宋体"/>
          <w:sz w:val="22"/>
          <w:szCs w:val="22"/>
          <w:u w:val="single"/>
        </w:rPr>
      </w:pPr>
      <w:r>
        <w:rPr>
          <w:rFonts w:hint="eastAsia" w:ascii="宋体" w:hAnsi="宋体" w:eastAsia="宋体" w:cs="宋体"/>
          <w:sz w:val="22"/>
          <w:szCs w:val="22"/>
          <w:u w:val="single"/>
        </w:rPr>
        <w:t>支付金额：合同总价的40%，计大写人民币             。</w:t>
      </w:r>
    </w:p>
    <w:p w14:paraId="1547307B">
      <w:pPr>
        <w:spacing w:line="420" w:lineRule="exact"/>
        <w:ind w:firstLine="539" w:firstLineChars="245"/>
        <w:outlineLvl w:val="9"/>
        <w:rPr>
          <w:rFonts w:hint="eastAsia" w:ascii="宋体" w:hAnsi="宋体" w:eastAsia="宋体" w:cs="宋体"/>
          <w:sz w:val="22"/>
          <w:szCs w:val="22"/>
          <w:u w:val="single"/>
        </w:rPr>
      </w:pPr>
      <w:r>
        <w:rPr>
          <w:rFonts w:hint="eastAsia" w:ascii="宋体" w:hAnsi="宋体" w:eastAsia="宋体" w:cs="宋体"/>
          <w:sz w:val="22"/>
          <w:szCs w:val="22"/>
          <w:u w:val="single"/>
        </w:rPr>
        <w:t>支付条件及时间：项目通过初步验收并提交初步验收报告，由乙方先行开具相应金额符合规定的发票，甲方自本合同生效并收到发票之日起7个工作日内支付。</w:t>
      </w:r>
    </w:p>
    <w:p w14:paraId="62844157">
      <w:pPr>
        <w:spacing w:line="420" w:lineRule="exact"/>
        <w:ind w:firstLine="539" w:firstLineChars="245"/>
        <w:outlineLvl w:val="9"/>
        <w:rPr>
          <w:rFonts w:hint="eastAsia" w:ascii="宋体" w:hAnsi="宋体" w:eastAsia="宋体" w:cs="宋体"/>
          <w:sz w:val="22"/>
          <w:szCs w:val="22"/>
        </w:rPr>
      </w:pPr>
      <w:r>
        <w:rPr>
          <w:rFonts w:hint="eastAsia" w:ascii="宋体" w:hAnsi="宋体" w:eastAsia="宋体" w:cs="宋体"/>
          <w:sz w:val="22"/>
          <w:szCs w:val="22"/>
        </w:rPr>
        <w:t>【第三期】</w:t>
      </w:r>
    </w:p>
    <w:p w14:paraId="4BE02E98">
      <w:pPr>
        <w:spacing w:line="420" w:lineRule="exact"/>
        <w:ind w:firstLine="539" w:firstLineChars="245"/>
        <w:outlineLvl w:val="9"/>
        <w:rPr>
          <w:rFonts w:hint="eastAsia" w:ascii="宋体" w:hAnsi="宋体" w:eastAsia="宋体" w:cs="宋体"/>
          <w:sz w:val="22"/>
          <w:szCs w:val="22"/>
          <w:u w:val="single"/>
        </w:rPr>
      </w:pPr>
      <w:r>
        <w:rPr>
          <w:rFonts w:hint="eastAsia" w:ascii="宋体" w:hAnsi="宋体" w:eastAsia="宋体" w:cs="宋体"/>
          <w:sz w:val="22"/>
          <w:szCs w:val="22"/>
          <w:u w:val="single"/>
        </w:rPr>
        <w:t>支付金额：合同总价的20%，计大写人民币           。</w:t>
      </w:r>
    </w:p>
    <w:p w14:paraId="50CA549D">
      <w:pPr>
        <w:spacing w:line="420" w:lineRule="exact"/>
        <w:ind w:firstLine="539" w:firstLineChars="245"/>
        <w:outlineLvl w:val="9"/>
        <w:rPr>
          <w:rFonts w:hint="eastAsia" w:ascii="宋体" w:hAnsi="宋体" w:eastAsia="宋体" w:cs="宋体"/>
          <w:bCs/>
          <w:color w:val="000000"/>
          <w:sz w:val="22"/>
          <w:szCs w:val="22"/>
          <w:u w:val="single"/>
        </w:rPr>
      </w:pPr>
      <w:r>
        <w:rPr>
          <w:rFonts w:hint="eastAsia" w:ascii="宋体" w:hAnsi="宋体" w:eastAsia="宋体" w:cs="宋体"/>
          <w:sz w:val="22"/>
          <w:szCs w:val="22"/>
          <w:u w:val="single"/>
        </w:rPr>
        <w:t>支付条件及时间：项目通过最终验收并提交正式终验报告，由乙方先行开具相应金额符合规定的发票，甲方自收到发票之日起7个工作日内支付。</w:t>
      </w:r>
    </w:p>
    <w:p w14:paraId="245DE193">
      <w:pPr>
        <w:tabs>
          <w:tab w:val="left" w:pos="0"/>
        </w:tabs>
        <w:autoSpaceDE w:val="0"/>
        <w:autoSpaceDN w:val="0"/>
        <w:adjustRightInd w:val="0"/>
        <w:spacing w:line="420" w:lineRule="exact"/>
        <w:ind w:firstLine="442" w:firstLineChars="200"/>
        <w:outlineLvl w:val="9"/>
        <w:rPr>
          <w:rFonts w:hint="eastAsia" w:ascii="宋体" w:hAnsi="宋体" w:eastAsia="宋体" w:cs="宋体"/>
          <w:sz w:val="22"/>
          <w:szCs w:val="22"/>
          <w:lang w:val="zh-CN"/>
        </w:rPr>
      </w:pPr>
      <w:r>
        <w:rPr>
          <w:rFonts w:hint="eastAsia" w:ascii="宋体" w:hAnsi="宋体" w:eastAsia="宋体" w:cs="宋体"/>
          <w:b/>
          <w:bCs/>
          <w:sz w:val="22"/>
          <w:szCs w:val="22"/>
        </w:rPr>
        <w:t>第四条</w:t>
      </w:r>
      <w:r>
        <w:rPr>
          <w:rFonts w:hint="eastAsia" w:ascii="宋体" w:hAnsi="宋体" w:eastAsia="宋体" w:cs="宋体"/>
          <w:sz w:val="22"/>
          <w:szCs w:val="22"/>
        </w:rPr>
        <w:t xml:space="preserve"> </w:t>
      </w:r>
      <w:r>
        <w:rPr>
          <w:rFonts w:hint="eastAsia" w:ascii="宋体" w:hAnsi="宋体" w:eastAsia="宋体" w:cs="宋体"/>
          <w:sz w:val="22"/>
          <w:szCs w:val="22"/>
          <w:lang w:val="zh-CN"/>
        </w:rPr>
        <w:t>双方同意用人民币支付酬金。</w:t>
      </w:r>
    </w:p>
    <w:p w14:paraId="4BC6D04F">
      <w:pPr>
        <w:tabs>
          <w:tab w:val="left" w:pos="0"/>
        </w:tabs>
        <w:autoSpaceDE w:val="0"/>
        <w:autoSpaceDN w:val="0"/>
        <w:adjustRightInd w:val="0"/>
        <w:spacing w:line="420" w:lineRule="exact"/>
        <w:ind w:firstLine="442" w:firstLineChars="200"/>
        <w:outlineLvl w:val="9"/>
        <w:rPr>
          <w:rFonts w:hint="eastAsia" w:ascii="宋体" w:hAnsi="宋体" w:eastAsia="宋体" w:cs="宋体"/>
          <w:sz w:val="22"/>
          <w:szCs w:val="22"/>
          <w:lang w:val="zh-CN"/>
        </w:rPr>
      </w:pPr>
      <w:r>
        <w:rPr>
          <w:rFonts w:hint="eastAsia" w:ascii="宋体" w:hAnsi="宋体" w:eastAsia="宋体" w:cs="宋体"/>
          <w:b/>
          <w:bCs/>
          <w:sz w:val="22"/>
          <w:szCs w:val="22"/>
        </w:rPr>
        <w:t>第五条</w:t>
      </w:r>
      <w:r>
        <w:rPr>
          <w:rFonts w:hint="eastAsia" w:ascii="宋体" w:hAnsi="宋体" w:eastAsia="宋体" w:cs="宋体"/>
          <w:sz w:val="22"/>
          <w:szCs w:val="22"/>
        </w:rPr>
        <w:t xml:space="preserve"> </w:t>
      </w:r>
      <w:r>
        <w:rPr>
          <w:rFonts w:hint="eastAsia" w:ascii="宋体" w:hAnsi="宋体" w:eastAsia="宋体" w:cs="宋体"/>
          <w:sz w:val="22"/>
          <w:szCs w:val="22"/>
          <w:lang w:val="zh-CN"/>
        </w:rPr>
        <w:t>甲方如要求乙方扩大其工作范围，或者增加其工作时间，或者延长本合同服务期限的，双方应参考本合同取费标准经甲方最终确认，另行签订补充协议或合同。</w:t>
      </w:r>
    </w:p>
    <w:p w14:paraId="171729C5">
      <w:pPr>
        <w:tabs>
          <w:tab w:val="left" w:pos="0"/>
        </w:tabs>
        <w:autoSpaceDE w:val="0"/>
        <w:autoSpaceDN w:val="0"/>
        <w:adjustRightInd w:val="0"/>
        <w:spacing w:line="420" w:lineRule="exact"/>
        <w:ind w:firstLine="442" w:firstLineChars="200"/>
        <w:outlineLvl w:val="9"/>
        <w:rPr>
          <w:rFonts w:hint="eastAsia" w:ascii="宋体" w:hAnsi="宋体" w:eastAsia="宋体" w:cs="宋体"/>
          <w:sz w:val="22"/>
          <w:szCs w:val="22"/>
          <w:lang w:val="zh-CN"/>
        </w:rPr>
      </w:pPr>
      <w:r>
        <w:rPr>
          <w:rFonts w:hint="eastAsia" w:ascii="宋体" w:hAnsi="宋体" w:eastAsia="宋体" w:cs="宋体"/>
          <w:b/>
          <w:bCs/>
          <w:sz w:val="22"/>
          <w:szCs w:val="22"/>
        </w:rPr>
        <w:t>第六条</w:t>
      </w:r>
      <w:r>
        <w:rPr>
          <w:rFonts w:hint="eastAsia" w:ascii="宋体" w:hAnsi="宋体" w:eastAsia="宋体" w:cs="宋体"/>
          <w:sz w:val="22"/>
          <w:szCs w:val="22"/>
        </w:rPr>
        <w:t xml:space="preserve"> 本合同</w:t>
      </w:r>
      <w:r>
        <w:rPr>
          <w:rFonts w:hint="eastAsia" w:ascii="宋体" w:hAnsi="宋体" w:eastAsia="宋体" w:cs="宋体"/>
          <w:sz w:val="22"/>
          <w:szCs w:val="22"/>
          <w:lang w:val="zh-CN"/>
        </w:rPr>
        <w:t>在履行过程中发生争议时，甲方与乙方应及时协商解决。协商不成时，根据双方约定提交甲方所在地人民法院诉讼解决。</w:t>
      </w:r>
    </w:p>
    <w:p w14:paraId="554F6DDB">
      <w:pPr>
        <w:tabs>
          <w:tab w:val="left" w:pos="0"/>
        </w:tabs>
        <w:autoSpaceDE w:val="0"/>
        <w:autoSpaceDN w:val="0"/>
        <w:adjustRightInd w:val="0"/>
        <w:spacing w:line="420" w:lineRule="exact"/>
        <w:ind w:firstLine="442" w:firstLineChars="200"/>
        <w:outlineLvl w:val="9"/>
        <w:rPr>
          <w:rFonts w:hint="eastAsia" w:ascii="宋体" w:hAnsi="宋体" w:eastAsia="宋体" w:cs="宋体"/>
          <w:sz w:val="22"/>
          <w:szCs w:val="22"/>
          <w:lang w:val="zh-CN"/>
        </w:rPr>
      </w:pPr>
      <w:r>
        <w:rPr>
          <w:rFonts w:hint="eastAsia" w:ascii="宋体" w:hAnsi="宋体" w:eastAsia="宋体" w:cs="宋体"/>
          <w:b/>
          <w:bCs/>
          <w:sz w:val="22"/>
          <w:szCs w:val="22"/>
        </w:rPr>
        <w:t>第七条</w:t>
      </w:r>
      <w:r>
        <w:rPr>
          <w:rFonts w:hint="eastAsia" w:ascii="宋体" w:hAnsi="宋体" w:eastAsia="宋体" w:cs="宋体"/>
          <w:sz w:val="22"/>
          <w:szCs w:val="22"/>
        </w:rPr>
        <w:t xml:space="preserve"> </w:t>
      </w:r>
      <w:r>
        <w:rPr>
          <w:rFonts w:hint="eastAsia" w:ascii="宋体" w:hAnsi="宋体" w:eastAsia="宋体" w:cs="宋体"/>
          <w:sz w:val="22"/>
          <w:szCs w:val="22"/>
          <w:lang w:val="zh-CN"/>
        </w:rPr>
        <w:t>项目建设过程中所产生成果的知识产权未经甲方同意，乙方擅自授权任何第三人使用或转让的，应承担违约责任。乙方由此所取得的收益应全部归甲方所有，且甲方有权按合同酬金的100%收取违约金。</w:t>
      </w:r>
    </w:p>
    <w:p w14:paraId="5940CF9D">
      <w:pPr>
        <w:tabs>
          <w:tab w:val="left" w:pos="0"/>
        </w:tabs>
        <w:autoSpaceDE w:val="0"/>
        <w:autoSpaceDN w:val="0"/>
        <w:adjustRightInd w:val="0"/>
        <w:spacing w:line="420" w:lineRule="exact"/>
        <w:ind w:firstLine="442" w:firstLineChars="200"/>
        <w:outlineLvl w:val="9"/>
        <w:rPr>
          <w:rFonts w:hint="eastAsia" w:ascii="宋体" w:hAnsi="宋体" w:eastAsia="宋体" w:cs="宋体"/>
          <w:sz w:val="22"/>
          <w:szCs w:val="22"/>
          <w:lang w:val="zh-CN"/>
        </w:rPr>
      </w:pPr>
      <w:r>
        <w:rPr>
          <w:rFonts w:hint="eastAsia" w:ascii="宋体" w:hAnsi="宋体" w:eastAsia="宋体" w:cs="宋体"/>
          <w:b/>
          <w:bCs/>
          <w:sz w:val="22"/>
          <w:szCs w:val="22"/>
        </w:rPr>
        <w:t>第八条</w:t>
      </w:r>
      <w:r>
        <w:rPr>
          <w:rFonts w:hint="eastAsia" w:ascii="宋体" w:hAnsi="宋体" w:eastAsia="宋体" w:cs="宋体"/>
          <w:sz w:val="22"/>
          <w:szCs w:val="22"/>
        </w:rPr>
        <w:t xml:space="preserve"> </w:t>
      </w:r>
      <w:r>
        <w:rPr>
          <w:rFonts w:hint="eastAsia" w:ascii="宋体" w:hAnsi="宋体" w:eastAsia="宋体" w:cs="宋体"/>
          <w:sz w:val="22"/>
          <w:szCs w:val="22"/>
          <w:lang w:val="zh-CN"/>
        </w:rPr>
        <w:t>本合同未尽事宜，双方可根据有关法规签订补充协议，有关协议及双方认可的来往电报、传真、会议纪要等，均为本合同组成部分，与本合同具有同等法律效力。</w:t>
      </w:r>
    </w:p>
    <w:p w14:paraId="71056A20">
      <w:pPr>
        <w:tabs>
          <w:tab w:val="left" w:pos="0"/>
        </w:tabs>
        <w:autoSpaceDE w:val="0"/>
        <w:autoSpaceDN w:val="0"/>
        <w:adjustRightInd w:val="0"/>
        <w:spacing w:line="420" w:lineRule="exact"/>
        <w:ind w:firstLine="442" w:firstLineChars="200"/>
        <w:outlineLvl w:val="9"/>
        <w:rPr>
          <w:rFonts w:hint="eastAsia" w:ascii="宋体" w:hAnsi="宋体" w:eastAsia="宋体" w:cs="宋体"/>
          <w:sz w:val="22"/>
          <w:szCs w:val="22"/>
          <w:lang w:val="zh-CN"/>
        </w:rPr>
      </w:pPr>
      <w:r>
        <w:rPr>
          <w:rFonts w:hint="eastAsia" w:ascii="宋体" w:hAnsi="宋体" w:eastAsia="宋体" w:cs="宋体"/>
          <w:b/>
          <w:bCs/>
          <w:sz w:val="22"/>
          <w:szCs w:val="22"/>
        </w:rPr>
        <w:t>第九条</w:t>
      </w:r>
      <w:r>
        <w:rPr>
          <w:rFonts w:hint="eastAsia" w:ascii="宋体" w:hAnsi="宋体" w:eastAsia="宋体" w:cs="宋体"/>
          <w:sz w:val="22"/>
          <w:szCs w:val="22"/>
        </w:rPr>
        <w:t xml:space="preserve"> </w:t>
      </w:r>
      <w:r>
        <w:rPr>
          <w:rFonts w:hint="eastAsia" w:ascii="宋体" w:hAnsi="宋体" w:eastAsia="宋体" w:cs="宋体"/>
          <w:sz w:val="22"/>
          <w:szCs w:val="22"/>
          <w:lang w:val="zh-CN"/>
        </w:rPr>
        <w:t>本合同专用条款与通用条款发生冲突时，专用条款效力优先。</w:t>
      </w:r>
    </w:p>
    <w:p w14:paraId="63CCE807">
      <w:pPr>
        <w:tabs>
          <w:tab w:val="left" w:pos="0"/>
        </w:tabs>
        <w:autoSpaceDE w:val="0"/>
        <w:autoSpaceDN w:val="0"/>
        <w:adjustRightInd w:val="0"/>
        <w:spacing w:line="420" w:lineRule="exact"/>
        <w:ind w:firstLine="442" w:firstLineChars="200"/>
        <w:outlineLvl w:val="9"/>
        <w:rPr>
          <w:rFonts w:hint="eastAsia" w:ascii="宋体" w:hAnsi="宋体" w:eastAsia="宋体" w:cs="宋体"/>
          <w:sz w:val="22"/>
          <w:szCs w:val="22"/>
          <w:lang w:val="zh-CN"/>
        </w:rPr>
      </w:pPr>
      <w:r>
        <w:rPr>
          <w:rFonts w:hint="eastAsia" w:ascii="宋体" w:hAnsi="宋体" w:eastAsia="宋体" w:cs="宋体"/>
          <w:b/>
          <w:bCs/>
          <w:sz w:val="22"/>
          <w:szCs w:val="22"/>
        </w:rPr>
        <w:t>第十条</w:t>
      </w:r>
      <w:r>
        <w:rPr>
          <w:rFonts w:hint="eastAsia" w:ascii="宋体" w:hAnsi="宋体" w:eastAsia="宋体" w:cs="宋体"/>
          <w:sz w:val="22"/>
          <w:szCs w:val="22"/>
        </w:rPr>
        <w:t xml:space="preserve"> </w:t>
      </w:r>
      <w:r>
        <w:rPr>
          <w:rFonts w:hint="eastAsia" w:ascii="宋体" w:hAnsi="宋体" w:eastAsia="宋体" w:cs="宋体"/>
          <w:sz w:val="22"/>
          <w:szCs w:val="22"/>
          <w:lang w:val="zh-CN"/>
        </w:rPr>
        <w:t>本合同自签订之日起生效，本合同一式</w:t>
      </w:r>
      <w:r>
        <w:rPr>
          <w:rFonts w:hint="eastAsia" w:ascii="宋体" w:hAnsi="宋体" w:eastAsia="宋体" w:cs="宋体"/>
          <w:sz w:val="22"/>
          <w:szCs w:val="22"/>
          <w:u w:val="single"/>
          <w:lang w:val="zh-CN"/>
        </w:rPr>
        <w:t xml:space="preserve"> 肆 </w:t>
      </w:r>
      <w:r>
        <w:rPr>
          <w:rFonts w:hint="eastAsia" w:ascii="宋体" w:hAnsi="宋体" w:eastAsia="宋体" w:cs="宋体"/>
          <w:sz w:val="22"/>
          <w:szCs w:val="22"/>
          <w:lang w:val="zh-CN"/>
        </w:rPr>
        <w:t>份，甲方</w:t>
      </w:r>
      <w:r>
        <w:rPr>
          <w:rFonts w:hint="eastAsia" w:ascii="宋体" w:hAnsi="宋体" w:eastAsia="宋体" w:cs="宋体"/>
          <w:sz w:val="22"/>
          <w:szCs w:val="22"/>
          <w:u w:val="single"/>
          <w:lang w:val="zh-CN"/>
        </w:rPr>
        <w:t xml:space="preserve"> 贰 </w:t>
      </w:r>
      <w:r>
        <w:rPr>
          <w:rFonts w:hint="eastAsia" w:ascii="宋体" w:hAnsi="宋体" w:eastAsia="宋体" w:cs="宋体"/>
          <w:sz w:val="22"/>
          <w:szCs w:val="22"/>
          <w:lang w:val="zh-CN"/>
        </w:rPr>
        <w:t>份，乙方</w:t>
      </w:r>
      <w:r>
        <w:rPr>
          <w:rFonts w:hint="eastAsia" w:ascii="宋体" w:hAnsi="宋体" w:eastAsia="宋体" w:cs="宋体"/>
          <w:sz w:val="22"/>
          <w:szCs w:val="22"/>
          <w:u w:val="single"/>
          <w:lang w:val="zh-CN"/>
        </w:rPr>
        <w:t xml:space="preserve"> 贰 </w:t>
      </w:r>
      <w:r>
        <w:rPr>
          <w:rFonts w:hint="eastAsia" w:ascii="宋体" w:hAnsi="宋体" w:eastAsia="宋体" w:cs="宋体"/>
          <w:sz w:val="22"/>
          <w:szCs w:val="22"/>
          <w:lang w:val="zh-CN"/>
        </w:rPr>
        <w:t>份，每份具同等法律效力。</w:t>
      </w:r>
    </w:p>
    <w:p w14:paraId="450CCC85">
      <w:pPr>
        <w:spacing w:line="420" w:lineRule="exact"/>
        <w:ind w:firstLine="440" w:firstLineChars="200"/>
        <w:jc w:val="center"/>
        <w:outlineLvl w:val="9"/>
        <w:rPr>
          <w:rFonts w:hint="default" w:ascii="宋体" w:hAnsi="宋体" w:eastAsia="宋体" w:cs="宋体"/>
          <w:sz w:val="22"/>
          <w:szCs w:val="22"/>
          <w:lang w:val="en-US" w:eastAsia="zh-CN"/>
        </w:rPr>
      </w:pPr>
      <w:r>
        <w:rPr>
          <w:rFonts w:hint="eastAsia" w:ascii="宋体" w:hAnsi="宋体" w:cs="宋体"/>
          <w:sz w:val="22"/>
          <w:szCs w:val="22"/>
          <w:lang w:eastAsia="zh-CN"/>
        </w:rPr>
        <w:t>（</w:t>
      </w:r>
      <w:r>
        <w:rPr>
          <w:rFonts w:hint="eastAsia" w:ascii="宋体" w:hAnsi="宋体" w:cs="宋体"/>
          <w:sz w:val="22"/>
          <w:szCs w:val="22"/>
          <w:lang w:val="en-US" w:eastAsia="zh-CN"/>
        </w:rPr>
        <w:t>以下无正文）</w:t>
      </w:r>
    </w:p>
    <w:p w14:paraId="08C87640">
      <w:pPr>
        <w:spacing w:line="460" w:lineRule="exact"/>
        <w:ind w:firstLine="440" w:firstLineChars="200"/>
        <w:outlineLvl w:val="9"/>
        <w:rPr>
          <w:rFonts w:hint="eastAsia" w:ascii="宋体" w:hAnsi="宋体" w:eastAsia="宋体" w:cs="宋体"/>
          <w:sz w:val="22"/>
          <w:szCs w:val="22"/>
        </w:rPr>
      </w:pPr>
      <w:r>
        <w:rPr>
          <w:rFonts w:hint="eastAsia" w:ascii="宋体" w:hAnsi="宋体" w:eastAsia="宋体" w:cs="宋体"/>
          <w:sz w:val="22"/>
          <w:szCs w:val="22"/>
        </w:rPr>
        <w:t>甲 方（公章）：                          乙 方（公章）：</w:t>
      </w:r>
    </w:p>
    <w:p w14:paraId="4705BB9A">
      <w:pPr>
        <w:spacing w:line="460" w:lineRule="exact"/>
        <w:ind w:left="2675" w:leftChars="200" w:hanging="2255" w:hangingChars="1025"/>
        <w:outlineLvl w:val="9"/>
        <w:rPr>
          <w:rFonts w:hint="eastAsia" w:ascii="宋体" w:hAnsi="宋体" w:eastAsia="宋体" w:cs="宋体"/>
          <w:sz w:val="22"/>
          <w:szCs w:val="22"/>
        </w:rPr>
      </w:pPr>
      <w:r>
        <w:rPr>
          <w:rFonts w:hint="eastAsia" w:ascii="宋体" w:hAnsi="宋体" w:eastAsia="宋体" w:cs="宋体"/>
          <w:sz w:val="22"/>
          <w:szCs w:val="22"/>
        </w:rPr>
        <w:t xml:space="preserve">地 址：                                  地 址： </w:t>
      </w:r>
    </w:p>
    <w:p w14:paraId="499C7868">
      <w:pPr>
        <w:spacing w:line="460" w:lineRule="exact"/>
        <w:ind w:firstLine="440" w:firstLineChars="200"/>
        <w:outlineLvl w:val="9"/>
        <w:rPr>
          <w:rFonts w:hint="eastAsia" w:ascii="宋体" w:hAnsi="宋体" w:eastAsia="宋体" w:cs="宋体"/>
          <w:sz w:val="22"/>
          <w:szCs w:val="22"/>
        </w:rPr>
      </w:pPr>
      <w:r>
        <w:rPr>
          <w:rFonts w:hint="eastAsia" w:ascii="宋体" w:hAnsi="宋体" w:eastAsia="宋体" w:cs="宋体"/>
          <w:sz w:val="22"/>
          <w:szCs w:val="22"/>
        </w:rPr>
        <w:t xml:space="preserve">负责人：                                法定代表人： </w:t>
      </w:r>
    </w:p>
    <w:p w14:paraId="1711244B">
      <w:pPr>
        <w:spacing w:line="460" w:lineRule="exact"/>
        <w:ind w:firstLine="440" w:firstLineChars="200"/>
        <w:outlineLvl w:val="9"/>
        <w:rPr>
          <w:rFonts w:hint="eastAsia" w:ascii="宋体" w:hAnsi="宋体" w:eastAsia="宋体" w:cs="宋体"/>
          <w:sz w:val="22"/>
          <w:szCs w:val="22"/>
        </w:rPr>
      </w:pPr>
      <w:r>
        <w:rPr>
          <w:rFonts w:hint="eastAsia" w:ascii="宋体" w:hAnsi="宋体" w:eastAsia="宋体" w:cs="宋体"/>
          <w:sz w:val="22"/>
          <w:szCs w:val="22"/>
        </w:rPr>
        <w:t>委托代理人（签字或盖章）：              委托代理人（签字或盖章）：</w:t>
      </w:r>
    </w:p>
    <w:p w14:paraId="70E1A65F">
      <w:pPr>
        <w:spacing w:line="460" w:lineRule="exact"/>
        <w:ind w:firstLine="440" w:firstLineChars="200"/>
        <w:outlineLvl w:val="9"/>
        <w:rPr>
          <w:rFonts w:hint="eastAsia" w:ascii="宋体" w:hAnsi="宋体" w:eastAsia="宋体" w:cs="宋体"/>
          <w:bCs/>
          <w:sz w:val="22"/>
          <w:szCs w:val="22"/>
        </w:rPr>
      </w:pPr>
      <w:r>
        <w:rPr>
          <w:rFonts w:hint="eastAsia" w:ascii="宋体" w:hAnsi="宋体" w:eastAsia="宋体" w:cs="宋体"/>
          <w:sz w:val="22"/>
          <w:szCs w:val="22"/>
        </w:rPr>
        <w:t xml:space="preserve">开户银行：                            开户银行： </w:t>
      </w:r>
    </w:p>
    <w:p w14:paraId="4621ED15">
      <w:pPr>
        <w:spacing w:line="460" w:lineRule="exact"/>
        <w:ind w:firstLine="440" w:firstLineChars="200"/>
        <w:outlineLvl w:val="9"/>
        <w:rPr>
          <w:rFonts w:hint="eastAsia" w:ascii="宋体" w:hAnsi="宋体" w:eastAsia="宋体" w:cs="宋体"/>
          <w:sz w:val="22"/>
          <w:szCs w:val="22"/>
        </w:rPr>
      </w:pPr>
      <w:r>
        <w:rPr>
          <w:rFonts w:hint="eastAsia" w:ascii="宋体" w:hAnsi="宋体" w:eastAsia="宋体" w:cs="宋体"/>
          <w:bCs/>
          <w:sz w:val="22"/>
          <w:szCs w:val="22"/>
        </w:rPr>
        <w:t xml:space="preserve">账 号：                                </w:t>
      </w:r>
      <w:r>
        <w:rPr>
          <w:rFonts w:hint="eastAsia" w:ascii="宋体" w:hAnsi="宋体" w:eastAsia="宋体" w:cs="宋体"/>
          <w:sz w:val="22"/>
          <w:szCs w:val="22"/>
        </w:rPr>
        <w:t xml:space="preserve">账 号： </w:t>
      </w:r>
    </w:p>
    <w:p w14:paraId="645D0B65">
      <w:pPr>
        <w:spacing w:line="460" w:lineRule="exact"/>
        <w:ind w:firstLine="440" w:firstLineChars="200"/>
        <w:outlineLvl w:val="9"/>
        <w:rPr>
          <w:rFonts w:hint="eastAsia" w:ascii="宋体" w:hAnsi="宋体" w:eastAsia="宋体" w:cs="宋体"/>
          <w:sz w:val="22"/>
          <w:szCs w:val="22"/>
        </w:rPr>
      </w:pPr>
      <w:r>
        <w:rPr>
          <w:rFonts w:hint="eastAsia" w:ascii="宋体" w:hAnsi="宋体" w:eastAsia="宋体" w:cs="宋体"/>
          <w:sz w:val="22"/>
          <w:szCs w:val="22"/>
        </w:rPr>
        <w:t xml:space="preserve">邮 编：                                邮 编： </w:t>
      </w:r>
    </w:p>
    <w:p w14:paraId="7A2D5038">
      <w:pPr>
        <w:spacing w:line="460" w:lineRule="exact"/>
        <w:ind w:firstLine="440" w:firstLineChars="200"/>
        <w:outlineLvl w:val="9"/>
        <w:rPr>
          <w:rFonts w:hint="eastAsia" w:ascii="宋体" w:hAnsi="宋体" w:eastAsia="宋体" w:cs="宋体"/>
          <w:sz w:val="22"/>
          <w:szCs w:val="22"/>
        </w:rPr>
      </w:pPr>
      <w:r>
        <w:rPr>
          <w:rFonts w:hint="eastAsia" w:ascii="宋体" w:hAnsi="宋体" w:eastAsia="宋体" w:cs="宋体"/>
          <w:sz w:val="22"/>
          <w:szCs w:val="22"/>
        </w:rPr>
        <w:t xml:space="preserve">电 话：                                电 话：     </w:t>
      </w:r>
    </w:p>
    <w:p w14:paraId="7BDA09A8">
      <w:pPr>
        <w:spacing w:line="460" w:lineRule="exact"/>
        <w:ind w:firstLine="440" w:firstLineChars="200"/>
        <w:outlineLvl w:val="9"/>
        <w:rPr>
          <w:rFonts w:hint="eastAsia" w:ascii="宋体" w:hAnsi="宋体" w:eastAsia="宋体" w:cs="宋体"/>
          <w:sz w:val="22"/>
          <w:szCs w:val="22"/>
        </w:rPr>
      </w:pPr>
      <w:r>
        <w:rPr>
          <w:rFonts w:hint="eastAsia" w:ascii="宋体" w:hAnsi="宋体" w:eastAsia="宋体" w:cs="宋体"/>
          <w:sz w:val="22"/>
          <w:szCs w:val="22"/>
        </w:rPr>
        <w:t>日 期：    年   月   日                日 期：    年   月   日</w:t>
      </w:r>
    </w:p>
    <w:p w14:paraId="38200416">
      <w:pPr>
        <w:spacing w:line="360" w:lineRule="auto"/>
        <w:rPr>
          <w:color w:val="auto"/>
          <w:szCs w:val="21"/>
          <w:highlight w:val="none"/>
        </w:rPr>
      </w:pPr>
    </w:p>
    <w:bookmarkEnd w:id="177"/>
    <w:p w14:paraId="1260A71F">
      <w:pPr>
        <w:spacing w:line="360" w:lineRule="auto"/>
        <w:rPr>
          <w:color w:val="auto"/>
          <w:szCs w:val="21"/>
          <w:highlight w:val="none"/>
        </w:rPr>
      </w:pPr>
    </w:p>
    <w:p w14:paraId="74CE2F1E">
      <w:pPr>
        <w:spacing w:line="360" w:lineRule="auto"/>
        <w:rPr>
          <w:color w:val="auto"/>
          <w:szCs w:val="21"/>
          <w:highlight w:val="none"/>
        </w:rPr>
        <w:sectPr>
          <w:footerReference r:id="rId5" w:type="default"/>
          <w:pgSz w:w="11906" w:h="16838"/>
          <w:pgMar w:top="1134" w:right="1134" w:bottom="1134" w:left="1134" w:header="851" w:footer="851" w:gutter="0"/>
          <w:pgBorders>
            <w:top w:val="none" w:sz="0" w:space="0"/>
            <w:left w:val="none" w:sz="0" w:space="0"/>
            <w:bottom w:val="none" w:sz="0" w:space="0"/>
            <w:right w:val="none" w:sz="0" w:space="0"/>
          </w:pgBorders>
          <w:cols w:space="720" w:num="1"/>
          <w:docGrid w:linePitch="312" w:charSpace="0"/>
        </w:sectPr>
      </w:pPr>
    </w:p>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14:paraId="19CF6902">
      <w:pPr>
        <w:tabs>
          <w:tab w:val="left" w:pos="540"/>
        </w:tabs>
        <w:spacing w:line="360" w:lineRule="auto"/>
        <w:jc w:val="center"/>
        <w:outlineLvl w:val="0"/>
        <w:rPr>
          <w:color w:val="auto"/>
          <w:sz w:val="36"/>
          <w:szCs w:val="36"/>
          <w:highlight w:val="none"/>
        </w:rPr>
      </w:pPr>
      <w:bookmarkStart w:id="183" w:name="_Toc221374633"/>
      <w:bookmarkStart w:id="184" w:name="_Toc249758722"/>
      <w:bookmarkStart w:id="185" w:name="_Toc262105511"/>
      <w:bookmarkStart w:id="186" w:name="_Toc262049426"/>
      <w:bookmarkStart w:id="187" w:name="_Toc223716005"/>
      <w:bookmarkStart w:id="188" w:name="_Toc221423626"/>
      <w:bookmarkStart w:id="189" w:name="_Toc222114886"/>
      <w:bookmarkStart w:id="190" w:name="_Toc246261272"/>
      <w:bookmarkStart w:id="191" w:name="_Toc32012"/>
      <w:bookmarkStart w:id="192" w:name="_Toc221356960"/>
      <w:bookmarkStart w:id="193" w:name="_Toc241404209"/>
      <w:bookmarkStart w:id="194" w:name="_Toc239145361"/>
      <w:bookmarkStart w:id="195" w:name="_Toc245191321"/>
      <w:bookmarkStart w:id="196" w:name="_Toc249758872"/>
      <w:bookmarkStart w:id="197" w:name="_Toc389760270"/>
      <w:bookmarkStart w:id="198" w:name="_Toc245722288"/>
      <w:bookmarkStart w:id="199" w:name="_Toc221356897"/>
      <w:r>
        <w:rPr>
          <w:rStyle w:val="84"/>
          <w:rFonts w:ascii="Times New Roman" w:hAnsi="Times New Roman" w:eastAsia="宋体"/>
          <w:color w:val="auto"/>
          <w:highlight w:val="none"/>
        </w:rPr>
        <w:t>第三部分   附件</w:t>
      </w:r>
    </w:p>
    <w:p w14:paraId="013F4080">
      <w:pPr>
        <w:widowControl/>
        <w:autoSpaceDE w:val="0"/>
        <w:spacing w:line="360" w:lineRule="auto"/>
        <w:jc w:val="center"/>
        <w:outlineLvl w:val="1"/>
        <w:rPr>
          <w:b/>
          <w:color w:val="auto"/>
          <w:sz w:val="22"/>
          <w:szCs w:val="22"/>
          <w:highlight w:val="none"/>
          <w:lang w:bidi="ar"/>
        </w:rPr>
      </w:pPr>
      <w:r>
        <w:rPr>
          <w:rFonts w:hint="eastAsia"/>
          <w:b/>
          <w:color w:val="auto"/>
          <w:sz w:val="22"/>
          <w:szCs w:val="22"/>
          <w:highlight w:val="none"/>
          <w:lang w:val="en-US" w:eastAsia="zh-CN"/>
        </w:rPr>
        <w:t>一、</w:t>
      </w:r>
      <w:r>
        <w:rPr>
          <w:b/>
          <w:color w:val="auto"/>
          <w:sz w:val="22"/>
          <w:szCs w:val="22"/>
          <w:highlight w:val="none"/>
        </w:rPr>
        <w:t>资格证明文件</w:t>
      </w:r>
    </w:p>
    <w:p w14:paraId="7FF31C52">
      <w:pPr>
        <w:widowControl/>
        <w:autoSpaceDE w:val="0"/>
        <w:spacing w:line="360" w:lineRule="auto"/>
        <w:outlineLvl w:val="1"/>
        <w:rPr>
          <w:b/>
          <w:bCs/>
          <w:color w:val="auto"/>
          <w:sz w:val="22"/>
          <w:szCs w:val="22"/>
          <w:highlight w:val="none"/>
        </w:rPr>
      </w:pPr>
      <w:r>
        <w:rPr>
          <w:b/>
          <w:color w:val="auto"/>
          <w:sz w:val="22"/>
          <w:szCs w:val="22"/>
          <w:highlight w:val="none"/>
          <w:lang w:bidi="ar"/>
        </w:rPr>
        <w:t>附件一</w:t>
      </w:r>
    </w:p>
    <w:p w14:paraId="79C59F08">
      <w:pPr>
        <w:numPr>
          <w:ilvl w:val="0"/>
          <w:numId w:val="14"/>
        </w:numPr>
        <w:overflowPunct w:val="0"/>
        <w:spacing w:line="460" w:lineRule="exact"/>
        <w:rPr>
          <w:b/>
          <w:bCs/>
          <w:color w:val="auto"/>
          <w:sz w:val="22"/>
          <w:szCs w:val="22"/>
          <w:highlight w:val="none"/>
        </w:rPr>
      </w:pPr>
      <w:r>
        <w:rPr>
          <w:b/>
          <w:bCs/>
          <w:color w:val="auto"/>
          <w:sz w:val="22"/>
          <w:szCs w:val="22"/>
          <w:highlight w:val="none"/>
        </w:rPr>
        <w:t xml:space="preserve">.企业/事业单位法人有效营业执照、税务登记证（如为多证合一仅需提供营业执照）； </w:t>
      </w:r>
    </w:p>
    <w:p w14:paraId="56582F3E">
      <w:pPr>
        <w:overflowPunct w:val="0"/>
        <w:spacing w:line="460" w:lineRule="exact"/>
        <w:ind w:firstLine="108" w:firstLineChars="49"/>
        <w:rPr>
          <w:b/>
          <w:bCs/>
          <w:color w:val="auto"/>
          <w:sz w:val="22"/>
          <w:szCs w:val="22"/>
          <w:highlight w:val="none"/>
        </w:rPr>
      </w:pPr>
    </w:p>
    <w:p w14:paraId="1C67C058">
      <w:pPr>
        <w:overflowPunct w:val="0"/>
        <w:spacing w:line="460" w:lineRule="exact"/>
        <w:rPr>
          <w:b/>
          <w:bCs/>
          <w:color w:val="auto"/>
          <w:sz w:val="22"/>
          <w:szCs w:val="22"/>
          <w:highlight w:val="none"/>
        </w:rPr>
      </w:pPr>
      <w:r>
        <w:rPr>
          <w:b/>
          <w:bCs/>
          <w:color w:val="auto"/>
          <w:sz w:val="22"/>
          <w:szCs w:val="22"/>
          <w:highlight w:val="none"/>
        </w:rPr>
        <w:t>（2）</w:t>
      </w:r>
      <w:bookmarkStart w:id="200" w:name="_Toc7513"/>
      <w:bookmarkStart w:id="201" w:name="_Toc10816"/>
      <w:r>
        <w:rPr>
          <w:b/>
          <w:bCs/>
          <w:color w:val="auto"/>
          <w:sz w:val="22"/>
          <w:szCs w:val="22"/>
          <w:highlight w:val="none"/>
        </w:rPr>
        <w:t>.具有良好的商业信誉和健全的财务会计制度的承诺函</w:t>
      </w:r>
      <w:bookmarkEnd w:id="200"/>
      <w:bookmarkEnd w:id="201"/>
    </w:p>
    <w:p w14:paraId="06D8564C">
      <w:pPr>
        <w:spacing w:line="360" w:lineRule="auto"/>
        <w:rPr>
          <w:color w:val="auto"/>
          <w:sz w:val="22"/>
          <w:szCs w:val="22"/>
          <w:highlight w:val="none"/>
        </w:rPr>
      </w:pPr>
      <w:r>
        <w:rPr>
          <w:color w:val="auto"/>
          <w:kern w:val="0"/>
          <w:szCs w:val="21"/>
          <w:highlight w:val="none"/>
          <w:u w:val="single"/>
        </w:rPr>
        <w:t>（采购人）</w:t>
      </w:r>
      <w:r>
        <w:rPr>
          <w:color w:val="auto"/>
          <w:kern w:val="0"/>
          <w:sz w:val="22"/>
          <w:szCs w:val="22"/>
          <w:highlight w:val="none"/>
        </w:rPr>
        <w:t>：</w:t>
      </w:r>
    </w:p>
    <w:p w14:paraId="19037EE6">
      <w:pPr>
        <w:widowControl/>
        <w:spacing w:line="360" w:lineRule="auto"/>
        <w:ind w:firstLine="440" w:firstLineChars="200"/>
        <w:jc w:val="left"/>
        <w:rPr>
          <w:color w:val="auto"/>
          <w:kern w:val="0"/>
          <w:sz w:val="22"/>
          <w:szCs w:val="22"/>
          <w:highlight w:val="none"/>
        </w:rPr>
      </w:pPr>
      <w:r>
        <w:rPr>
          <w:color w:val="auto"/>
          <w:kern w:val="0"/>
          <w:sz w:val="22"/>
          <w:szCs w:val="22"/>
          <w:highlight w:val="none"/>
        </w:rPr>
        <w:t>我方</w:t>
      </w:r>
      <w:r>
        <w:rPr>
          <w:color w:val="auto"/>
          <w:kern w:val="0"/>
          <w:sz w:val="22"/>
          <w:szCs w:val="22"/>
          <w:highlight w:val="none"/>
          <w:u w:val="single"/>
        </w:rPr>
        <w:t xml:space="preserve"> （供应商）</w:t>
      </w:r>
      <w:r>
        <w:rPr>
          <w:color w:val="auto"/>
          <w:kern w:val="0"/>
          <w:sz w:val="22"/>
          <w:szCs w:val="22"/>
          <w:highlight w:val="none"/>
        </w:rPr>
        <w:t>承诺具有良好的商业信誉和健全的财务会计制度。如有虚假，采购人可取消我方任何资格（投标/中标/签订合同），我方对此无任何异议。</w:t>
      </w:r>
    </w:p>
    <w:p w14:paraId="0D2D935F">
      <w:pPr>
        <w:widowControl/>
        <w:spacing w:line="360" w:lineRule="auto"/>
        <w:ind w:firstLine="440" w:firstLineChars="200"/>
        <w:jc w:val="left"/>
        <w:rPr>
          <w:color w:val="auto"/>
          <w:kern w:val="0"/>
          <w:sz w:val="22"/>
          <w:szCs w:val="22"/>
          <w:highlight w:val="none"/>
        </w:rPr>
      </w:pPr>
      <w:r>
        <w:rPr>
          <w:color w:val="auto"/>
          <w:kern w:val="0"/>
          <w:sz w:val="22"/>
          <w:szCs w:val="22"/>
          <w:highlight w:val="none"/>
        </w:rPr>
        <w:t>特此承诺！</w:t>
      </w:r>
    </w:p>
    <w:p w14:paraId="55375348">
      <w:pPr>
        <w:pStyle w:val="9"/>
        <w:ind w:left="440" w:hanging="440"/>
        <w:rPr>
          <w:color w:val="auto"/>
          <w:sz w:val="22"/>
          <w:szCs w:val="22"/>
          <w:highlight w:val="none"/>
        </w:rPr>
      </w:pPr>
    </w:p>
    <w:p w14:paraId="33CC62C4">
      <w:pPr>
        <w:widowControl/>
        <w:spacing w:line="360" w:lineRule="auto"/>
        <w:ind w:firstLine="440" w:firstLineChars="200"/>
        <w:jc w:val="left"/>
        <w:rPr>
          <w:color w:val="auto"/>
          <w:kern w:val="0"/>
          <w:sz w:val="22"/>
          <w:szCs w:val="22"/>
          <w:highlight w:val="none"/>
        </w:rPr>
      </w:pPr>
      <w:r>
        <w:rPr>
          <w:color w:val="auto"/>
          <w:kern w:val="0"/>
          <w:sz w:val="22"/>
          <w:szCs w:val="22"/>
          <w:highlight w:val="none"/>
        </w:rPr>
        <w:t>供应商名称（盖章） ：</w:t>
      </w:r>
    </w:p>
    <w:p w14:paraId="4AE71804">
      <w:pPr>
        <w:widowControl/>
        <w:spacing w:line="360" w:lineRule="auto"/>
        <w:ind w:firstLine="440" w:firstLineChars="200"/>
        <w:jc w:val="left"/>
        <w:rPr>
          <w:color w:val="auto"/>
          <w:kern w:val="0"/>
          <w:sz w:val="22"/>
          <w:szCs w:val="22"/>
          <w:highlight w:val="none"/>
        </w:rPr>
      </w:pPr>
      <w:r>
        <w:rPr>
          <w:color w:val="auto"/>
          <w:kern w:val="0"/>
          <w:sz w:val="22"/>
          <w:szCs w:val="22"/>
          <w:highlight w:val="none"/>
        </w:rPr>
        <w:t>法定代表人（负责人）或其授权代表（签字或盖章）：</w:t>
      </w:r>
    </w:p>
    <w:p w14:paraId="255DC883">
      <w:pPr>
        <w:widowControl/>
        <w:spacing w:line="360" w:lineRule="auto"/>
        <w:ind w:firstLine="440" w:firstLineChars="200"/>
        <w:jc w:val="left"/>
        <w:rPr>
          <w:color w:val="auto"/>
          <w:kern w:val="0"/>
          <w:sz w:val="22"/>
          <w:szCs w:val="22"/>
          <w:highlight w:val="none"/>
        </w:rPr>
      </w:pPr>
      <w:r>
        <w:rPr>
          <w:color w:val="auto"/>
          <w:kern w:val="0"/>
          <w:sz w:val="22"/>
          <w:szCs w:val="22"/>
          <w:highlight w:val="none"/>
        </w:rPr>
        <w:t>日期：     年  月  日</w:t>
      </w:r>
    </w:p>
    <w:p w14:paraId="3B68B4E8">
      <w:pPr>
        <w:rPr>
          <w:color w:val="auto"/>
          <w:highlight w:val="none"/>
        </w:rPr>
      </w:pPr>
    </w:p>
    <w:p w14:paraId="3F03B6F0">
      <w:pPr>
        <w:overflowPunct w:val="0"/>
        <w:spacing w:line="460" w:lineRule="exact"/>
        <w:ind w:firstLine="108" w:firstLineChars="49"/>
        <w:rPr>
          <w:b/>
          <w:bCs/>
          <w:color w:val="auto"/>
          <w:sz w:val="22"/>
          <w:szCs w:val="22"/>
          <w:highlight w:val="none"/>
        </w:rPr>
      </w:pPr>
      <w:r>
        <w:rPr>
          <w:b/>
          <w:bCs/>
          <w:color w:val="auto"/>
          <w:sz w:val="22"/>
          <w:szCs w:val="22"/>
          <w:highlight w:val="none"/>
        </w:rPr>
        <w:t>(3) .具有履行合同所必需的设备和专业技术能力的承诺函</w:t>
      </w:r>
    </w:p>
    <w:p w14:paraId="14D02837">
      <w:pPr>
        <w:widowControl/>
        <w:spacing w:line="360" w:lineRule="auto"/>
        <w:jc w:val="left"/>
        <w:rPr>
          <w:color w:val="auto"/>
          <w:kern w:val="0"/>
          <w:sz w:val="22"/>
          <w:szCs w:val="22"/>
          <w:highlight w:val="none"/>
        </w:rPr>
      </w:pPr>
      <w:r>
        <w:rPr>
          <w:color w:val="auto"/>
          <w:kern w:val="0"/>
          <w:sz w:val="22"/>
          <w:szCs w:val="22"/>
          <w:highlight w:val="none"/>
          <w:u w:val="single"/>
        </w:rPr>
        <w:t>（采购人）</w:t>
      </w:r>
      <w:r>
        <w:rPr>
          <w:color w:val="auto"/>
          <w:kern w:val="0"/>
          <w:sz w:val="22"/>
          <w:szCs w:val="22"/>
          <w:highlight w:val="none"/>
        </w:rPr>
        <w:t>：</w:t>
      </w:r>
    </w:p>
    <w:p w14:paraId="17128EA8">
      <w:pPr>
        <w:widowControl/>
        <w:spacing w:line="360" w:lineRule="auto"/>
        <w:ind w:firstLine="440" w:firstLineChars="200"/>
        <w:jc w:val="left"/>
        <w:rPr>
          <w:color w:val="auto"/>
          <w:kern w:val="0"/>
          <w:sz w:val="22"/>
          <w:szCs w:val="22"/>
          <w:highlight w:val="none"/>
        </w:rPr>
      </w:pPr>
      <w:r>
        <w:rPr>
          <w:color w:val="auto"/>
          <w:kern w:val="0"/>
          <w:sz w:val="22"/>
          <w:szCs w:val="22"/>
          <w:highlight w:val="none"/>
        </w:rPr>
        <w:t>我方</w:t>
      </w:r>
      <w:r>
        <w:rPr>
          <w:color w:val="auto"/>
          <w:kern w:val="0"/>
          <w:sz w:val="22"/>
          <w:szCs w:val="22"/>
          <w:highlight w:val="none"/>
          <w:u w:val="single"/>
        </w:rPr>
        <w:t xml:space="preserve"> （供应商）</w:t>
      </w:r>
      <w:r>
        <w:rPr>
          <w:color w:val="auto"/>
          <w:kern w:val="0"/>
          <w:sz w:val="22"/>
          <w:szCs w:val="22"/>
          <w:highlight w:val="none"/>
        </w:rPr>
        <w:t>承诺具有履行合同所必需的设备和专业技术能力。如有虚假，采购人可取消我方任何资格（投标/中标/签订合同），我方对此无任何异议。</w:t>
      </w:r>
    </w:p>
    <w:p w14:paraId="5D485551">
      <w:pPr>
        <w:widowControl/>
        <w:spacing w:line="360" w:lineRule="auto"/>
        <w:ind w:firstLine="440" w:firstLineChars="200"/>
        <w:jc w:val="left"/>
        <w:rPr>
          <w:color w:val="auto"/>
          <w:kern w:val="0"/>
          <w:sz w:val="22"/>
          <w:szCs w:val="22"/>
          <w:highlight w:val="none"/>
        </w:rPr>
      </w:pPr>
      <w:r>
        <w:rPr>
          <w:color w:val="auto"/>
          <w:kern w:val="0"/>
          <w:sz w:val="22"/>
          <w:szCs w:val="22"/>
          <w:highlight w:val="none"/>
        </w:rPr>
        <w:t>特此承诺！</w:t>
      </w:r>
    </w:p>
    <w:p w14:paraId="37F2F43E">
      <w:pPr>
        <w:widowControl/>
        <w:spacing w:line="360" w:lineRule="auto"/>
        <w:ind w:firstLine="440" w:firstLineChars="200"/>
        <w:jc w:val="left"/>
        <w:rPr>
          <w:color w:val="auto"/>
          <w:kern w:val="0"/>
          <w:sz w:val="22"/>
          <w:szCs w:val="22"/>
          <w:highlight w:val="none"/>
        </w:rPr>
      </w:pPr>
    </w:p>
    <w:p w14:paraId="080C019A">
      <w:pPr>
        <w:widowControl/>
        <w:spacing w:line="360" w:lineRule="auto"/>
        <w:ind w:firstLine="440" w:firstLineChars="200"/>
        <w:jc w:val="left"/>
        <w:rPr>
          <w:color w:val="auto"/>
          <w:kern w:val="0"/>
          <w:sz w:val="22"/>
          <w:szCs w:val="22"/>
          <w:highlight w:val="none"/>
        </w:rPr>
      </w:pPr>
      <w:r>
        <w:rPr>
          <w:color w:val="auto"/>
          <w:kern w:val="0"/>
          <w:sz w:val="22"/>
          <w:szCs w:val="22"/>
          <w:highlight w:val="none"/>
        </w:rPr>
        <w:t>供应商名称（盖章） ：</w:t>
      </w:r>
    </w:p>
    <w:p w14:paraId="2D80B7B3">
      <w:pPr>
        <w:widowControl/>
        <w:spacing w:line="360" w:lineRule="auto"/>
        <w:ind w:firstLine="440" w:firstLineChars="200"/>
        <w:jc w:val="left"/>
        <w:rPr>
          <w:color w:val="auto"/>
          <w:kern w:val="0"/>
          <w:sz w:val="22"/>
          <w:szCs w:val="22"/>
          <w:highlight w:val="none"/>
        </w:rPr>
      </w:pPr>
      <w:r>
        <w:rPr>
          <w:color w:val="auto"/>
          <w:kern w:val="0"/>
          <w:sz w:val="22"/>
          <w:szCs w:val="22"/>
          <w:highlight w:val="none"/>
        </w:rPr>
        <w:t>法定代表人或其授权代表（签字或盖章）：</w:t>
      </w:r>
    </w:p>
    <w:p w14:paraId="0C8EAA62">
      <w:pPr>
        <w:widowControl/>
        <w:spacing w:line="360" w:lineRule="auto"/>
        <w:ind w:firstLine="440" w:firstLineChars="200"/>
        <w:jc w:val="left"/>
        <w:rPr>
          <w:color w:val="auto"/>
          <w:kern w:val="0"/>
          <w:sz w:val="22"/>
          <w:szCs w:val="22"/>
          <w:highlight w:val="none"/>
        </w:rPr>
      </w:pPr>
      <w:r>
        <w:rPr>
          <w:color w:val="auto"/>
          <w:kern w:val="0"/>
          <w:sz w:val="22"/>
          <w:szCs w:val="22"/>
          <w:highlight w:val="none"/>
        </w:rPr>
        <w:t>日期：     年  月  日</w:t>
      </w:r>
    </w:p>
    <w:p w14:paraId="2C9692D1">
      <w:pPr>
        <w:rPr>
          <w:color w:val="auto"/>
          <w:highlight w:val="none"/>
        </w:rPr>
      </w:pPr>
    </w:p>
    <w:p w14:paraId="00423F79">
      <w:pPr>
        <w:spacing w:line="360" w:lineRule="auto"/>
        <w:rPr>
          <w:b/>
          <w:color w:val="auto"/>
          <w:kern w:val="36"/>
          <w:sz w:val="22"/>
          <w:szCs w:val="22"/>
          <w:highlight w:val="none"/>
        </w:rPr>
      </w:pPr>
      <w:r>
        <w:rPr>
          <w:b/>
          <w:color w:val="auto"/>
          <w:kern w:val="36"/>
          <w:sz w:val="22"/>
          <w:szCs w:val="22"/>
          <w:highlight w:val="none"/>
        </w:rPr>
        <w:t>（4）.依法缴纳税收和社会保障资金的承诺函</w:t>
      </w:r>
    </w:p>
    <w:p w14:paraId="417330EA">
      <w:pPr>
        <w:widowControl/>
        <w:spacing w:line="360" w:lineRule="auto"/>
        <w:jc w:val="left"/>
        <w:rPr>
          <w:color w:val="auto"/>
          <w:kern w:val="0"/>
          <w:sz w:val="22"/>
          <w:szCs w:val="22"/>
          <w:highlight w:val="none"/>
        </w:rPr>
      </w:pPr>
      <w:r>
        <w:rPr>
          <w:color w:val="auto"/>
          <w:kern w:val="0"/>
          <w:sz w:val="22"/>
          <w:szCs w:val="22"/>
          <w:highlight w:val="none"/>
          <w:u w:val="single"/>
        </w:rPr>
        <w:t>（采购人）</w:t>
      </w:r>
      <w:r>
        <w:rPr>
          <w:color w:val="auto"/>
          <w:kern w:val="0"/>
          <w:sz w:val="22"/>
          <w:szCs w:val="22"/>
          <w:highlight w:val="none"/>
        </w:rPr>
        <w:t>：</w:t>
      </w:r>
    </w:p>
    <w:p w14:paraId="5C9E6678">
      <w:pPr>
        <w:spacing w:line="360" w:lineRule="auto"/>
        <w:ind w:firstLine="440" w:firstLineChars="200"/>
        <w:rPr>
          <w:color w:val="auto"/>
          <w:kern w:val="0"/>
          <w:sz w:val="22"/>
          <w:szCs w:val="22"/>
          <w:highlight w:val="none"/>
        </w:rPr>
      </w:pPr>
      <w:r>
        <w:rPr>
          <w:color w:val="auto"/>
          <w:kern w:val="0"/>
          <w:sz w:val="22"/>
          <w:szCs w:val="22"/>
          <w:highlight w:val="none"/>
        </w:rPr>
        <w:t>我公司郑重声明，我公司严格依法缴纳税收和社会保障资金，本文件中所提供的相关材料均真实有效，不存在虚假、造假行为。如有违反，愿承担一切责任。</w:t>
      </w:r>
    </w:p>
    <w:p w14:paraId="328C2760">
      <w:pPr>
        <w:spacing w:line="360" w:lineRule="auto"/>
        <w:ind w:firstLine="440" w:firstLineChars="200"/>
        <w:rPr>
          <w:color w:val="auto"/>
          <w:kern w:val="0"/>
          <w:sz w:val="22"/>
          <w:szCs w:val="22"/>
          <w:highlight w:val="none"/>
        </w:rPr>
      </w:pPr>
      <w:r>
        <w:rPr>
          <w:color w:val="auto"/>
          <w:kern w:val="0"/>
          <w:sz w:val="22"/>
          <w:szCs w:val="22"/>
          <w:highlight w:val="none"/>
        </w:rPr>
        <w:t>特此承诺！</w:t>
      </w:r>
    </w:p>
    <w:p w14:paraId="2A300A34">
      <w:pPr>
        <w:widowControl/>
        <w:spacing w:line="360" w:lineRule="auto"/>
        <w:ind w:firstLine="440" w:firstLineChars="200"/>
        <w:jc w:val="left"/>
        <w:rPr>
          <w:color w:val="auto"/>
          <w:kern w:val="0"/>
          <w:sz w:val="22"/>
          <w:szCs w:val="22"/>
          <w:highlight w:val="none"/>
        </w:rPr>
      </w:pPr>
    </w:p>
    <w:p w14:paraId="0802CDBC">
      <w:pPr>
        <w:widowControl/>
        <w:spacing w:line="360" w:lineRule="auto"/>
        <w:ind w:firstLine="440" w:firstLineChars="200"/>
        <w:jc w:val="left"/>
        <w:rPr>
          <w:color w:val="auto"/>
          <w:kern w:val="0"/>
          <w:sz w:val="22"/>
          <w:szCs w:val="22"/>
          <w:highlight w:val="none"/>
        </w:rPr>
      </w:pPr>
      <w:r>
        <w:rPr>
          <w:color w:val="auto"/>
          <w:kern w:val="0"/>
          <w:sz w:val="22"/>
          <w:szCs w:val="22"/>
          <w:highlight w:val="none"/>
        </w:rPr>
        <w:t>供应商名称（盖章） ：</w:t>
      </w:r>
    </w:p>
    <w:p w14:paraId="1E6B136D">
      <w:pPr>
        <w:widowControl/>
        <w:spacing w:line="360" w:lineRule="auto"/>
        <w:ind w:firstLine="440" w:firstLineChars="200"/>
        <w:jc w:val="left"/>
        <w:rPr>
          <w:color w:val="auto"/>
          <w:kern w:val="0"/>
          <w:sz w:val="22"/>
          <w:szCs w:val="22"/>
          <w:highlight w:val="none"/>
        </w:rPr>
      </w:pPr>
      <w:r>
        <w:rPr>
          <w:color w:val="auto"/>
          <w:kern w:val="0"/>
          <w:sz w:val="22"/>
          <w:szCs w:val="22"/>
          <w:highlight w:val="none"/>
        </w:rPr>
        <w:t>法定代表人或其授权代表（签字或盖章）：</w:t>
      </w:r>
    </w:p>
    <w:p w14:paraId="3A916D01">
      <w:pPr>
        <w:widowControl/>
        <w:spacing w:line="360" w:lineRule="auto"/>
        <w:ind w:firstLine="440" w:firstLineChars="200"/>
        <w:jc w:val="left"/>
        <w:rPr>
          <w:color w:val="auto"/>
          <w:kern w:val="0"/>
          <w:sz w:val="22"/>
          <w:szCs w:val="22"/>
          <w:highlight w:val="none"/>
        </w:rPr>
      </w:pPr>
      <w:r>
        <w:rPr>
          <w:color w:val="auto"/>
          <w:kern w:val="0"/>
          <w:sz w:val="22"/>
          <w:szCs w:val="22"/>
          <w:highlight w:val="none"/>
        </w:rPr>
        <w:t>日期：     年  月  日</w:t>
      </w:r>
    </w:p>
    <w:p w14:paraId="0372C19D">
      <w:pPr>
        <w:pStyle w:val="9"/>
        <w:ind w:left="440" w:hanging="440"/>
        <w:rPr>
          <w:color w:val="auto"/>
          <w:kern w:val="0"/>
          <w:sz w:val="22"/>
          <w:szCs w:val="22"/>
          <w:highlight w:val="none"/>
        </w:rPr>
      </w:pPr>
    </w:p>
    <w:p w14:paraId="0E5FD4DE">
      <w:pPr>
        <w:numPr>
          <w:ilvl w:val="0"/>
          <w:numId w:val="15"/>
        </w:numPr>
        <w:spacing w:line="360" w:lineRule="auto"/>
        <w:rPr>
          <w:b/>
          <w:color w:val="auto"/>
          <w:kern w:val="36"/>
          <w:sz w:val="22"/>
          <w:szCs w:val="22"/>
          <w:highlight w:val="none"/>
        </w:rPr>
      </w:pPr>
      <w:bookmarkStart w:id="202" w:name="_Toc31544"/>
      <w:bookmarkStart w:id="203" w:name="_Toc33194406"/>
      <w:bookmarkStart w:id="204" w:name="_Toc11360"/>
      <w:bookmarkStart w:id="205" w:name="_Toc14589"/>
      <w:bookmarkStart w:id="206" w:name="_Toc31784"/>
      <w:bookmarkStart w:id="207" w:name="_Toc10630"/>
      <w:bookmarkStart w:id="208" w:name="_Toc18304"/>
      <w:bookmarkStart w:id="209" w:name="_Toc13669"/>
      <w:bookmarkStart w:id="210" w:name="_Toc14988"/>
      <w:bookmarkStart w:id="211" w:name="_Toc27119255"/>
      <w:bookmarkStart w:id="212" w:name="_Toc28957"/>
      <w:bookmarkStart w:id="213" w:name="_Toc6606"/>
      <w:r>
        <w:rPr>
          <w:b/>
          <w:color w:val="auto"/>
          <w:kern w:val="36"/>
          <w:sz w:val="22"/>
          <w:szCs w:val="22"/>
          <w:highlight w:val="none"/>
        </w:rPr>
        <w:t>.参加国企采购活动前3年内在经营活动中没有重大违法记录的声明函</w:t>
      </w:r>
      <w:bookmarkEnd w:id="202"/>
      <w:bookmarkEnd w:id="203"/>
      <w:bookmarkEnd w:id="204"/>
      <w:bookmarkEnd w:id="205"/>
      <w:bookmarkEnd w:id="206"/>
      <w:bookmarkEnd w:id="207"/>
      <w:bookmarkEnd w:id="208"/>
      <w:bookmarkEnd w:id="209"/>
      <w:bookmarkEnd w:id="210"/>
      <w:bookmarkEnd w:id="211"/>
      <w:bookmarkEnd w:id="212"/>
      <w:bookmarkEnd w:id="213"/>
    </w:p>
    <w:p w14:paraId="72467ECB">
      <w:pPr>
        <w:widowControl/>
        <w:spacing w:line="360" w:lineRule="auto"/>
        <w:jc w:val="left"/>
        <w:rPr>
          <w:color w:val="auto"/>
          <w:kern w:val="0"/>
          <w:sz w:val="22"/>
          <w:szCs w:val="22"/>
          <w:highlight w:val="none"/>
        </w:rPr>
      </w:pPr>
      <w:r>
        <w:rPr>
          <w:color w:val="auto"/>
          <w:kern w:val="0"/>
          <w:sz w:val="22"/>
          <w:szCs w:val="22"/>
          <w:highlight w:val="none"/>
          <w:u w:val="single"/>
        </w:rPr>
        <w:t>（采购人）</w:t>
      </w:r>
      <w:r>
        <w:rPr>
          <w:color w:val="auto"/>
          <w:kern w:val="0"/>
          <w:sz w:val="22"/>
          <w:szCs w:val="22"/>
          <w:highlight w:val="none"/>
        </w:rPr>
        <w:t>：</w:t>
      </w:r>
    </w:p>
    <w:p w14:paraId="5E74482B">
      <w:pPr>
        <w:widowControl/>
        <w:spacing w:line="360" w:lineRule="auto"/>
        <w:ind w:firstLine="440" w:firstLineChars="200"/>
        <w:jc w:val="left"/>
        <w:rPr>
          <w:color w:val="auto"/>
          <w:kern w:val="0"/>
          <w:sz w:val="22"/>
          <w:szCs w:val="22"/>
          <w:highlight w:val="none"/>
        </w:rPr>
      </w:pPr>
      <w:r>
        <w:rPr>
          <w:color w:val="auto"/>
          <w:kern w:val="0"/>
          <w:sz w:val="22"/>
          <w:szCs w:val="22"/>
          <w:highlight w:val="none"/>
        </w:rPr>
        <w:t>我方</w:t>
      </w:r>
      <w:r>
        <w:rPr>
          <w:color w:val="auto"/>
          <w:kern w:val="0"/>
          <w:sz w:val="22"/>
          <w:szCs w:val="22"/>
          <w:highlight w:val="none"/>
          <w:u w:val="single"/>
        </w:rPr>
        <w:t xml:space="preserve"> （供应商）</w:t>
      </w:r>
      <w:r>
        <w:rPr>
          <w:color w:val="auto"/>
          <w:kern w:val="0"/>
          <w:sz w:val="22"/>
          <w:szCs w:val="22"/>
          <w:highlight w:val="none"/>
        </w:rPr>
        <w:t>具有良好的商业信誉，依法缴纳税收和社会保障资金，未被列入失信被执行人名单、重大税收违法案件当事人名单、国企采购严重违法失信行为记录名单，参加本次国企采购活动前3年内在经营活动中没有重大违法记录（没有因违法经营受到刑事处罚，没有被责令停产停业、被吊销许可证或者执照、被处以较大数额罚款等行政处罚，没有因违法经营被禁止参加国企采购活动的期限未满情形）。如有虚假，采购人可取消我方任何资格（投标/中标/签订合同），我方对此无任何异议。</w:t>
      </w:r>
    </w:p>
    <w:p w14:paraId="77B0A37F">
      <w:pPr>
        <w:widowControl/>
        <w:spacing w:line="360" w:lineRule="auto"/>
        <w:ind w:firstLine="440" w:firstLineChars="200"/>
        <w:jc w:val="left"/>
        <w:rPr>
          <w:color w:val="auto"/>
          <w:kern w:val="0"/>
          <w:sz w:val="22"/>
          <w:szCs w:val="22"/>
          <w:highlight w:val="none"/>
        </w:rPr>
      </w:pPr>
      <w:r>
        <w:rPr>
          <w:color w:val="auto"/>
          <w:kern w:val="0"/>
          <w:sz w:val="22"/>
          <w:szCs w:val="22"/>
          <w:highlight w:val="none"/>
        </w:rPr>
        <w:t>特此承诺！</w:t>
      </w:r>
    </w:p>
    <w:p w14:paraId="117739D2">
      <w:pPr>
        <w:widowControl/>
        <w:spacing w:line="360" w:lineRule="auto"/>
        <w:ind w:firstLine="440" w:firstLineChars="200"/>
        <w:jc w:val="left"/>
        <w:rPr>
          <w:color w:val="auto"/>
          <w:kern w:val="0"/>
          <w:sz w:val="22"/>
          <w:szCs w:val="22"/>
          <w:highlight w:val="none"/>
        </w:rPr>
      </w:pPr>
    </w:p>
    <w:p w14:paraId="651CD896">
      <w:pPr>
        <w:widowControl/>
        <w:spacing w:line="360" w:lineRule="auto"/>
        <w:ind w:firstLine="440" w:firstLineChars="200"/>
        <w:jc w:val="left"/>
        <w:rPr>
          <w:color w:val="auto"/>
          <w:kern w:val="0"/>
          <w:sz w:val="22"/>
          <w:szCs w:val="22"/>
          <w:highlight w:val="none"/>
        </w:rPr>
      </w:pPr>
      <w:r>
        <w:rPr>
          <w:color w:val="auto"/>
          <w:kern w:val="0"/>
          <w:sz w:val="22"/>
          <w:szCs w:val="22"/>
          <w:highlight w:val="none"/>
        </w:rPr>
        <w:t>供应商名称（盖章） ：</w:t>
      </w:r>
    </w:p>
    <w:p w14:paraId="589FD63B">
      <w:pPr>
        <w:widowControl/>
        <w:spacing w:line="360" w:lineRule="auto"/>
        <w:ind w:firstLine="440" w:firstLineChars="200"/>
        <w:jc w:val="left"/>
        <w:rPr>
          <w:color w:val="auto"/>
          <w:kern w:val="0"/>
          <w:sz w:val="22"/>
          <w:szCs w:val="22"/>
          <w:highlight w:val="none"/>
        </w:rPr>
      </w:pPr>
      <w:r>
        <w:rPr>
          <w:color w:val="auto"/>
          <w:kern w:val="0"/>
          <w:sz w:val="22"/>
          <w:szCs w:val="22"/>
          <w:highlight w:val="none"/>
        </w:rPr>
        <w:t>法定代表人或其授权代表（签字或盖章）：</w:t>
      </w:r>
    </w:p>
    <w:p w14:paraId="599EAB41">
      <w:pPr>
        <w:widowControl/>
        <w:spacing w:line="360" w:lineRule="auto"/>
        <w:ind w:firstLine="440" w:firstLineChars="200"/>
        <w:jc w:val="left"/>
        <w:rPr>
          <w:color w:val="auto"/>
          <w:kern w:val="0"/>
          <w:sz w:val="22"/>
          <w:szCs w:val="22"/>
          <w:highlight w:val="none"/>
        </w:rPr>
      </w:pPr>
      <w:r>
        <w:rPr>
          <w:color w:val="auto"/>
          <w:kern w:val="0"/>
          <w:sz w:val="22"/>
          <w:szCs w:val="22"/>
          <w:highlight w:val="none"/>
        </w:rPr>
        <w:t>日期：     年  月  日</w:t>
      </w:r>
    </w:p>
    <w:p w14:paraId="5D19E158">
      <w:pPr>
        <w:pStyle w:val="9"/>
        <w:spacing w:line="360" w:lineRule="auto"/>
        <w:ind w:left="442" w:hanging="442"/>
        <w:rPr>
          <w:b/>
          <w:bCs/>
          <w:color w:val="auto"/>
          <w:sz w:val="22"/>
          <w:szCs w:val="22"/>
          <w:highlight w:val="none"/>
        </w:rPr>
      </w:pPr>
    </w:p>
    <w:p w14:paraId="468221B7">
      <w:pPr>
        <w:pStyle w:val="9"/>
        <w:spacing w:line="360" w:lineRule="auto"/>
        <w:ind w:left="442" w:hanging="442"/>
        <w:jc w:val="center"/>
        <w:rPr>
          <w:b/>
          <w:bCs/>
          <w:color w:val="auto"/>
          <w:sz w:val="22"/>
          <w:szCs w:val="22"/>
          <w:highlight w:val="none"/>
        </w:rPr>
      </w:pPr>
      <w:r>
        <w:rPr>
          <w:b/>
          <w:bCs/>
          <w:color w:val="auto"/>
          <w:sz w:val="22"/>
          <w:szCs w:val="22"/>
          <w:highlight w:val="none"/>
        </w:rPr>
        <w:t>（6）.单位负责人为同一人或者存在直接控股、管理关系的不同供应商，不得参加同一合同项下的国企采购活动承诺函</w:t>
      </w:r>
    </w:p>
    <w:p w14:paraId="02329F59">
      <w:pPr>
        <w:widowControl/>
        <w:spacing w:line="360" w:lineRule="auto"/>
        <w:jc w:val="left"/>
        <w:rPr>
          <w:b/>
          <w:bCs/>
          <w:color w:val="auto"/>
          <w:sz w:val="22"/>
          <w:szCs w:val="22"/>
          <w:highlight w:val="none"/>
        </w:rPr>
      </w:pPr>
      <w:r>
        <w:rPr>
          <w:color w:val="auto"/>
          <w:kern w:val="0"/>
          <w:sz w:val="22"/>
          <w:szCs w:val="22"/>
          <w:highlight w:val="none"/>
          <w:u w:val="single"/>
        </w:rPr>
        <w:t>（采购人）</w:t>
      </w:r>
    </w:p>
    <w:p w14:paraId="08B5C072">
      <w:pPr>
        <w:spacing w:line="360" w:lineRule="auto"/>
        <w:ind w:firstLine="440" w:firstLineChars="200"/>
        <w:jc w:val="left"/>
        <w:rPr>
          <w:b/>
          <w:color w:val="auto"/>
          <w:kern w:val="36"/>
          <w:sz w:val="22"/>
          <w:szCs w:val="22"/>
          <w:highlight w:val="none"/>
        </w:rPr>
      </w:pPr>
      <w:r>
        <w:rPr>
          <w:color w:val="auto"/>
          <w:kern w:val="0"/>
          <w:sz w:val="22"/>
          <w:szCs w:val="22"/>
          <w:highlight w:val="none"/>
        </w:rPr>
        <w:t>我方郑重承诺，我方此次参加</w:t>
      </w:r>
      <w:r>
        <w:rPr>
          <w:color w:val="auto"/>
          <w:kern w:val="0"/>
          <w:sz w:val="22"/>
          <w:szCs w:val="22"/>
          <w:highlight w:val="none"/>
          <w:u w:val="single"/>
        </w:rPr>
        <w:t xml:space="preserve">           </w:t>
      </w:r>
      <w:r>
        <w:rPr>
          <w:color w:val="auto"/>
          <w:kern w:val="0"/>
          <w:sz w:val="22"/>
          <w:szCs w:val="22"/>
          <w:highlight w:val="none"/>
        </w:rPr>
        <w:t>项目的投标，与参加本次项目同一合同项下国企采购活动的其他供应商不存在单位负责人为同一人或者直接控股、管理关系。如有虚假或隐瞒，愿意承担一切后果。</w:t>
      </w:r>
    </w:p>
    <w:p w14:paraId="6FEC767E">
      <w:pPr>
        <w:widowControl/>
        <w:spacing w:line="360" w:lineRule="auto"/>
        <w:ind w:firstLine="440" w:firstLineChars="200"/>
        <w:jc w:val="left"/>
        <w:rPr>
          <w:color w:val="auto"/>
          <w:kern w:val="0"/>
          <w:sz w:val="22"/>
          <w:szCs w:val="22"/>
          <w:highlight w:val="none"/>
        </w:rPr>
      </w:pPr>
      <w:r>
        <w:rPr>
          <w:color w:val="auto"/>
          <w:kern w:val="0"/>
          <w:sz w:val="22"/>
          <w:szCs w:val="22"/>
          <w:highlight w:val="none"/>
        </w:rPr>
        <w:t>特此承诺！</w:t>
      </w:r>
    </w:p>
    <w:p w14:paraId="1CFF4B44">
      <w:pPr>
        <w:widowControl/>
        <w:spacing w:line="360" w:lineRule="auto"/>
        <w:ind w:firstLine="440" w:firstLineChars="200"/>
        <w:jc w:val="left"/>
        <w:rPr>
          <w:color w:val="auto"/>
          <w:kern w:val="0"/>
          <w:sz w:val="22"/>
          <w:szCs w:val="22"/>
          <w:highlight w:val="none"/>
        </w:rPr>
      </w:pPr>
    </w:p>
    <w:p w14:paraId="1BB9ECA3">
      <w:pPr>
        <w:widowControl/>
        <w:spacing w:line="360" w:lineRule="auto"/>
        <w:ind w:firstLine="440" w:firstLineChars="200"/>
        <w:jc w:val="left"/>
        <w:rPr>
          <w:color w:val="auto"/>
          <w:kern w:val="0"/>
          <w:sz w:val="22"/>
          <w:szCs w:val="22"/>
          <w:highlight w:val="none"/>
        </w:rPr>
      </w:pPr>
      <w:r>
        <w:rPr>
          <w:color w:val="auto"/>
          <w:kern w:val="0"/>
          <w:sz w:val="22"/>
          <w:szCs w:val="22"/>
          <w:highlight w:val="none"/>
        </w:rPr>
        <w:t>供应商名称（盖章） ：</w:t>
      </w:r>
    </w:p>
    <w:p w14:paraId="3C72AF86">
      <w:pPr>
        <w:widowControl/>
        <w:spacing w:line="360" w:lineRule="auto"/>
        <w:ind w:firstLine="440" w:firstLineChars="200"/>
        <w:jc w:val="left"/>
        <w:rPr>
          <w:color w:val="auto"/>
          <w:kern w:val="0"/>
          <w:sz w:val="22"/>
          <w:szCs w:val="22"/>
          <w:highlight w:val="none"/>
        </w:rPr>
      </w:pPr>
      <w:r>
        <w:rPr>
          <w:color w:val="auto"/>
          <w:kern w:val="0"/>
          <w:sz w:val="22"/>
          <w:szCs w:val="22"/>
          <w:highlight w:val="none"/>
        </w:rPr>
        <w:t>法定代表人或其授权代表（签字或盖章）：</w:t>
      </w:r>
    </w:p>
    <w:p w14:paraId="2161DC8F">
      <w:pPr>
        <w:widowControl/>
        <w:spacing w:line="360" w:lineRule="auto"/>
        <w:ind w:firstLine="440" w:firstLineChars="200"/>
        <w:jc w:val="left"/>
        <w:rPr>
          <w:color w:val="auto"/>
          <w:kern w:val="0"/>
          <w:sz w:val="22"/>
          <w:szCs w:val="22"/>
          <w:highlight w:val="none"/>
        </w:rPr>
      </w:pPr>
      <w:r>
        <w:rPr>
          <w:color w:val="auto"/>
          <w:kern w:val="0"/>
          <w:sz w:val="22"/>
          <w:szCs w:val="22"/>
          <w:highlight w:val="none"/>
        </w:rPr>
        <w:t>日期：     年  月  日</w:t>
      </w:r>
    </w:p>
    <w:p w14:paraId="613586FA">
      <w:pPr>
        <w:pStyle w:val="9"/>
        <w:spacing w:line="360" w:lineRule="auto"/>
        <w:ind w:left="442" w:hanging="442"/>
        <w:rPr>
          <w:b/>
          <w:bCs/>
          <w:color w:val="auto"/>
          <w:sz w:val="22"/>
          <w:szCs w:val="22"/>
          <w:highlight w:val="none"/>
        </w:rPr>
      </w:pPr>
    </w:p>
    <w:p w14:paraId="16EF7B0A">
      <w:pPr>
        <w:spacing w:line="360" w:lineRule="auto"/>
        <w:rPr>
          <w:b/>
          <w:color w:val="auto"/>
          <w:kern w:val="36"/>
          <w:sz w:val="22"/>
          <w:szCs w:val="22"/>
          <w:highlight w:val="none"/>
        </w:rPr>
      </w:pPr>
      <w:r>
        <w:rPr>
          <w:b/>
          <w:color w:val="auto"/>
          <w:kern w:val="0"/>
          <w:sz w:val="22"/>
          <w:szCs w:val="22"/>
          <w:highlight w:val="none"/>
        </w:rPr>
        <w:t>（7）.</w:t>
      </w:r>
      <w:r>
        <w:rPr>
          <w:b/>
          <w:color w:val="auto"/>
          <w:kern w:val="36"/>
          <w:sz w:val="22"/>
          <w:szCs w:val="22"/>
          <w:highlight w:val="none"/>
        </w:rPr>
        <w:t>投标供应商没有失信记录承诺函</w:t>
      </w:r>
    </w:p>
    <w:p w14:paraId="0EE3E0C2">
      <w:pPr>
        <w:widowControl/>
        <w:spacing w:line="360" w:lineRule="auto"/>
        <w:jc w:val="left"/>
        <w:rPr>
          <w:color w:val="auto"/>
          <w:kern w:val="0"/>
          <w:sz w:val="22"/>
          <w:szCs w:val="22"/>
          <w:highlight w:val="none"/>
        </w:rPr>
      </w:pPr>
      <w:r>
        <w:rPr>
          <w:color w:val="auto"/>
          <w:kern w:val="0"/>
          <w:sz w:val="22"/>
          <w:szCs w:val="22"/>
          <w:highlight w:val="none"/>
          <w:u w:val="single"/>
        </w:rPr>
        <w:t>（采购人）</w:t>
      </w:r>
      <w:r>
        <w:rPr>
          <w:color w:val="auto"/>
          <w:kern w:val="0"/>
          <w:sz w:val="22"/>
          <w:szCs w:val="22"/>
          <w:highlight w:val="none"/>
        </w:rPr>
        <w:t>：</w:t>
      </w:r>
    </w:p>
    <w:p w14:paraId="1C504851">
      <w:pPr>
        <w:spacing w:line="360" w:lineRule="auto"/>
        <w:ind w:firstLine="444" w:firstLineChars="202"/>
        <w:jc w:val="left"/>
        <w:rPr>
          <w:color w:val="auto"/>
          <w:sz w:val="22"/>
          <w:szCs w:val="22"/>
          <w:highlight w:val="none"/>
        </w:rPr>
      </w:pPr>
      <w:r>
        <w:rPr>
          <w:color w:val="auto"/>
          <w:kern w:val="0"/>
          <w:sz w:val="22"/>
          <w:szCs w:val="22"/>
          <w:highlight w:val="none"/>
        </w:rPr>
        <w:t>我公司郑重承诺：到本项目投标截止时间为止，我公司未被“信用中国”（www.creditchina.gov.cn）、中国政府采购网（www.ccgp.gov.cn）列入失信被执行人名单、重大税收违法案件当事人名单、政府采购严重违法失信行为记录名单。如有隐瞒，愿承担一切责任。</w:t>
      </w:r>
    </w:p>
    <w:p w14:paraId="04752705">
      <w:pPr>
        <w:widowControl/>
        <w:spacing w:line="360" w:lineRule="auto"/>
        <w:ind w:firstLine="440" w:firstLineChars="200"/>
        <w:jc w:val="left"/>
        <w:rPr>
          <w:color w:val="auto"/>
          <w:kern w:val="0"/>
          <w:sz w:val="22"/>
          <w:szCs w:val="22"/>
          <w:highlight w:val="none"/>
        </w:rPr>
      </w:pPr>
      <w:r>
        <w:rPr>
          <w:color w:val="auto"/>
          <w:kern w:val="0"/>
          <w:sz w:val="22"/>
          <w:szCs w:val="22"/>
          <w:highlight w:val="none"/>
        </w:rPr>
        <w:t>特此承诺！</w:t>
      </w:r>
    </w:p>
    <w:p w14:paraId="18CA70ED">
      <w:pPr>
        <w:widowControl/>
        <w:spacing w:line="360" w:lineRule="auto"/>
        <w:ind w:firstLine="440" w:firstLineChars="200"/>
        <w:jc w:val="left"/>
        <w:rPr>
          <w:color w:val="auto"/>
          <w:kern w:val="0"/>
          <w:sz w:val="22"/>
          <w:szCs w:val="22"/>
          <w:highlight w:val="none"/>
        </w:rPr>
      </w:pPr>
      <w:r>
        <w:rPr>
          <w:color w:val="auto"/>
          <w:kern w:val="0"/>
          <w:sz w:val="22"/>
          <w:szCs w:val="22"/>
          <w:highlight w:val="none"/>
        </w:rPr>
        <w:t>供应商名称（盖章） ：</w:t>
      </w:r>
    </w:p>
    <w:p w14:paraId="113EF846">
      <w:pPr>
        <w:widowControl/>
        <w:spacing w:line="360" w:lineRule="auto"/>
        <w:ind w:firstLine="440" w:firstLineChars="200"/>
        <w:jc w:val="left"/>
        <w:rPr>
          <w:color w:val="auto"/>
          <w:kern w:val="0"/>
          <w:sz w:val="22"/>
          <w:szCs w:val="22"/>
          <w:highlight w:val="none"/>
        </w:rPr>
      </w:pPr>
      <w:r>
        <w:rPr>
          <w:color w:val="auto"/>
          <w:kern w:val="0"/>
          <w:sz w:val="22"/>
          <w:szCs w:val="22"/>
          <w:highlight w:val="none"/>
        </w:rPr>
        <w:t>法定代表人或其授权代表（签字或盖章）：</w:t>
      </w:r>
    </w:p>
    <w:p w14:paraId="061B08AC">
      <w:pPr>
        <w:widowControl/>
        <w:spacing w:line="360" w:lineRule="auto"/>
        <w:ind w:firstLine="440" w:firstLineChars="200"/>
        <w:jc w:val="left"/>
        <w:rPr>
          <w:b/>
          <w:color w:val="auto"/>
          <w:kern w:val="0"/>
          <w:sz w:val="22"/>
          <w:szCs w:val="22"/>
          <w:highlight w:val="none"/>
        </w:rPr>
      </w:pPr>
      <w:r>
        <w:rPr>
          <w:color w:val="auto"/>
          <w:kern w:val="0"/>
          <w:sz w:val="22"/>
          <w:szCs w:val="22"/>
          <w:highlight w:val="none"/>
        </w:rPr>
        <w:t>日期：     年  月  日</w:t>
      </w:r>
    </w:p>
    <w:p w14:paraId="466EA7EE">
      <w:pPr>
        <w:widowControl/>
        <w:spacing w:line="360" w:lineRule="auto"/>
        <w:jc w:val="left"/>
        <w:rPr>
          <w:b/>
          <w:color w:val="auto"/>
          <w:kern w:val="0"/>
          <w:sz w:val="22"/>
          <w:szCs w:val="22"/>
          <w:highlight w:val="none"/>
        </w:rPr>
      </w:pPr>
      <w:r>
        <w:rPr>
          <w:b/>
          <w:color w:val="auto"/>
          <w:kern w:val="0"/>
          <w:sz w:val="22"/>
          <w:szCs w:val="22"/>
          <w:highlight w:val="none"/>
        </w:rPr>
        <w:t>（8）.投标保证金缴纳凭证</w:t>
      </w:r>
    </w:p>
    <w:p w14:paraId="3FFA7119">
      <w:pPr>
        <w:pStyle w:val="12"/>
        <w:spacing w:line="324" w:lineRule="auto"/>
        <w:ind w:right="-153" w:rightChars="-73"/>
        <w:jc w:val="both"/>
        <w:rPr>
          <w:color w:val="auto"/>
          <w:sz w:val="22"/>
          <w:szCs w:val="22"/>
          <w:highlight w:val="none"/>
        </w:rPr>
      </w:pPr>
      <w:r>
        <w:rPr>
          <w:rFonts w:ascii="Times New Roman" w:hAnsi="Times New Roman"/>
          <w:b/>
          <w:bCs/>
          <w:color w:val="auto"/>
          <w:sz w:val="22"/>
          <w:szCs w:val="22"/>
          <w:highlight w:val="none"/>
        </w:rPr>
        <w:t>（9）.诚信投标承诺书</w:t>
      </w:r>
    </w:p>
    <w:p w14:paraId="384B60F0">
      <w:pPr>
        <w:spacing w:line="520" w:lineRule="exact"/>
        <w:ind w:right="-153" w:rightChars="-73"/>
        <w:rPr>
          <w:color w:val="auto"/>
          <w:sz w:val="22"/>
          <w:szCs w:val="22"/>
          <w:highlight w:val="none"/>
        </w:rPr>
      </w:pPr>
      <w:r>
        <w:rPr>
          <w:color w:val="auto"/>
          <w:sz w:val="22"/>
          <w:szCs w:val="22"/>
          <w:highlight w:val="none"/>
        </w:rPr>
        <w:t>本企业郑重承诺：</w:t>
      </w:r>
    </w:p>
    <w:p w14:paraId="4BB12DEF">
      <w:pPr>
        <w:spacing w:line="500" w:lineRule="exact"/>
        <w:ind w:firstLine="440" w:firstLineChars="200"/>
        <w:rPr>
          <w:color w:val="auto"/>
          <w:sz w:val="22"/>
          <w:szCs w:val="22"/>
          <w:highlight w:val="none"/>
        </w:rPr>
      </w:pPr>
      <w:r>
        <w:rPr>
          <w:color w:val="auto"/>
          <w:sz w:val="22"/>
          <w:szCs w:val="22"/>
          <w:highlight w:val="none"/>
        </w:rPr>
        <w:t>为了积极配合贵公司组织的</w:t>
      </w:r>
      <w:r>
        <w:rPr>
          <w:color w:val="auto"/>
          <w:sz w:val="22"/>
          <w:szCs w:val="22"/>
          <w:highlight w:val="none"/>
          <w:u w:val="single"/>
        </w:rPr>
        <w:t xml:space="preserve"> （项目名称） </w:t>
      </w:r>
      <w:r>
        <w:rPr>
          <w:color w:val="auto"/>
          <w:sz w:val="22"/>
          <w:szCs w:val="22"/>
          <w:highlight w:val="none"/>
        </w:rPr>
        <w:t>采购工作，有效遏制不公平竞争和违规违纪问题的发生，确保采购工作的公平、公正、公开，我们保证认真贯彻《</w:t>
      </w:r>
      <w:r>
        <w:rPr>
          <w:color w:val="auto"/>
          <w:kern w:val="0"/>
          <w:sz w:val="22"/>
          <w:szCs w:val="22"/>
          <w:highlight w:val="none"/>
        </w:rPr>
        <w:t>温州市市属国有企业采购管理办法</w:t>
      </w:r>
      <w:r>
        <w:rPr>
          <w:color w:val="auto"/>
          <w:sz w:val="22"/>
          <w:szCs w:val="22"/>
          <w:highlight w:val="none"/>
        </w:rPr>
        <w:t>》及有关法律、法规相关规定以及有关廉洁要求，特承诺如下事项：</w:t>
      </w:r>
    </w:p>
    <w:p w14:paraId="218210EB">
      <w:pPr>
        <w:numPr>
          <w:ilvl w:val="0"/>
          <w:numId w:val="16"/>
        </w:numPr>
        <w:spacing w:line="500" w:lineRule="exact"/>
        <w:ind w:left="0" w:firstLine="385"/>
        <w:rPr>
          <w:color w:val="auto"/>
          <w:highlight w:val="none"/>
        </w:rPr>
      </w:pPr>
      <w:r>
        <w:rPr>
          <w:color w:val="auto"/>
          <w:sz w:val="22"/>
          <w:szCs w:val="22"/>
          <w:highlight w:val="none"/>
        </w:rPr>
        <w:t>自觉遵守国家法律法规及有关廉政建设制度。</w:t>
      </w:r>
    </w:p>
    <w:p w14:paraId="4FF22C37">
      <w:pPr>
        <w:numPr>
          <w:ilvl w:val="0"/>
          <w:numId w:val="16"/>
        </w:numPr>
        <w:spacing w:line="500" w:lineRule="exact"/>
        <w:ind w:left="0" w:firstLine="385"/>
        <w:rPr>
          <w:color w:val="auto"/>
          <w:sz w:val="22"/>
          <w:szCs w:val="22"/>
          <w:highlight w:val="none"/>
        </w:rPr>
      </w:pPr>
      <w:r>
        <w:rPr>
          <w:color w:val="auto"/>
          <w:sz w:val="22"/>
          <w:szCs w:val="22"/>
          <w:highlight w:val="none"/>
        </w:rPr>
        <w:t>主动了解采购人招投标纪律，积极配合采购人执行招投标廉政建设的有关规定。</w:t>
      </w:r>
    </w:p>
    <w:p w14:paraId="6FB8DB33">
      <w:pPr>
        <w:numPr>
          <w:ilvl w:val="0"/>
          <w:numId w:val="16"/>
        </w:numPr>
        <w:spacing w:line="500" w:lineRule="exact"/>
        <w:ind w:left="0" w:firstLine="385"/>
        <w:rPr>
          <w:color w:val="auto"/>
          <w:sz w:val="22"/>
          <w:szCs w:val="22"/>
          <w:highlight w:val="none"/>
        </w:rPr>
      </w:pPr>
      <w:r>
        <w:rPr>
          <w:color w:val="auto"/>
          <w:sz w:val="22"/>
          <w:szCs w:val="22"/>
          <w:highlight w:val="none"/>
        </w:rPr>
        <w:t>不使用不正当手段妨碍、排挤其它投标人或串通投标。</w:t>
      </w:r>
    </w:p>
    <w:p w14:paraId="23911D5B">
      <w:pPr>
        <w:numPr>
          <w:ilvl w:val="0"/>
          <w:numId w:val="16"/>
        </w:numPr>
        <w:spacing w:line="500" w:lineRule="exact"/>
        <w:ind w:left="0" w:firstLine="385"/>
        <w:rPr>
          <w:color w:val="auto"/>
          <w:sz w:val="22"/>
          <w:szCs w:val="22"/>
          <w:highlight w:val="none"/>
        </w:rPr>
      </w:pPr>
      <w:r>
        <w:rPr>
          <w:color w:val="auto"/>
          <w:sz w:val="22"/>
          <w:szCs w:val="22"/>
          <w:highlight w:val="none"/>
        </w:rPr>
        <w:t>按照本采购文件规定的方式进行投标，不隐瞒本单位投标资质的真实情况，投标资质符合规定。</w:t>
      </w:r>
    </w:p>
    <w:p w14:paraId="71FB2AB9">
      <w:pPr>
        <w:numPr>
          <w:ilvl w:val="0"/>
          <w:numId w:val="16"/>
        </w:numPr>
        <w:spacing w:line="500" w:lineRule="exact"/>
        <w:ind w:left="0" w:firstLine="385"/>
        <w:rPr>
          <w:color w:val="auto"/>
          <w:sz w:val="22"/>
          <w:szCs w:val="22"/>
          <w:highlight w:val="none"/>
        </w:rPr>
      </w:pPr>
      <w:r>
        <w:rPr>
          <w:color w:val="auto"/>
          <w:sz w:val="22"/>
          <w:szCs w:val="22"/>
          <w:highlight w:val="none"/>
        </w:rPr>
        <w:t>不以任何方式向采购人员赠送礼品、礼金及有价证券；不宴请或邀请采购人的任何人参加高档娱乐消费、旅游、考察、参观等活动；不以任何形式报销采购人的任何人以及亲友的各种票据及费用；不进行可能影响招投标公平、公正的任何活动。</w:t>
      </w:r>
    </w:p>
    <w:p w14:paraId="0EB3753D">
      <w:pPr>
        <w:numPr>
          <w:ilvl w:val="0"/>
          <w:numId w:val="16"/>
        </w:numPr>
        <w:spacing w:line="500" w:lineRule="exact"/>
        <w:ind w:left="0" w:firstLine="385"/>
        <w:rPr>
          <w:color w:val="auto"/>
          <w:sz w:val="22"/>
          <w:szCs w:val="22"/>
          <w:highlight w:val="none"/>
        </w:rPr>
      </w:pPr>
      <w:r>
        <w:rPr>
          <w:color w:val="auto"/>
          <w:sz w:val="22"/>
          <w:szCs w:val="22"/>
          <w:highlight w:val="none"/>
        </w:rPr>
        <w:t>不向采购人及个人购置或提供通讯工具、交通工具和高档办公用品等。</w:t>
      </w:r>
    </w:p>
    <w:p w14:paraId="6893D57E">
      <w:pPr>
        <w:numPr>
          <w:ilvl w:val="0"/>
          <w:numId w:val="16"/>
        </w:numPr>
        <w:spacing w:line="500" w:lineRule="exact"/>
        <w:ind w:left="0" w:firstLine="385"/>
        <w:rPr>
          <w:color w:val="auto"/>
          <w:sz w:val="22"/>
          <w:szCs w:val="22"/>
          <w:highlight w:val="none"/>
        </w:rPr>
      </w:pPr>
      <w:r>
        <w:rPr>
          <w:color w:val="auto"/>
          <w:sz w:val="22"/>
          <w:szCs w:val="22"/>
          <w:highlight w:val="none"/>
        </w:rPr>
        <w:t>不向采购人涉及采购的人员的配偶、子女分包此次采购项目。</w:t>
      </w:r>
    </w:p>
    <w:p w14:paraId="14FB022C">
      <w:pPr>
        <w:numPr>
          <w:ilvl w:val="0"/>
          <w:numId w:val="16"/>
        </w:numPr>
        <w:spacing w:line="500" w:lineRule="exact"/>
        <w:ind w:left="0" w:firstLine="385"/>
        <w:rPr>
          <w:color w:val="auto"/>
          <w:sz w:val="22"/>
          <w:szCs w:val="22"/>
          <w:highlight w:val="none"/>
        </w:rPr>
      </w:pPr>
      <w:r>
        <w:rPr>
          <w:color w:val="auto"/>
          <w:sz w:val="22"/>
          <w:szCs w:val="22"/>
          <w:highlight w:val="none"/>
        </w:rPr>
        <w:t>不向采购人及个人支付好处费、介绍费。</w:t>
      </w:r>
    </w:p>
    <w:p w14:paraId="76059870">
      <w:pPr>
        <w:numPr>
          <w:ilvl w:val="0"/>
          <w:numId w:val="16"/>
        </w:numPr>
        <w:spacing w:line="500" w:lineRule="exact"/>
        <w:ind w:left="0" w:firstLine="385"/>
        <w:rPr>
          <w:color w:val="auto"/>
          <w:sz w:val="22"/>
          <w:szCs w:val="22"/>
          <w:highlight w:val="none"/>
        </w:rPr>
      </w:pPr>
      <w:r>
        <w:rPr>
          <w:color w:val="auto"/>
          <w:sz w:val="22"/>
          <w:szCs w:val="22"/>
          <w:highlight w:val="none"/>
        </w:rPr>
        <w:t>一旦发现相关人员在采购过程中的索要财物等不廉洁行为，坚决予以抵制，并及时向有关纪检监察部门举报。</w:t>
      </w:r>
    </w:p>
    <w:p w14:paraId="0AB883B7">
      <w:pPr>
        <w:numPr>
          <w:ilvl w:val="0"/>
          <w:numId w:val="16"/>
        </w:numPr>
        <w:spacing w:line="500" w:lineRule="exact"/>
        <w:ind w:left="0" w:firstLine="385"/>
        <w:rPr>
          <w:color w:val="auto"/>
          <w:sz w:val="22"/>
          <w:szCs w:val="22"/>
          <w:highlight w:val="none"/>
        </w:rPr>
      </w:pPr>
      <w:r>
        <w:rPr>
          <w:color w:val="auto"/>
          <w:sz w:val="22"/>
          <w:szCs w:val="22"/>
          <w:highlight w:val="none"/>
        </w:rPr>
        <w:t>我们若违反上述承诺，愿接受取消投标人资格及其他任何形式的处理。</w:t>
      </w:r>
    </w:p>
    <w:p w14:paraId="6C08D31B">
      <w:pPr>
        <w:spacing w:line="500" w:lineRule="exact"/>
        <w:ind w:firstLine="385" w:firstLineChars="175"/>
        <w:rPr>
          <w:color w:val="auto"/>
          <w:sz w:val="22"/>
          <w:szCs w:val="22"/>
          <w:highlight w:val="none"/>
        </w:rPr>
      </w:pPr>
    </w:p>
    <w:p w14:paraId="1CA1235E">
      <w:pPr>
        <w:spacing w:line="380" w:lineRule="exact"/>
        <w:ind w:firstLine="4400" w:firstLineChars="2000"/>
        <w:rPr>
          <w:color w:val="auto"/>
          <w:sz w:val="22"/>
          <w:szCs w:val="22"/>
          <w:highlight w:val="none"/>
        </w:rPr>
      </w:pPr>
      <w:r>
        <w:rPr>
          <w:color w:val="auto"/>
          <w:sz w:val="22"/>
          <w:szCs w:val="22"/>
          <w:highlight w:val="none"/>
        </w:rPr>
        <w:t>投标人名称（盖章）：</w:t>
      </w:r>
    </w:p>
    <w:p w14:paraId="3B8F6AB1">
      <w:pPr>
        <w:spacing w:line="380" w:lineRule="exact"/>
        <w:ind w:firstLine="4400" w:firstLineChars="2000"/>
        <w:rPr>
          <w:color w:val="auto"/>
          <w:sz w:val="22"/>
          <w:szCs w:val="22"/>
          <w:highlight w:val="none"/>
        </w:rPr>
      </w:pPr>
      <w:r>
        <w:rPr>
          <w:color w:val="auto"/>
          <w:sz w:val="22"/>
          <w:szCs w:val="22"/>
          <w:highlight w:val="none"/>
        </w:rPr>
        <w:t>法定代表人或授权代表（签字或盖章）：</w:t>
      </w:r>
    </w:p>
    <w:p w14:paraId="615B6910">
      <w:pPr>
        <w:spacing w:line="380" w:lineRule="exact"/>
        <w:ind w:firstLine="4400" w:firstLineChars="2000"/>
        <w:rPr>
          <w:color w:val="auto"/>
          <w:highlight w:val="none"/>
        </w:rPr>
      </w:pPr>
      <w:r>
        <w:rPr>
          <w:color w:val="auto"/>
          <w:sz w:val="22"/>
          <w:szCs w:val="22"/>
          <w:highlight w:val="none"/>
        </w:rPr>
        <w:t>日期：  年   月  日</w:t>
      </w:r>
    </w:p>
    <w:p w14:paraId="2E6313A8">
      <w:pPr>
        <w:spacing w:line="360" w:lineRule="auto"/>
        <w:rPr>
          <w:b/>
          <w:color w:val="auto"/>
          <w:kern w:val="0"/>
          <w:sz w:val="22"/>
          <w:szCs w:val="22"/>
          <w:highlight w:val="none"/>
        </w:rPr>
        <w:sectPr>
          <w:pgSz w:w="11906" w:h="16838"/>
          <w:pgMar w:top="1134" w:right="1134" w:bottom="1134" w:left="1134" w:header="851" w:footer="851" w:gutter="0"/>
          <w:pgBorders>
            <w:top w:val="none" w:sz="0" w:space="0"/>
            <w:left w:val="none" w:sz="0" w:space="0"/>
            <w:bottom w:val="none" w:sz="0" w:space="0"/>
            <w:right w:val="none" w:sz="0" w:space="0"/>
          </w:pgBorders>
          <w:cols w:space="720" w:num="1"/>
          <w:docGrid w:linePitch="312" w:charSpace="0"/>
        </w:sectPr>
      </w:pPr>
    </w:p>
    <w:p w14:paraId="6D7A2B77">
      <w:pPr>
        <w:spacing w:line="360" w:lineRule="auto"/>
        <w:rPr>
          <w:b/>
          <w:color w:val="auto"/>
          <w:sz w:val="28"/>
          <w:szCs w:val="28"/>
          <w:highlight w:val="none"/>
        </w:rPr>
      </w:pPr>
      <w:r>
        <w:rPr>
          <w:b/>
          <w:color w:val="auto"/>
          <w:kern w:val="0"/>
          <w:sz w:val="22"/>
          <w:szCs w:val="22"/>
          <w:highlight w:val="none"/>
        </w:rPr>
        <w:t>（10）.</w:t>
      </w:r>
      <w:r>
        <w:rPr>
          <w:b/>
          <w:bCs/>
          <w:color w:val="auto"/>
          <w:sz w:val="22"/>
          <w:szCs w:val="22"/>
          <w:highlight w:val="none"/>
        </w:rPr>
        <w:t>法定代表人（法定负责人）授权书</w:t>
      </w:r>
    </w:p>
    <w:p w14:paraId="706DA643">
      <w:pPr>
        <w:spacing w:line="360" w:lineRule="auto"/>
        <w:jc w:val="center"/>
        <w:rPr>
          <w:b/>
          <w:color w:val="auto"/>
          <w:szCs w:val="21"/>
          <w:highlight w:val="none"/>
        </w:rPr>
      </w:pPr>
      <w:r>
        <w:rPr>
          <w:b/>
          <w:color w:val="auto"/>
          <w:sz w:val="28"/>
          <w:szCs w:val="28"/>
          <w:highlight w:val="none"/>
        </w:rPr>
        <w:t>法定代表人授权书</w:t>
      </w:r>
    </w:p>
    <w:p w14:paraId="371AF33A">
      <w:pPr>
        <w:spacing w:line="360" w:lineRule="auto"/>
        <w:rPr>
          <w:color w:val="auto"/>
          <w:sz w:val="22"/>
          <w:szCs w:val="22"/>
          <w:highlight w:val="none"/>
        </w:rPr>
      </w:pPr>
      <w:r>
        <w:rPr>
          <w:rFonts w:hint="eastAsia"/>
          <w:color w:val="auto"/>
          <w:sz w:val="22"/>
          <w:szCs w:val="22"/>
          <w:highlight w:val="none"/>
          <w:lang w:eastAsia="zh-CN"/>
        </w:rPr>
        <w:t>温州市数据集团有限公司</w:t>
      </w:r>
      <w:r>
        <w:rPr>
          <w:color w:val="auto"/>
          <w:sz w:val="22"/>
          <w:szCs w:val="22"/>
          <w:highlight w:val="none"/>
        </w:rPr>
        <w:t>：</w:t>
      </w:r>
    </w:p>
    <w:p w14:paraId="660CA30C">
      <w:pPr>
        <w:spacing w:line="360" w:lineRule="auto"/>
        <w:ind w:firstLine="550" w:firstLineChars="250"/>
        <w:rPr>
          <w:color w:val="auto"/>
          <w:sz w:val="22"/>
          <w:szCs w:val="22"/>
          <w:highlight w:val="none"/>
        </w:rPr>
      </w:pPr>
      <w:r>
        <w:rPr>
          <w:color w:val="auto"/>
          <w:sz w:val="22"/>
          <w:szCs w:val="22"/>
          <w:highlight w:val="none"/>
          <w:u w:val="single"/>
        </w:rPr>
        <w:t xml:space="preserve">                   </w:t>
      </w:r>
      <w:r>
        <w:rPr>
          <w:color w:val="auto"/>
          <w:sz w:val="22"/>
          <w:szCs w:val="22"/>
          <w:highlight w:val="none"/>
        </w:rPr>
        <w:t>（供应商全称）法定代表人</w:t>
      </w:r>
      <w:r>
        <w:rPr>
          <w:color w:val="auto"/>
          <w:sz w:val="22"/>
          <w:szCs w:val="22"/>
          <w:highlight w:val="none"/>
          <w:u w:val="single"/>
        </w:rPr>
        <w:t xml:space="preserve">            </w:t>
      </w:r>
      <w:r>
        <w:rPr>
          <w:color w:val="auto"/>
          <w:sz w:val="22"/>
          <w:szCs w:val="22"/>
          <w:highlight w:val="none"/>
        </w:rPr>
        <w:t>授权</w:t>
      </w:r>
      <w:r>
        <w:rPr>
          <w:color w:val="auto"/>
          <w:sz w:val="22"/>
          <w:szCs w:val="22"/>
          <w:highlight w:val="none"/>
          <w:u w:val="single"/>
        </w:rPr>
        <w:t xml:space="preserve">           </w:t>
      </w:r>
      <w:r>
        <w:rPr>
          <w:color w:val="auto"/>
          <w:sz w:val="22"/>
          <w:szCs w:val="22"/>
          <w:highlight w:val="none"/>
        </w:rPr>
        <w:t>（全权代表姓名）为全权代表，参加贵处组织的</w:t>
      </w:r>
      <w:r>
        <w:rPr>
          <w:color w:val="auto"/>
          <w:sz w:val="22"/>
          <w:szCs w:val="22"/>
          <w:highlight w:val="none"/>
          <w:u w:val="single"/>
        </w:rPr>
        <w:t xml:space="preserve">              </w:t>
      </w:r>
      <w:r>
        <w:rPr>
          <w:color w:val="auto"/>
          <w:sz w:val="22"/>
          <w:szCs w:val="22"/>
          <w:highlight w:val="none"/>
        </w:rPr>
        <w:t>（采购项目名称、编号）的采购活动，全权代表我方处理采购活动中的一切事宜。</w:t>
      </w:r>
    </w:p>
    <w:p w14:paraId="1D8508FF">
      <w:pPr>
        <w:spacing w:line="360" w:lineRule="auto"/>
        <w:ind w:firstLine="2955"/>
        <w:rPr>
          <w:color w:val="auto"/>
          <w:sz w:val="22"/>
          <w:szCs w:val="22"/>
          <w:highlight w:val="none"/>
        </w:rPr>
      </w:pPr>
    </w:p>
    <w:p w14:paraId="1A8C03BB">
      <w:pPr>
        <w:spacing w:line="360" w:lineRule="auto"/>
        <w:ind w:firstLine="2955"/>
        <w:rPr>
          <w:color w:val="auto"/>
          <w:sz w:val="22"/>
          <w:szCs w:val="22"/>
          <w:highlight w:val="none"/>
        </w:rPr>
      </w:pPr>
      <w:r>
        <w:rPr>
          <w:color w:val="auto"/>
          <w:sz w:val="22"/>
          <w:szCs w:val="22"/>
          <w:highlight w:val="none"/>
        </w:rPr>
        <w:t xml:space="preserve">         </w:t>
      </w:r>
    </w:p>
    <w:p w14:paraId="6677130B">
      <w:pPr>
        <w:spacing w:line="360" w:lineRule="auto"/>
        <w:ind w:left="15" w:hanging="15" w:hangingChars="7"/>
        <w:rPr>
          <w:color w:val="auto"/>
          <w:sz w:val="22"/>
          <w:szCs w:val="22"/>
          <w:highlight w:val="none"/>
        </w:rPr>
      </w:pPr>
      <w:r>
        <w:rPr>
          <w:color w:val="auto"/>
          <w:sz w:val="22"/>
          <w:szCs w:val="22"/>
          <w:highlight w:val="none"/>
        </w:rPr>
        <w:t>供应商全称（盖章）：</w:t>
      </w:r>
    </w:p>
    <w:p w14:paraId="043454AA">
      <w:pPr>
        <w:spacing w:line="360" w:lineRule="auto"/>
        <w:ind w:left="15" w:hanging="15" w:hangingChars="7"/>
        <w:rPr>
          <w:color w:val="auto"/>
          <w:sz w:val="22"/>
          <w:szCs w:val="22"/>
          <w:highlight w:val="none"/>
        </w:rPr>
      </w:pPr>
      <w:r>
        <w:rPr>
          <w:color w:val="auto"/>
          <w:sz w:val="22"/>
          <w:szCs w:val="22"/>
          <w:highlight w:val="none"/>
        </w:rPr>
        <w:t>法定代表人（签字或盖章）：</w:t>
      </w:r>
    </w:p>
    <w:p w14:paraId="7C554240">
      <w:pPr>
        <w:spacing w:line="360" w:lineRule="auto"/>
        <w:ind w:left="15" w:hanging="15" w:hangingChars="7"/>
        <w:rPr>
          <w:color w:val="auto"/>
          <w:sz w:val="22"/>
          <w:szCs w:val="22"/>
          <w:highlight w:val="none"/>
        </w:rPr>
      </w:pPr>
      <w:r>
        <w:rPr>
          <w:color w:val="auto"/>
          <w:sz w:val="22"/>
          <w:szCs w:val="22"/>
          <w:highlight w:val="none"/>
        </w:rPr>
        <w:t>日 期：  年  月  日</w:t>
      </w:r>
    </w:p>
    <w:p w14:paraId="34C3AB43">
      <w:pPr>
        <w:spacing w:line="360" w:lineRule="auto"/>
        <w:rPr>
          <w:color w:val="auto"/>
          <w:sz w:val="22"/>
          <w:szCs w:val="22"/>
          <w:highlight w:val="none"/>
        </w:rPr>
      </w:pPr>
    </w:p>
    <w:p w14:paraId="5B4C687B">
      <w:pPr>
        <w:spacing w:line="360" w:lineRule="auto"/>
        <w:rPr>
          <w:color w:val="auto"/>
          <w:sz w:val="22"/>
          <w:szCs w:val="22"/>
          <w:highlight w:val="none"/>
        </w:rPr>
      </w:pPr>
    </w:p>
    <w:p w14:paraId="6B0313B0">
      <w:pPr>
        <w:spacing w:line="360" w:lineRule="auto"/>
        <w:rPr>
          <w:color w:val="auto"/>
          <w:sz w:val="22"/>
          <w:szCs w:val="22"/>
          <w:highlight w:val="none"/>
        </w:rPr>
      </w:pPr>
      <w:r>
        <w:rPr>
          <w:color w:val="auto"/>
          <w:sz w:val="22"/>
          <w:szCs w:val="22"/>
          <w:highlight w:val="none"/>
        </w:rPr>
        <w:t>附：</w:t>
      </w:r>
    </w:p>
    <w:p w14:paraId="1D636816">
      <w:pPr>
        <w:spacing w:line="360" w:lineRule="auto"/>
        <w:ind w:firstLine="220" w:firstLineChars="100"/>
        <w:rPr>
          <w:color w:val="auto"/>
          <w:sz w:val="22"/>
          <w:szCs w:val="22"/>
          <w:highlight w:val="none"/>
        </w:rPr>
      </w:pPr>
      <w:r>
        <w:rPr>
          <w:color w:val="auto"/>
          <w:sz w:val="22"/>
          <w:szCs w:val="22"/>
          <w:highlight w:val="none"/>
        </w:rPr>
        <w:t>授权代表姓名：</w:t>
      </w:r>
    </w:p>
    <w:p w14:paraId="3E11E07B">
      <w:pPr>
        <w:spacing w:line="360" w:lineRule="auto"/>
        <w:ind w:firstLine="220" w:firstLineChars="100"/>
        <w:rPr>
          <w:color w:val="auto"/>
          <w:sz w:val="22"/>
          <w:szCs w:val="22"/>
          <w:highlight w:val="none"/>
        </w:rPr>
      </w:pPr>
      <w:r>
        <w:rPr>
          <w:color w:val="auto"/>
          <w:sz w:val="22"/>
          <w:szCs w:val="22"/>
          <w:highlight w:val="none"/>
        </w:rPr>
        <w:t>职务：</w:t>
      </w:r>
    </w:p>
    <w:p w14:paraId="18C149DC">
      <w:pPr>
        <w:spacing w:line="360" w:lineRule="auto"/>
        <w:ind w:firstLine="220" w:firstLineChars="100"/>
        <w:rPr>
          <w:color w:val="auto"/>
          <w:sz w:val="22"/>
          <w:szCs w:val="22"/>
          <w:highlight w:val="none"/>
        </w:rPr>
      </w:pPr>
      <w:r>
        <w:rPr>
          <w:color w:val="auto"/>
          <w:sz w:val="22"/>
          <w:szCs w:val="22"/>
          <w:highlight w:val="none"/>
        </w:rPr>
        <w:t>详细通讯地址：</w:t>
      </w:r>
    </w:p>
    <w:p w14:paraId="27754866">
      <w:pPr>
        <w:spacing w:line="360" w:lineRule="auto"/>
        <w:ind w:firstLine="220" w:firstLineChars="100"/>
        <w:rPr>
          <w:color w:val="auto"/>
          <w:sz w:val="22"/>
          <w:szCs w:val="22"/>
          <w:highlight w:val="none"/>
        </w:rPr>
      </w:pPr>
      <w:r>
        <w:rPr>
          <w:color w:val="auto"/>
          <w:sz w:val="22"/>
          <w:szCs w:val="22"/>
          <w:highlight w:val="none"/>
        </w:rPr>
        <w:t>电话：</w:t>
      </w:r>
    </w:p>
    <w:p w14:paraId="73159738">
      <w:pPr>
        <w:spacing w:line="360" w:lineRule="auto"/>
        <w:ind w:firstLine="220" w:firstLineChars="100"/>
        <w:rPr>
          <w:color w:val="auto"/>
          <w:sz w:val="22"/>
          <w:szCs w:val="22"/>
          <w:highlight w:val="none"/>
        </w:rPr>
      </w:pPr>
      <w:r>
        <w:rPr>
          <w:color w:val="auto"/>
          <w:sz w:val="22"/>
          <w:szCs w:val="22"/>
          <w:highlight w:val="none"/>
        </w:rPr>
        <w:t>传真：</w:t>
      </w:r>
    </w:p>
    <w:p w14:paraId="2D611FC3">
      <w:pPr>
        <w:spacing w:line="360" w:lineRule="auto"/>
        <w:ind w:firstLine="220" w:firstLineChars="100"/>
        <w:rPr>
          <w:color w:val="auto"/>
          <w:sz w:val="22"/>
          <w:szCs w:val="22"/>
          <w:highlight w:val="none"/>
        </w:rPr>
      </w:pPr>
      <w:r>
        <w:rPr>
          <w:color w:val="auto"/>
          <w:sz w:val="22"/>
          <w:szCs w:val="22"/>
          <w:highlight w:val="none"/>
        </w:rPr>
        <w:t>邮政编码:</w:t>
      </w:r>
    </w:p>
    <w:tbl>
      <w:tblPr>
        <w:tblStyle w:val="29"/>
        <w:tblW w:w="0" w:type="auto"/>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9854"/>
      </w:tblGrid>
      <w:tr w14:paraId="35F3FDB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299" w:hRule="atLeast"/>
        </w:trPr>
        <w:tc>
          <w:tcPr>
            <w:tcW w:w="9854" w:type="dxa"/>
            <w:vAlign w:val="center"/>
          </w:tcPr>
          <w:p w14:paraId="558FAB1E">
            <w:pPr>
              <w:spacing w:line="380" w:lineRule="exact"/>
              <w:jc w:val="center"/>
              <w:rPr>
                <w:color w:val="auto"/>
                <w:highlight w:val="none"/>
              </w:rPr>
            </w:pPr>
            <w:r>
              <w:rPr>
                <w:color w:val="auto"/>
                <w:highlight w:val="none"/>
              </w:rPr>
              <w:t>法定代表人及投标人代表身份证正反面复制件</w:t>
            </w:r>
          </w:p>
          <w:p w14:paraId="4564B519">
            <w:pPr>
              <w:spacing w:line="380" w:lineRule="exact"/>
              <w:jc w:val="center"/>
              <w:rPr>
                <w:color w:val="auto"/>
                <w:highlight w:val="none"/>
              </w:rPr>
            </w:pPr>
          </w:p>
          <w:p w14:paraId="48759926">
            <w:pPr>
              <w:rPr>
                <w:color w:val="auto"/>
                <w:highlight w:val="none"/>
              </w:rPr>
            </w:pPr>
          </w:p>
          <w:p w14:paraId="305A37D6">
            <w:pPr>
              <w:tabs>
                <w:tab w:val="left" w:pos="3356"/>
              </w:tabs>
              <w:jc w:val="left"/>
              <w:rPr>
                <w:color w:val="auto"/>
                <w:highlight w:val="none"/>
              </w:rPr>
            </w:pPr>
            <w:r>
              <w:rPr>
                <w:color w:val="auto"/>
                <w:highlight w:val="none"/>
              </w:rPr>
              <w:tab/>
            </w:r>
          </w:p>
        </w:tc>
      </w:tr>
    </w:tbl>
    <w:p w14:paraId="17754672">
      <w:pPr>
        <w:spacing w:line="360" w:lineRule="auto"/>
        <w:rPr>
          <w:b/>
          <w:bCs/>
          <w:color w:val="auto"/>
          <w:sz w:val="22"/>
          <w:szCs w:val="22"/>
          <w:highlight w:val="none"/>
        </w:rPr>
      </w:pPr>
    </w:p>
    <w:p w14:paraId="166E9F82">
      <w:pPr>
        <w:spacing w:line="360" w:lineRule="auto"/>
        <w:rPr>
          <w:b/>
          <w:bCs/>
          <w:color w:val="auto"/>
          <w:sz w:val="22"/>
          <w:szCs w:val="22"/>
          <w:highlight w:val="none"/>
        </w:rPr>
      </w:pPr>
    </w:p>
    <w:p w14:paraId="39697648">
      <w:pPr>
        <w:spacing w:line="360" w:lineRule="auto"/>
        <w:rPr>
          <w:b/>
          <w:bCs/>
          <w:color w:val="auto"/>
          <w:sz w:val="22"/>
          <w:szCs w:val="22"/>
          <w:highlight w:val="none"/>
        </w:rPr>
      </w:pPr>
    </w:p>
    <w:p w14:paraId="289FD662">
      <w:pPr>
        <w:widowControl/>
        <w:autoSpaceDE w:val="0"/>
        <w:spacing w:line="360" w:lineRule="auto"/>
        <w:outlineLvl w:val="1"/>
        <w:rPr>
          <w:b/>
          <w:color w:val="auto"/>
          <w:sz w:val="22"/>
          <w:szCs w:val="22"/>
          <w:highlight w:val="none"/>
          <w:lang w:bidi="ar"/>
        </w:rPr>
        <w:sectPr>
          <w:pgSz w:w="11906" w:h="16838"/>
          <w:pgMar w:top="1134" w:right="1134" w:bottom="1134" w:left="1134" w:header="851" w:footer="851" w:gutter="0"/>
          <w:pgBorders>
            <w:top w:val="none" w:sz="0" w:space="0"/>
            <w:left w:val="none" w:sz="0" w:space="0"/>
            <w:bottom w:val="none" w:sz="0" w:space="0"/>
            <w:right w:val="none" w:sz="0" w:space="0"/>
          </w:pgBorders>
          <w:cols w:space="720" w:num="1"/>
          <w:docGrid w:linePitch="312" w:charSpace="0"/>
        </w:sectPr>
      </w:pPr>
    </w:p>
    <w:p w14:paraId="08BB5D21">
      <w:pPr>
        <w:widowControl/>
        <w:autoSpaceDE w:val="0"/>
        <w:spacing w:line="360" w:lineRule="auto"/>
        <w:jc w:val="center"/>
        <w:outlineLvl w:val="1"/>
        <w:rPr>
          <w:rFonts w:hint="default" w:eastAsia="宋体"/>
          <w:b/>
          <w:color w:val="auto"/>
          <w:sz w:val="22"/>
          <w:szCs w:val="22"/>
          <w:highlight w:val="none"/>
          <w:lang w:val="en-US" w:eastAsia="zh-CN" w:bidi="ar"/>
        </w:rPr>
      </w:pPr>
      <w:r>
        <w:rPr>
          <w:rFonts w:hint="eastAsia"/>
          <w:b/>
          <w:color w:val="auto"/>
          <w:sz w:val="22"/>
          <w:szCs w:val="22"/>
          <w:highlight w:val="none"/>
          <w:lang w:val="en-US" w:eastAsia="zh-CN" w:bidi="ar"/>
        </w:rPr>
        <w:t>二、报价文件</w:t>
      </w:r>
    </w:p>
    <w:p w14:paraId="65663081">
      <w:pPr>
        <w:widowControl/>
        <w:autoSpaceDE w:val="0"/>
        <w:spacing w:line="360" w:lineRule="auto"/>
        <w:outlineLvl w:val="1"/>
        <w:rPr>
          <w:b/>
          <w:bCs/>
          <w:color w:val="auto"/>
          <w:szCs w:val="21"/>
          <w:highlight w:val="none"/>
        </w:rPr>
      </w:pPr>
      <w:r>
        <w:rPr>
          <w:b/>
          <w:color w:val="auto"/>
          <w:sz w:val="22"/>
          <w:szCs w:val="22"/>
          <w:highlight w:val="none"/>
          <w:lang w:bidi="ar"/>
        </w:rPr>
        <w:t>附件二</w:t>
      </w:r>
    </w:p>
    <w:p w14:paraId="05617813">
      <w:pPr>
        <w:spacing w:line="360" w:lineRule="auto"/>
        <w:jc w:val="center"/>
        <w:rPr>
          <w:b/>
          <w:bCs/>
          <w:color w:val="auto"/>
          <w:sz w:val="28"/>
          <w:szCs w:val="28"/>
          <w:highlight w:val="none"/>
        </w:rPr>
      </w:pPr>
      <w:r>
        <w:rPr>
          <w:b/>
          <w:bCs/>
          <w:color w:val="auto"/>
          <w:sz w:val="28"/>
          <w:szCs w:val="28"/>
          <w:highlight w:val="none"/>
        </w:rPr>
        <w:t>开标一览表</w:t>
      </w:r>
    </w:p>
    <w:p w14:paraId="0C48C61D">
      <w:pPr>
        <w:spacing w:line="360" w:lineRule="auto"/>
        <w:jc w:val="center"/>
        <w:rPr>
          <w:b/>
          <w:bCs/>
          <w:color w:val="auto"/>
          <w:szCs w:val="21"/>
          <w:highlight w:val="none"/>
        </w:rPr>
      </w:pPr>
    </w:p>
    <w:p w14:paraId="77AE7B03">
      <w:pPr>
        <w:spacing w:line="360" w:lineRule="auto"/>
        <w:ind w:right="349" w:rightChars="166"/>
        <w:rPr>
          <w:b/>
          <w:color w:val="auto"/>
          <w:sz w:val="22"/>
          <w:szCs w:val="22"/>
          <w:highlight w:val="none"/>
        </w:rPr>
      </w:pPr>
      <w:r>
        <w:rPr>
          <w:b/>
          <w:color w:val="auto"/>
          <w:sz w:val="22"/>
          <w:szCs w:val="22"/>
          <w:highlight w:val="none"/>
        </w:rPr>
        <w:t>采购编号：                                                           单位：元</w:t>
      </w:r>
    </w:p>
    <w:tbl>
      <w:tblPr>
        <w:tblStyle w:val="29"/>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3813"/>
        <w:gridCol w:w="2498"/>
        <w:gridCol w:w="2530"/>
      </w:tblGrid>
      <w:tr w14:paraId="6C823F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3" w:hRule="exact"/>
          <w:jc w:val="center"/>
        </w:trPr>
        <w:tc>
          <w:tcPr>
            <w:tcW w:w="1009" w:type="dxa"/>
            <w:tcBorders>
              <w:tl2br w:val="nil"/>
              <w:tr2bl w:val="nil"/>
            </w:tcBorders>
            <w:vAlign w:val="center"/>
          </w:tcPr>
          <w:p w14:paraId="63016A7B">
            <w:pPr>
              <w:snapToGrid w:val="0"/>
              <w:jc w:val="center"/>
              <w:rPr>
                <w:snapToGrid w:val="0"/>
                <w:color w:val="auto"/>
                <w:kern w:val="0"/>
                <w:sz w:val="22"/>
                <w:szCs w:val="22"/>
                <w:highlight w:val="none"/>
              </w:rPr>
            </w:pPr>
            <w:r>
              <w:rPr>
                <w:snapToGrid w:val="0"/>
                <w:color w:val="auto"/>
                <w:kern w:val="0"/>
                <w:sz w:val="22"/>
                <w:szCs w:val="22"/>
                <w:highlight w:val="none"/>
              </w:rPr>
              <w:t>序号</w:t>
            </w:r>
          </w:p>
        </w:tc>
        <w:tc>
          <w:tcPr>
            <w:tcW w:w="3813" w:type="dxa"/>
            <w:tcBorders>
              <w:tl2br w:val="nil"/>
              <w:tr2bl w:val="nil"/>
            </w:tcBorders>
            <w:vAlign w:val="center"/>
          </w:tcPr>
          <w:p w14:paraId="7C44F889">
            <w:pPr>
              <w:snapToGrid w:val="0"/>
              <w:jc w:val="center"/>
              <w:textAlignment w:val="baseline"/>
              <w:rPr>
                <w:snapToGrid w:val="0"/>
                <w:color w:val="auto"/>
                <w:kern w:val="0"/>
                <w:sz w:val="22"/>
                <w:szCs w:val="22"/>
                <w:highlight w:val="none"/>
              </w:rPr>
            </w:pPr>
            <w:r>
              <w:rPr>
                <w:snapToGrid w:val="0"/>
                <w:color w:val="auto"/>
                <w:kern w:val="0"/>
                <w:sz w:val="22"/>
                <w:szCs w:val="22"/>
                <w:highlight w:val="none"/>
              </w:rPr>
              <w:t>名称</w:t>
            </w:r>
          </w:p>
        </w:tc>
        <w:tc>
          <w:tcPr>
            <w:tcW w:w="2498" w:type="dxa"/>
            <w:tcBorders>
              <w:tl2br w:val="nil"/>
              <w:tr2bl w:val="nil"/>
            </w:tcBorders>
            <w:vAlign w:val="center"/>
          </w:tcPr>
          <w:p w14:paraId="7CFEC364">
            <w:pPr>
              <w:snapToGrid w:val="0"/>
              <w:jc w:val="center"/>
              <w:rPr>
                <w:snapToGrid w:val="0"/>
                <w:color w:val="auto"/>
                <w:kern w:val="0"/>
                <w:sz w:val="22"/>
                <w:szCs w:val="22"/>
                <w:highlight w:val="none"/>
              </w:rPr>
            </w:pPr>
            <w:r>
              <w:rPr>
                <w:snapToGrid w:val="0"/>
                <w:color w:val="auto"/>
                <w:kern w:val="0"/>
                <w:sz w:val="22"/>
                <w:szCs w:val="22"/>
                <w:highlight w:val="none"/>
              </w:rPr>
              <w:t>投标报价（元）</w:t>
            </w:r>
          </w:p>
        </w:tc>
        <w:tc>
          <w:tcPr>
            <w:tcW w:w="2530" w:type="dxa"/>
            <w:tcBorders>
              <w:tl2br w:val="nil"/>
              <w:tr2bl w:val="nil"/>
            </w:tcBorders>
            <w:vAlign w:val="center"/>
          </w:tcPr>
          <w:p w14:paraId="4363B464">
            <w:pPr>
              <w:snapToGrid w:val="0"/>
              <w:jc w:val="center"/>
              <w:textAlignment w:val="baseline"/>
              <w:rPr>
                <w:snapToGrid w:val="0"/>
                <w:color w:val="auto"/>
                <w:kern w:val="0"/>
                <w:sz w:val="22"/>
                <w:szCs w:val="22"/>
                <w:highlight w:val="none"/>
              </w:rPr>
            </w:pPr>
            <w:r>
              <w:rPr>
                <w:snapToGrid w:val="0"/>
                <w:color w:val="auto"/>
                <w:kern w:val="0"/>
                <w:sz w:val="22"/>
                <w:szCs w:val="22"/>
                <w:highlight w:val="none"/>
              </w:rPr>
              <w:t>备  注</w:t>
            </w:r>
          </w:p>
        </w:tc>
      </w:tr>
      <w:tr w14:paraId="46DCC6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10" w:hRule="atLeast"/>
          <w:jc w:val="center"/>
        </w:trPr>
        <w:tc>
          <w:tcPr>
            <w:tcW w:w="1009" w:type="dxa"/>
            <w:tcBorders>
              <w:tl2br w:val="nil"/>
              <w:tr2bl w:val="nil"/>
            </w:tcBorders>
            <w:vAlign w:val="center"/>
          </w:tcPr>
          <w:p w14:paraId="5436EBB1">
            <w:pPr>
              <w:snapToGrid w:val="0"/>
              <w:jc w:val="center"/>
              <w:rPr>
                <w:snapToGrid w:val="0"/>
                <w:color w:val="auto"/>
                <w:kern w:val="0"/>
                <w:sz w:val="22"/>
                <w:szCs w:val="22"/>
                <w:highlight w:val="none"/>
              </w:rPr>
            </w:pPr>
          </w:p>
        </w:tc>
        <w:tc>
          <w:tcPr>
            <w:tcW w:w="3813" w:type="dxa"/>
            <w:tcBorders>
              <w:tl2br w:val="nil"/>
              <w:tr2bl w:val="nil"/>
            </w:tcBorders>
            <w:vAlign w:val="center"/>
          </w:tcPr>
          <w:p w14:paraId="740778BD">
            <w:pPr>
              <w:snapToGrid w:val="0"/>
              <w:jc w:val="center"/>
              <w:textAlignment w:val="baseline"/>
              <w:rPr>
                <w:snapToGrid w:val="0"/>
                <w:color w:val="auto"/>
                <w:kern w:val="0"/>
                <w:sz w:val="22"/>
                <w:szCs w:val="22"/>
                <w:highlight w:val="none"/>
              </w:rPr>
            </w:pPr>
          </w:p>
        </w:tc>
        <w:tc>
          <w:tcPr>
            <w:tcW w:w="2498" w:type="dxa"/>
            <w:tcBorders>
              <w:tl2br w:val="nil"/>
              <w:tr2bl w:val="nil"/>
            </w:tcBorders>
            <w:vAlign w:val="center"/>
          </w:tcPr>
          <w:p w14:paraId="1C580565">
            <w:pPr>
              <w:snapToGrid w:val="0"/>
              <w:jc w:val="center"/>
              <w:textAlignment w:val="baseline"/>
              <w:rPr>
                <w:snapToGrid w:val="0"/>
                <w:color w:val="auto"/>
                <w:kern w:val="0"/>
                <w:sz w:val="22"/>
                <w:szCs w:val="22"/>
                <w:highlight w:val="none"/>
              </w:rPr>
            </w:pPr>
          </w:p>
        </w:tc>
        <w:tc>
          <w:tcPr>
            <w:tcW w:w="2530" w:type="dxa"/>
            <w:tcBorders>
              <w:tl2br w:val="nil"/>
              <w:tr2bl w:val="nil"/>
            </w:tcBorders>
            <w:vAlign w:val="center"/>
          </w:tcPr>
          <w:p w14:paraId="0DAFC3DE">
            <w:pPr>
              <w:snapToGrid w:val="0"/>
              <w:jc w:val="center"/>
              <w:textAlignment w:val="baseline"/>
              <w:rPr>
                <w:snapToGrid w:val="0"/>
                <w:color w:val="auto"/>
                <w:kern w:val="0"/>
                <w:sz w:val="22"/>
                <w:szCs w:val="22"/>
                <w:highlight w:val="none"/>
              </w:rPr>
            </w:pPr>
          </w:p>
        </w:tc>
      </w:tr>
    </w:tbl>
    <w:p w14:paraId="31928352">
      <w:pPr>
        <w:spacing w:line="360" w:lineRule="auto"/>
        <w:ind w:left="524" w:hanging="523" w:hangingChars="238"/>
        <w:rPr>
          <w:color w:val="auto"/>
          <w:sz w:val="22"/>
          <w:szCs w:val="22"/>
          <w:highlight w:val="none"/>
        </w:rPr>
      </w:pPr>
      <w:r>
        <w:rPr>
          <w:color w:val="auto"/>
          <w:sz w:val="22"/>
          <w:szCs w:val="22"/>
          <w:highlight w:val="none"/>
        </w:rPr>
        <w:t>说明：</w:t>
      </w:r>
    </w:p>
    <w:p w14:paraId="61C9023D">
      <w:pPr>
        <w:spacing w:line="360" w:lineRule="auto"/>
        <w:ind w:firstLine="440" w:firstLineChars="200"/>
        <w:rPr>
          <w:color w:val="auto"/>
          <w:sz w:val="22"/>
          <w:szCs w:val="22"/>
          <w:highlight w:val="none"/>
        </w:rPr>
      </w:pPr>
      <w:r>
        <w:rPr>
          <w:color w:val="auto"/>
          <w:sz w:val="22"/>
          <w:szCs w:val="22"/>
          <w:highlight w:val="none"/>
        </w:rPr>
        <w:t>1、本次报价包括了完成本合同所需的所有费用。</w:t>
      </w:r>
      <w:r>
        <w:rPr>
          <w:rFonts w:hint="eastAsia"/>
          <w:color w:val="auto"/>
          <w:sz w:val="22"/>
          <w:szCs w:val="22"/>
          <w:highlight w:val="none"/>
        </w:rPr>
        <w:t>包括监理费、人员工资、利润、税金、采购代理服务费等完成本项目所须的全部费用，实行固定费用总包干。</w:t>
      </w:r>
    </w:p>
    <w:p w14:paraId="50E867A3">
      <w:pPr>
        <w:spacing w:line="360" w:lineRule="auto"/>
        <w:ind w:firstLine="440" w:firstLineChars="200"/>
        <w:rPr>
          <w:b/>
          <w:bCs/>
          <w:color w:val="auto"/>
          <w:sz w:val="22"/>
          <w:szCs w:val="22"/>
          <w:highlight w:val="none"/>
          <w:u w:val="single"/>
        </w:rPr>
      </w:pPr>
      <w:r>
        <w:rPr>
          <w:rFonts w:hint="eastAsia"/>
          <w:color w:val="auto"/>
          <w:sz w:val="22"/>
          <w:szCs w:val="22"/>
          <w:highlight w:val="none"/>
          <w:u w:val="single"/>
          <w:lang w:val="en-US" w:eastAsia="zh-CN"/>
        </w:rPr>
        <w:t>2</w:t>
      </w:r>
      <w:r>
        <w:rPr>
          <w:color w:val="auto"/>
          <w:sz w:val="22"/>
          <w:szCs w:val="22"/>
          <w:highlight w:val="none"/>
          <w:u w:val="single"/>
        </w:rPr>
        <w:t>、</w:t>
      </w:r>
      <w:r>
        <w:rPr>
          <w:b/>
          <w:bCs/>
          <w:color w:val="auto"/>
          <w:sz w:val="22"/>
          <w:szCs w:val="22"/>
          <w:highlight w:val="none"/>
          <w:u w:val="single"/>
        </w:rPr>
        <w:t>▲开标一览表中，只允许一个报价（不允许有选择性的报价，否则作无效标处理）。</w:t>
      </w:r>
    </w:p>
    <w:p w14:paraId="297633C4">
      <w:pPr>
        <w:pStyle w:val="37"/>
        <w:spacing w:line="360" w:lineRule="auto"/>
        <w:ind w:left="0" w:leftChars="0" w:firstLine="440" w:firstLineChars="200"/>
        <w:rPr>
          <w:rFonts w:hint="eastAsia" w:asciiTheme="majorEastAsia" w:hAnsiTheme="majorEastAsia" w:eastAsiaTheme="majorEastAsia" w:cstheme="majorEastAsia"/>
          <w:bCs/>
          <w:color w:val="auto"/>
          <w:sz w:val="22"/>
          <w:szCs w:val="22"/>
          <w:highlight w:val="none"/>
          <w:u w:val="single"/>
        </w:rPr>
      </w:pPr>
      <w:r>
        <w:rPr>
          <w:rFonts w:hint="eastAsia" w:eastAsiaTheme="majorEastAsia"/>
          <w:color w:val="auto"/>
          <w:sz w:val="22"/>
          <w:szCs w:val="22"/>
          <w:highlight w:val="none"/>
          <w:u w:val="single"/>
          <w:lang w:val="en-US" w:eastAsia="zh-CN"/>
        </w:rPr>
        <w:t>3</w:t>
      </w:r>
      <w:r>
        <w:rPr>
          <w:rFonts w:hint="eastAsia" w:asciiTheme="majorEastAsia" w:hAnsiTheme="majorEastAsia" w:eastAsiaTheme="majorEastAsia" w:cstheme="majorEastAsia"/>
          <w:color w:val="auto"/>
          <w:sz w:val="22"/>
          <w:szCs w:val="22"/>
          <w:highlight w:val="none"/>
          <w:u w:val="single"/>
        </w:rPr>
        <w:t>、▲本项目最高限价为</w:t>
      </w:r>
      <w:r>
        <w:rPr>
          <w:rFonts w:hint="eastAsia" w:asciiTheme="majorEastAsia" w:hAnsiTheme="majorEastAsia" w:eastAsiaTheme="majorEastAsia" w:cstheme="majorEastAsia"/>
          <w:b/>
          <w:color w:val="auto"/>
          <w:kern w:val="0"/>
          <w:sz w:val="22"/>
          <w:szCs w:val="22"/>
          <w:highlight w:val="none"/>
          <w:u w:val="single"/>
          <w:lang w:val="en-US" w:eastAsia="zh-CN"/>
        </w:rPr>
        <w:t>62.4</w:t>
      </w:r>
      <w:r>
        <w:rPr>
          <w:rFonts w:hint="eastAsia" w:asciiTheme="majorEastAsia" w:hAnsiTheme="majorEastAsia" w:eastAsiaTheme="majorEastAsia" w:cstheme="majorEastAsia"/>
          <w:b/>
          <w:color w:val="auto"/>
          <w:kern w:val="0"/>
          <w:sz w:val="22"/>
          <w:szCs w:val="22"/>
          <w:highlight w:val="none"/>
          <w:u w:val="single"/>
        </w:rPr>
        <w:t>万元</w:t>
      </w:r>
      <w:r>
        <w:rPr>
          <w:rFonts w:hint="eastAsia" w:asciiTheme="majorEastAsia" w:hAnsiTheme="majorEastAsia" w:eastAsiaTheme="majorEastAsia" w:cstheme="majorEastAsia"/>
          <w:color w:val="auto"/>
          <w:sz w:val="22"/>
          <w:szCs w:val="22"/>
          <w:highlight w:val="none"/>
          <w:u w:val="single"/>
        </w:rPr>
        <w:t>，超过最高限价的按否决投标处理</w:t>
      </w:r>
      <w:r>
        <w:rPr>
          <w:rFonts w:hint="eastAsia" w:asciiTheme="majorEastAsia" w:hAnsiTheme="majorEastAsia" w:eastAsiaTheme="majorEastAsia" w:cstheme="majorEastAsia"/>
          <w:color w:val="auto"/>
          <w:sz w:val="22"/>
          <w:szCs w:val="22"/>
          <w:highlight w:val="none"/>
          <w:u w:val="single"/>
          <w:lang w:eastAsia="zh-CN"/>
        </w:rPr>
        <w:t>，</w:t>
      </w:r>
    </w:p>
    <w:p w14:paraId="5BB2596C">
      <w:pPr>
        <w:spacing w:line="360" w:lineRule="auto"/>
        <w:ind w:left="518" w:leftChars="208" w:hanging="81" w:hangingChars="37"/>
        <w:rPr>
          <w:color w:val="auto"/>
          <w:sz w:val="22"/>
          <w:szCs w:val="22"/>
          <w:highlight w:val="none"/>
        </w:rPr>
      </w:pPr>
      <w:r>
        <w:rPr>
          <w:rFonts w:hint="eastAsia"/>
          <w:color w:val="auto"/>
          <w:sz w:val="22"/>
          <w:szCs w:val="22"/>
          <w:highlight w:val="none"/>
          <w:u w:val="single"/>
          <w:lang w:val="en-US" w:eastAsia="zh-CN"/>
        </w:rPr>
        <w:t>4</w:t>
      </w:r>
      <w:r>
        <w:rPr>
          <w:color w:val="auto"/>
          <w:sz w:val="22"/>
          <w:szCs w:val="22"/>
          <w:highlight w:val="none"/>
          <w:u w:val="single"/>
        </w:rPr>
        <w:t>、▲不提供此表格将被视为没有满足采购文件的实质性要求</w:t>
      </w:r>
      <w:r>
        <w:rPr>
          <w:color w:val="auto"/>
          <w:sz w:val="22"/>
          <w:szCs w:val="22"/>
          <w:highlight w:val="none"/>
        </w:rPr>
        <w:t>。</w:t>
      </w:r>
    </w:p>
    <w:p w14:paraId="479988C4">
      <w:pPr>
        <w:spacing w:after="120" w:line="360" w:lineRule="auto"/>
        <w:ind w:firstLine="440" w:firstLineChars="200"/>
        <w:jc w:val="left"/>
        <w:rPr>
          <w:color w:val="auto"/>
          <w:sz w:val="22"/>
          <w:szCs w:val="22"/>
          <w:highlight w:val="none"/>
        </w:rPr>
      </w:pPr>
      <w:r>
        <w:rPr>
          <w:rFonts w:hint="eastAsia"/>
          <w:color w:val="auto"/>
          <w:sz w:val="22"/>
          <w:szCs w:val="22"/>
          <w:highlight w:val="none"/>
          <w:u w:val="single"/>
          <w:lang w:val="en-US" w:eastAsia="zh-CN"/>
        </w:rPr>
        <w:t>5</w:t>
      </w:r>
      <w:r>
        <w:rPr>
          <w:color w:val="auto"/>
          <w:sz w:val="22"/>
          <w:szCs w:val="22"/>
          <w:highlight w:val="none"/>
          <w:u w:val="single"/>
        </w:rPr>
        <w:t>、▲以上报价不得出现在</w:t>
      </w:r>
      <w:r>
        <w:rPr>
          <w:rFonts w:hint="eastAsia"/>
          <w:color w:val="auto"/>
          <w:sz w:val="22"/>
          <w:szCs w:val="22"/>
          <w:highlight w:val="none"/>
          <w:u w:val="single"/>
          <w:lang w:val="en-US" w:eastAsia="zh-CN"/>
        </w:rPr>
        <w:t>商务技术</w:t>
      </w:r>
      <w:r>
        <w:rPr>
          <w:color w:val="auto"/>
          <w:sz w:val="22"/>
          <w:szCs w:val="22"/>
          <w:highlight w:val="none"/>
          <w:u w:val="single"/>
        </w:rPr>
        <w:t>标中</w:t>
      </w:r>
      <w:r>
        <w:rPr>
          <w:color w:val="auto"/>
          <w:sz w:val="22"/>
          <w:szCs w:val="22"/>
          <w:highlight w:val="none"/>
        </w:rPr>
        <w:t>。</w:t>
      </w:r>
    </w:p>
    <w:p w14:paraId="019EC1EF">
      <w:pPr>
        <w:pStyle w:val="27"/>
        <w:ind w:firstLine="210"/>
        <w:rPr>
          <w:color w:val="auto"/>
          <w:highlight w:val="none"/>
        </w:rPr>
      </w:pPr>
    </w:p>
    <w:p w14:paraId="26A58FCD">
      <w:pPr>
        <w:spacing w:line="360" w:lineRule="auto"/>
        <w:ind w:left="359" w:leftChars="171"/>
        <w:rPr>
          <w:color w:val="auto"/>
          <w:sz w:val="22"/>
          <w:szCs w:val="22"/>
          <w:highlight w:val="none"/>
        </w:rPr>
      </w:pPr>
      <w:r>
        <w:rPr>
          <w:color w:val="auto"/>
          <w:sz w:val="22"/>
          <w:szCs w:val="22"/>
          <w:highlight w:val="none"/>
        </w:rPr>
        <w:t>供应商全称（盖章）：</w:t>
      </w:r>
    </w:p>
    <w:p w14:paraId="500E8698">
      <w:pPr>
        <w:spacing w:line="360" w:lineRule="auto"/>
        <w:ind w:left="359" w:leftChars="171"/>
        <w:rPr>
          <w:color w:val="auto"/>
          <w:sz w:val="22"/>
          <w:szCs w:val="22"/>
          <w:highlight w:val="none"/>
        </w:rPr>
      </w:pPr>
      <w:r>
        <w:rPr>
          <w:color w:val="auto"/>
          <w:sz w:val="22"/>
          <w:szCs w:val="22"/>
          <w:highlight w:val="none"/>
        </w:rPr>
        <w:t>法定代表人或授权代表（签字或盖章）：</w:t>
      </w:r>
    </w:p>
    <w:p w14:paraId="2460F72B">
      <w:pPr>
        <w:spacing w:line="360" w:lineRule="auto"/>
        <w:ind w:left="359" w:leftChars="171"/>
        <w:rPr>
          <w:b/>
          <w:color w:val="auto"/>
          <w:sz w:val="22"/>
          <w:szCs w:val="22"/>
          <w:highlight w:val="none"/>
          <w:u w:val="single"/>
        </w:rPr>
      </w:pPr>
      <w:r>
        <w:rPr>
          <w:color w:val="auto"/>
          <w:sz w:val="22"/>
          <w:szCs w:val="22"/>
          <w:highlight w:val="none"/>
        </w:rPr>
        <w:t>日 期：       年      月      日</w:t>
      </w:r>
    </w:p>
    <w:p w14:paraId="5881E847">
      <w:pPr>
        <w:spacing w:line="360" w:lineRule="auto"/>
        <w:rPr>
          <w:b/>
          <w:color w:val="auto"/>
          <w:sz w:val="22"/>
          <w:szCs w:val="22"/>
          <w:highlight w:val="none"/>
        </w:rPr>
        <w:sectPr>
          <w:pgSz w:w="11906" w:h="16838"/>
          <w:pgMar w:top="1134" w:right="1134" w:bottom="1134" w:left="1134" w:header="851" w:footer="851" w:gutter="0"/>
          <w:pgBorders>
            <w:top w:val="none" w:sz="0" w:space="0"/>
            <w:left w:val="none" w:sz="0" w:space="0"/>
            <w:bottom w:val="none" w:sz="0" w:space="0"/>
            <w:right w:val="none" w:sz="0" w:space="0"/>
          </w:pgBorders>
          <w:cols w:space="720" w:num="1"/>
          <w:docGrid w:linePitch="312" w:charSpace="0"/>
        </w:sectPr>
      </w:pPr>
    </w:p>
    <w:p w14:paraId="70EFB902">
      <w:pPr>
        <w:widowControl/>
        <w:autoSpaceDE w:val="0"/>
        <w:spacing w:line="360" w:lineRule="auto"/>
        <w:outlineLvl w:val="1"/>
        <w:rPr>
          <w:b/>
          <w:color w:val="auto"/>
          <w:sz w:val="22"/>
          <w:szCs w:val="22"/>
          <w:highlight w:val="none"/>
          <w:lang w:bidi="ar"/>
        </w:rPr>
      </w:pPr>
      <w:r>
        <w:rPr>
          <w:b/>
          <w:color w:val="auto"/>
          <w:sz w:val="22"/>
          <w:szCs w:val="22"/>
          <w:highlight w:val="none"/>
          <w:lang w:bidi="ar"/>
        </w:rPr>
        <w:t>附件三</w:t>
      </w:r>
    </w:p>
    <w:p w14:paraId="2AC67157">
      <w:pPr>
        <w:spacing w:line="360" w:lineRule="auto"/>
        <w:jc w:val="center"/>
        <w:rPr>
          <w:b/>
          <w:bCs/>
          <w:color w:val="auto"/>
          <w:sz w:val="28"/>
          <w:szCs w:val="28"/>
          <w:highlight w:val="none"/>
        </w:rPr>
      </w:pPr>
      <w:r>
        <w:rPr>
          <w:b/>
          <w:bCs/>
          <w:color w:val="auto"/>
          <w:sz w:val="28"/>
          <w:szCs w:val="28"/>
          <w:highlight w:val="none"/>
        </w:rPr>
        <w:t>投标分项报价表</w:t>
      </w:r>
    </w:p>
    <w:p w14:paraId="3BC58ECF">
      <w:pPr>
        <w:spacing w:line="360" w:lineRule="auto"/>
        <w:jc w:val="center"/>
        <w:rPr>
          <w:b/>
          <w:bCs/>
          <w:color w:val="auto"/>
          <w:sz w:val="22"/>
          <w:szCs w:val="22"/>
          <w:highlight w:val="none"/>
        </w:rPr>
      </w:pPr>
    </w:p>
    <w:p w14:paraId="4F2E0A48">
      <w:pPr>
        <w:spacing w:line="360" w:lineRule="auto"/>
        <w:ind w:left="359" w:leftChars="171"/>
        <w:rPr>
          <w:color w:val="auto"/>
          <w:sz w:val="22"/>
          <w:szCs w:val="22"/>
          <w:highlight w:val="none"/>
        </w:rPr>
      </w:pPr>
      <w:r>
        <w:rPr>
          <w:b/>
          <w:color w:val="auto"/>
          <w:sz w:val="22"/>
          <w:szCs w:val="22"/>
          <w:highlight w:val="none"/>
        </w:rPr>
        <w:t>采购项目名称：                                    采购编号：</w:t>
      </w:r>
    </w:p>
    <w:tbl>
      <w:tblPr>
        <w:tblStyle w:val="29"/>
        <w:tblW w:w="4998" w:type="pct"/>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0" w:type="dxa"/>
          <w:left w:w="0" w:type="dxa"/>
          <w:bottom w:w="0" w:type="dxa"/>
          <w:right w:w="0" w:type="dxa"/>
        </w:tblCellMar>
      </w:tblPr>
      <w:tblGrid>
        <w:gridCol w:w="519"/>
        <w:gridCol w:w="3113"/>
        <w:gridCol w:w="2765"/>
        <w:gridCol w:w="983"/>
        <w:gridCol w:w="655"/>
        <w:gridCol w:w="879"/>
        <w:gridCol w:w="740"/>
      </w:tblGrid>
      <w:tr w14:paraId="0097110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28" w:hRule="exact"/>
          <w:jc w:val="center"/>
        </w:trPr>
        <w:tc>
          <w:tcPr>
            <w:tcW w:w="269" w:type="pct"/>
            <w:tcBorders>
              <w:tl2br w:val="nil"/>
              <w:tr2bl w:val="nil"/>
            </w:tcBorders>
            <w:noWrap w:val="0"/>
            <w:vAlign w:val="center"/>
          </w:tcPr>
          <w:p w14:paraId="4F841769">
            <w:pPr>
              <w:widowControl/>
              <w:spacing w:line="360" w:lineRule="auto"/>
              <w:jc w:val="center"/>
              <w:rPr>
                <w:rFonts w:ascii="宋体" w:hAnsi="宋体" w:cs="宋体"/>
                <w:b/>
                <w:bCs/>
                <w:kern w:val="0"/>
                <w:sz w:val="24"/>
              </w:rPr>
            </w:pPr>
            <w:r>
              <w:rPr>
                <w:rFonts w:hint="eastAsia" w:ascii="宋体" w:hAnsi="宋体" w:cs="宋体"/>
                <w:b/>
                <w:bCs/>
                <w:kern w:val="0"/>
                <w:sz w:val="24"/>
              </w:rPr>
              <w:t>序号</w:t>
            </w:r>
          </w:p>
        </w:tc>
        <w:tc>
          <w:tcPr>
            <w:tcW w:w="1612" w:type="pct"/>
            <w:tcBorders>
              <w:tl2br w:val="nil"/>
              <w:tr2bl w:val="nil"/>
            </w:tcBorders>
            <w:noWrap w:val="0"/>
            <w:vAlign w:val="center"/>
          </w:tcPr>
          <w:p w14:paraId="04F990D7">
            <w:pPr>
              <w:widowControl/>
              <w:spacing w:line="360" w:lineRule="auto"/>
              <w:jc w:val="center"/>
              <w:rPr>
                <w:rFonts w:hint="eastAsia" w:ascii="宋体" w:hAnsi="宋体" w:cs="宋体"/>
                <w:b/>
                <w:bCs/>
                <w:kern w:val="0"/>
                <w:sz w:val="24"/>
              </w:rPr>
            </w:pPr>
            <w:r>
              <w:rPr>
                <w:rFonts w:hint="eastAsia" w:ascii="宋体" w:hAnsi="宋体" w:cs="宋体"/>
                <w:b/>
                <w:bCs/>
                <w:kern w:val="0"/>
                <w:sz w:val="24"/>
                <w:lang w:bidi="ar"/>
              </w:rPr>
              <w:t>各项费用组成</w:t>
            </w:r>
          </w:p>
        </w:tc>
        <w:tc>
          <w:tcPr>
            <w:tcW w:w="1431" w:type="pct"/>
            <w:tcBorders>
              <w:tl2br w:val="nil"/>
              <w:tr2bl w:val="nil"/>
            </w:tcBorders>
            <w:noWrap w:val="0"/>
            <w:tcMar>
              <w:top w:w="0" w:type="dxa"/>
              <w:left w:w="108" w:type="dxa"/>
              <w:bottom w:w="0" w:type="dxa"/>
              <w:right w:w="108" w:type="dxa"/>
            </w:tcMar>
            <w:vAlign w:val="center"/>
          </w:tcPr>
          <w:p w14:paraId="1914FFD0">
            <w:pPr>
              <w:widowControl/>
              <w:spacing w:line="360" w:lineRule="auto"/>
              <w:jc w:val="center"/>
              <w:textAlignment w:val="center"/>
              <w:rPr>
                <w:rFonts w:hint="eastAsia" w:ascii="宋体" w:hAnsi="宋体" w:cs="宋体"/>
                <w:b/>
                <w:bCs/>
                <w:kern w:val="0"/>
                <w:sz w:val="24"/>
                <w:lang w:bidi="ar"/>
              </w:rPr>
            </w:pPr>
            <w:r>
              <w:rPr>
                <w:rFonts w:hint="eastAsia" w:ascii="宋体" w:hAnsi="宋体" w:cs="宋体"/>
                <w:b/>
                <w:bCs/>
                <w:kern w:val="0"/>
                <w:sz w:val="24"/>
                <w:lang w:bidi="ar"/>
              </w:rPr>
              <w:t>具体技术服务描述</w:t>
            </w:r>
          </w:p>
        </w:tc>
        <w:tc>
          <w:tcPr>
            <w:tcW w:w="509" w:type="pct"/>
            <w:tcBorders>
              <w:tl2br w:val="nil"/>
              <w:tr2bl w:val="nil"/>
            </w:tcBorders>
            <w:noWrap w:val="0"/>
            <w:tcMar>
              <w:top w:w="0" w:type="dxa"/>
              <w:left w:w="108" w:type="dxa"/>
              <w:bottom w:w="0" w:type="dxa"/>
              <w:right w:w="108" w:type="dxa"/>
            </w:tcMar>
            <w:vAlign w:val="center"/>
          </w:tcPr>
          <w:p w14:paraId="3A2CC8E5">
            <w:pPr>
              <w:widowControl/>
              <w:spacing w:line="360" w:lineRule="auto"/>
              <w:jc w:val="center"/>
              <w:rPr>
                <w:rFonts w:ascii="宋体" w:hAnsi="宋体" w:cs="宋体"/>
                <w:b/>
                <w:bCs/>
                <w:kern w:val="0"/>
                <w:sz w:val="24"/>
              </w:rPr>
            </w:pPr>
            <w:r>
              <w:rPr>
                <w:rFonts w:hint="eastAsia" w:ascii="宋体" w:hAnsi="宋体" w:cs="宋体"/>
                <w:b/>
                <w:bCs/>
                <w:kern w:val="0"/>
                <w:sz w:val="24"/>
              </w:rPr>
              <w:t>单位</w:t>
            </w:r>
          </w:p>
        </w:tc>
        <w:tc>
          <w:tcPr>
            <w:tcW w:w="339" w:type="pct"/>
            <w:tcBorders>
              <w:tl2br w:val="nil"/>
              <w:tr2bl w:val="nil"/>
            </w:tcBorders>
            <w:noWrap w:val="0"/>
            <w:vAlign w:val="center"/>
          </w:tcPr>
          <w:p w14:paraId="6342C68A">
            <w:pPr>
              <w:widowControl/>
              <w:spacing w:line="360" w:lineRule="auto"/>
              <w:jc w:val="center"/>
              <w:rPr>
                <w:rFonts w:ascii="宋体" w:hAnsi="宋体" w:cs="宋体"/>
                <w:b/>
                <w:bCs/>
                <w:kern w:val="0"/>
                <w:sz w:val="24"/>
              </w:rPr>
            </w:pPr>
            <w:r>
              <w:rPr>
                <w:rFonts w:hint="eastAsia" w:ascii="宋体" w:hAnsi="宋体" w:cs="宋体"/>
                <w:b/>
                <w:bCs/>
                <w:kern w:val="0"/>
                <w:sz w:val="24"/>
              </w:rPr>
              <w:t>数量</w:t>
            </w:r>
          </w:p>
        </w:tc>
        <w:tc>
          <w:tcPr>
            <w:tcW w:w="455" w:type="pct"/>
            <w:tcBorders>
              <w:tl2br w:val="nil"/>
              <w:tr2bl w:val="nil"/>
            </w:tcBorders>
            <w:noWrap w:val="0"/>
            <w:tcMar>
              <w:top w:w="0" w:type="dxa"/>
              <w:left w:w="108" w:type="dxa"/>
              <w:bottom w:w="0" w:type="dxa"/>
              <w:right w:w="108" w:type="dxa"/>
            </w:tcMar>
            <w:vAlign w:val="center"/>
          </w:tcPr>
          <w:p w14:paraId="00C2ED92">
            <w:pPr>
              <w:widowControl/>
              <w:spacing w:line="360" w:lineRule="auto"/>
              <w:jc w:val="center"/>
              <w:rPr>
                <w:rFonts w:hint="eastAsia" w:ascii="宋体" w:hAnsi="宋体" w:cs="宋体"/>
                <w:b/>
                <w:bCs/>
                <w:kern w:val="0"/>
                <w:sz w:val="24"/>
              </w:rPr>
            </w:pPr>
            <w:r>
              <w:rPr>
                <w:rFonts w:hint="eastAsia" w:ascii="宋体" w:hAnsi="宋体" w:cs="宋体"/>
                <w:b/>
                <w:bCs/>
                <w:kern w:val="0"/>
                <w:sz w:val="24"/>
              </w:rPr>
              <w:t>单价</w:t>
            </w:r>
          </w:p>
        </w:tc>
        <w:tc>
          <w:tcPr>
            <w:tcW w:w="381" w:type="pct"/>
            <w:tcBorders>
              <w:tl2br w:val="nil"/>
              <w:tr2bl w:val="nil"/>
            </w:tcBorders>
            <w:noWrap w:val="0"/>
            <w:vAlign w:val="center"/>
          </w:tcPr>
          <w:p w14:paraId="7D54AE08">
            <w:pPr>
              <w:spacing w:line="360" w:lineRule="auto"/>
              <w:jc w:val="center"/>
              <w:rPr>
                <w:rFonts w:hint="eastAsia" w:ascii="宋体" w:hAnsi="宋体" w:cs="宋体"/>
                <w:b/>
                <w:bCs/>
                <w:kern w:val="0"/>
                <w:sz w:val="24"/>
              </w:rPr>
            </w:pPr>
            <w:r>
              <w:rPr>
                <w:rFonts w:hint="eastAsia" w:ascii="宋体" w:hAnsi="宋体" w:cs="宋体"/>
                <w:b/>
                <w:bCs/>
                <w:kern w:val="0"/>
                <w:sz w:val="24"/>
              </w:rPr>
              <w:t>合计</w:t>
            </w:r>
          </w:p>
        </w:tc>
      </w:tr>
      <w:tr w14:paraId="0E01896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25" w:hRule="exact"/>
          <w:jc w:val="center"/>
        </w:trPr>
        <w:tc>
          <w:tcPr>
            <w:tcW w:w="269" w:type="pct"/>
            <w:tcBorders>
              <w:tl2br w:val="nil"/>
              <w:tr2bl w:val="nil"/>
            </w:tcBorders>
            <w:noWrap w:val="0"/>
            <w:vAlign w:val="center"/>
          </w:tcPr>
          <w:p w14:paraId="7353D195">
            <w:pPr>
              <w:widowControl/>
              <w:spacing w:line="360" w:lineRule="auto"/>
              <w:jc w:val="center"/>
              <w:textAlignment w:val="center"/>
              <w:rPr>
                <w:rFonts w:ascii="宋体" w:hAnsi="宋体" w:cs="宋体"/>
                <w:kern w:val="0"/>
                <w:sz w:val="24"/>
              </w:rPr>
            </w:pPr>
            <w:r>
              <w:rPr>
                <w:rFonts w:hint="eastAsia" w:ascii="宋体" w:hAnsi="宋体" w:cs="宋体"/>
                <w:kern w:val="0"/>
                <w:sz w:val="24"/>
              </w:rPr>
              <w:t>1</w:t>
            </w:r>
          </w:p>
        </w:tc>
        <w:tc>
          <w:tcPr>
            <w:tcW w:w="1612" w:type="pct"/>
            <w:tcBorders>
              <w:tl2br w:val="nil"/>
              <w:tr2bl w:val="nil"/>
            </w:tcBorders>
            <w:noWrap w:val="0"/>
            <w:vAlign w:val="center"/>
          </w:tcPr>
          <w:p w14:paraId="7F3EB879">
            <w:pPr>
              <w:widowControl/>
              <w:spacing w:line="360" w:lineRule="auto"/>
              <w:jc w:val="center"/>
              <w:textAlignment w:val="center"/>
              <w:rPr>
                <w:rFonts w:ascii="宋体" w:hAnsi="宋体" w:cs="宋体"/>
                <w:kern w:val="0"/>
                <w:sz w:val="24"/>
              </w:rPr>
            </w:pPr>
          </w:p>
        </w:tc>
        <w:tc>
          <w:tcPr>
            <w:tcW w:w="1431" w:type="pct"/>
            <w:tcBorders>
              <w:tl2br w:val="nil"/>
              <w:tr2bl w:val="nil"/>
            </w:tcBorders>
            <w:noWrap w:val="0"/>
            <w:tcMar>
              <w:top w:w="0" w:type="dxa"/>
              <w:left w:w="108" w:type="dxa"/>
              <w:bottom w:w="0" w:type="dxa"/>
              <w:right w:w="108" w:type="dxa"/>
            </w:tcMar>
            <w:vAlign w:val="center"/>
          </w:tcPr>
          <w:p w14:paraId="6A63E750">
            <w:pPr>
              <w:spacing w:line="360" w:lineRule="auto"/>
              <w:jc w:val="center"/>
              <w:textAlignment w:val="center"/>
              <w:rPr>
                <w:rFonts w:ascii="宋体" w:hAnsi="宋体" w:cs="宋体"/>
                <w:kern w:val="0"/>
                <w:sz w:val="24"/>
              </w:rPr>
            </w:pPr>
          </w:p>
        </w:tc>
        <w:tc>
          <w:tcPr>
            <w:tcW w:w="509" w:type="pct"/>
            <w:tcBorders>
              <w:tl2br w:val="nil"/>
              <w:tr2bl w:val="nil"/>
            </w:tcBorders>
            <w:noWrap w:val="0"/>
            <w:tcMar>
              <w:top w:w="0" w:type="dxa"/>
              <w:left w:w="108" w:type="dxa"/>
              <w:bottom w:w="0" w:type="dxa"/>
              <w:right w:w="108" w:type="dxa"/>
            </w:tcMar>
            <w:vAlign w:val="center"/>
          </w:tcPr>
          <w:p w14:paraId="33BA6BC5">
            <w:pPr>
              <w:spacing w:line="360" w:lineRule="auto"/>
              <w:jc w:val="center"/>
              <w:textAlignment w:val="center"/>
              <w:rPr>
                <w:rFonts w:ascii="宋体" w:hAnsi="宋体" w:cs="宋体"/>
                <w:kern w:val="0"/>
                <w:sz w:val="24"/>
              </w:rPr>
            </w:pPr>
          </w:p>
        </w:tc>
        <w:tc>
          <w:tcPr>
            <w:tcW w:w="339" w:type="pct"/>
            <w:tcBorders>
              <w:tl2br w:val="nil"/>
              <w:tr2bl w:val="nil"/>
            </w:tcBorders>
            <w:noWrap w:val="0"/>
            <w:vAlign w:val="center"/>
          </w:tcPr>
          <w:p w14:paraId="50F1CF5D">
            <w:pPr>
              <w:spacing w:line="360" w:lineRule="auto"/>
              <w:jc w:val="center"/>
              <w:textAlignment w:val="center"/>
              <w:rPr>
                <w:rFonts w:ascii="宋体" w:hAnsi="宋体" w:cs="宋体"/>
                <w:kern w:val="0"/>
                <w:sz w:val="24"/>
              </w:rPr>
            </w:pPr>
          </w:p>
        </w:tc>
        <w:tc>
          <w:tcPr>
            <w:tcW w:w="455" w:type="pct"/>
            <w:tcBorders>
              <w:tl2br w:val="nil"/>
              <w:tr2bl w:val="nil"/>
            </w:tcBorders>
            <w:noWrap w:val="0"/>
            <w:tcMar>
              <w:top w:w="0" w:type="dxa"/>
              <w:left w:w="108" w:type="dxa"/>
              <w:bottom w:w="0" w:type="dxa"/>
              <w:right w:w="108" w:type="dxa"/>
            </w:tcMar>
            <w:vAlign w:val="center"/>
          </w:tcPr>
          <w:p w14:paraId="03DFABB7">
            <w:pPr>
              <w:spacing w:line="360" w:lineRule="auto"/>
              <w:jc w:val="center"/>
              <w:textAlignment w:val="center"/>
              <w:rPr>
                <w:rFonts w:ascii="宋体" w:hAnsi="宋体" w:cs="宋体"/>
                <w:kern w:val="0"/>
                <w:sz w:val="24"/>
              </w:rPr>
            </w:pPr>
          </w:p>
        </w:tc>
        <w:tc>
          <w:tcPr>
            <w:tcW w:w="381" w:type="pct"/>
            <w:tcBorders>
              <w:tl2br w:val="nil"/>
              <w:tr2bl w:val="nil"/>
            </w:tcBorders>
            <w:noWrap w:val="0"/>
            <w:vAlign w:val="center"/>
          </w:tcPr>
          <w:p w14:paraId="7D9E03C0">
            <w:pPr>
              <w:spacing w:line="360" w:lineRule="auto"/>
              <w:jc w:val="center"/>
              <w:textAlignment w:val="center"/>
              <w:rPr>
                <w:rFonts w:ascii="宋体" w:hAnsi="宋体" w:cs="宋体"/>
                <w:kern w:val="0"/>
                <w:sz w:val="24"/>
              </w:rPr>
            </w:pPr>
          </w:p>
        </w:tc>
      </w:tr>
      <w:tr w14:paraId="515D8B5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47" w:hRule="exact"/>
          <w:jc w:val="center"/>
        </w:trPr>
        <w:tc>
          <w:tcPr>
            <w:tcW w:w="269" w:type="pct"/>
            <w:tcBorders>
              <w:tl2br w:val="nil"/>
              <w:tr2bl w:val="nil"/>
            </w:tcBorders>
            <w:noWrap w:val="0"/>
            <w:vAlign w:val="center"/>
          </w:tcPr>
          <w:p w14:paraId="091822F9">
            <w:pPr>
              <w:widowControl/>
              <w:spacing w:line="360" w:lineRule="auto"/>
              <w:jc w:val="center"/>
              <w:textAlignment w:val="center"/>
              <w:rPr>
                <w:rFonts w:ascii="宋体" w:hAnsi="宋体" w:cs="宋体"/>
                <w:kern w:val="0"/>
                <w:sz w:val="24"/>
              </w:rPr>
            </w:pPr>
            <w:r>
              <w:rPr>
                <w:rFonts w:hint="eastAsia" w:ascii="宋体" w:hAnsi="宋体" w:cs="宋体"/>
                <w:kern w:val="0"/>
                <w:sz w:val="24"/>
              </w:rPr>
              <w:t>2</w:t>
            </w:r>
          </w:p>
        </w:tc>
        <w:tc>
          <w:tcPr>
            <w:tcW w:w="1612" w:type="pct"/>
            <w:tcBorders>
              <w:tl2br w:val="nil"/>
              <w:tr2bl w:val="nil"/>
            </w:tcBorders>
            <w:noWrap w:val="0"/>
            <w:vAlign w:val="center"/>
          </w:tcPr>
          <w:p w14:paraId="6CD55F1C">
            <w:pPr>
              <w:spacing w:line="360" w:lineRule="auto"/>
              <w:jc w:val="center"/>
              <w:textAlignment w:val="center"/>
              <w:rPr>
                <w:rFonts w:ascii="宋体" w:hAnsi="宋体" w:cs="宋体"/>
                <w:kern w:val="0"/>
                <w:sz w:val="24"/>
              </w:rPr>
            </w:pPr>
          </w:p>
        </w:tc>
        <w:tc>
          <w:tcPr>
            <w:tcW w:w="1431" w:type="pct"/>
            <w:tcBorders>
              <w:tl2br w:val="nil"/>
              <w:tr2bl w:val="nil"/>
            </w:tcBorders>
            <w:noWrap w:val="0"/>
            <w:tcMar>
              <w:top w:w="0" w:type="dxa"/>
              <w:left w:w="108" w:type="dxa"/>
              <w:bottom w:w="0" w:type="dxa"/>
              <w:right w:w="108" w:type="dxa"/>
            </w:tcMar>
            <w:vAlign w:val="center"/>
          </w:tcPr>
          <w:p w14:paraId="208D46BD">
            <w:pPr>
              <w:spacing w:line="360" w:lineRule="auto"/>
              <w:jc w:val="center"/>
              <w:textAlignment w:val="center"/>
              <w:rPr>
                <w:rFonts w:ascii="宋体" w:hAnsi="宋体" w:cs="宋体"/>
                <w:kern w:val="0"/>
                <w:sz w:val="24"/>
              </w:rPr>
            </w:pPr>
          </w:p>
        </w:tc>
        <w:tc>
          <w:tcPr>
            <w:tcW w:w="509" w:type="pct"/>
            <w:tcBorders>
              <w:tl2br w:val="nil"/>
              <w:tr2bl w:val="nil"/>
            </w:tcBorders>
            <w:noWrap w:val="0"/>
            <w:tcMar>
              <w:top w:w="0" w:type="dxa"/>
              <w:left w:w="108" w:type="dxa"/>
              <w:bottom w:w="0" w:type="dxa"/>
              <w:right w:w="108" w:type="dxa"/>
            </w:tcMar>
            <w:vAlign w:val="center"/>
          </w:tcPr>
          <w:p w14:paraId="689E2360">
            <w:pPr>
              <w:spacing w:line="360" w:lineRule="auto"/>
              <w:jc w:val="center"/>
              <w:textAlignment w:val="center"/>
              <w:rPr>
                <w:rFonts w:ascii="宋体" w:hAnsi="宋体" w:cs="宋体"/>
                <w:kern w:val="0"/>
                <w:sz w:val="24"/>
              </w:rPr>
            </w:pPr>
          </w:p>
        </w:tc>
        <w:tc>
          <w:tcPr>
            <w:tcW w:w="339" w:type="pct"/>
            <w:tcBorders>
              <w:tl2br w:val="nil"/>
              <w:tr2bl w:val="nil"/>
            </w:tcBorders>
            <w:noWrap w:val="0"/>
            <w:vAlign w:val="center"/>
          </w:tcPr>
          <w:p w14:paraId="0A67BB90">
            <w:pPr>
              <w:spacing w:line="360" w:lineRule="auto"/>
              <w:jc w:val="center"/>
              <w:textAlignment w:val="center"/>
              <w:rPr>
                <w:rFonts w:ascii="宋体" w:hAnsi="宋体" w:cs="宋体"/>
                <w:kern w:val="0"/>
                <w:sz w:val="24"/>
              </w:rPr>
            </w:pPr>
          </w:p>
        </w:tc>
        <w:tc>
          <w:tcPr>
            <w:tcW w:w="455" w:type="pct"/>
            <w:tcBorders>
              <w:tl2br w:val="nil"/>
              <w:tr2bl w:val="nil"/>
            </w:tcBorders>
            <w:noWrap w:val="0"/>
            <w:tcMar>
              <w:top w:w="0" w:type="dxa"/>
              <w:left w:w="108" w:type="dxa"/>
              <w:bottom w:w="0" w:type="dxa"/>
              <w:right w:w="108" w:type="dxa"/>
            </w:tcMar>
            <w:vAlign w:val="center"/>
          </w:tcPr>
          <w:p w14:paraId="36E0C6A6">
            <w:pPr>
              <w:spacing w:line="360" w:lineRule="auto"/>
              <w:jc w:val="center"/>
              <w:textAlignment w:val="center"/>
              <w:rPr>
                <w:rFonts w:ascii="宋体" w:hAnsi="宋体" w:cs="宋体"/>
                <w:kern w:val="0"/>
                <w:sz w:val="24"/>
              </w:rPr>
            </w:pPr>
          </w:p>
        </w:tc>
        <w:tc>
          <w:tcPr>
            <w:tcW w:w="381" w:type="pct"/>
            <w:tcBorders>
              <w:tl2br w:val="nil"/>
              <w:tr2bl w:val="nil"/>
            </w:tcBorders>
            <w:noWrap w:val="0"/>
            <w:vAlign w:val="center"/>
          </w:tcPr>
          <w:p w14:paraId="68F1376E">
            <w:pPr>
              <w:spacing w:line="360" w:lineRule="auto"/>
              <w:jc w:val="center"/>
              <w:textAlignment w:val="center"/>
              <w:rPr>
                <w:rFonts w:ascii="宋体" w:hAnsi="宋体" w:cs="宋体"/>
                <w:kern w:val="0"/>
                <w:sz w:val="24"/>
              </w:rPr>
            </w:pPr>
          </w:p>
        </w:tc>
      </w:tr>
      <w:tr w14:paraId="2B9C318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47" w:hRule="exact"/>
          <w:jc w:val="center"/>
        </w:trPr>
        <w:tc>
          <w:tcPr>
            <w:tcW w:w="269" w:type="pct"/>
            <w:tcBorders>
              <w:tl2br w:val="nil"/>
              <w:tr2bl w:val="nil"/>
            </w:tcBorders>
            <w:noWrap w:val="0"/>
            <w:vAlign w:val="center"/>
          </w:tcPr>
          <w:p w14:paraId="5B7EC45E">
            <w:pPr>
              <w:widowControl/>
              <w:spacing w:line="360" w:lineRule="auto"/>
              <w:jc w:val="center"/>
              <w:textAlignment w:val="center"/>
              <w:rPr>
                <w:rFonts w:hint="eastAsia" w:ascii="宋体" w:hAnsi="宋体" w:cs="宋体"/>
                <w:kern w:val="0"/>
                <w:sz w:val="24"/>
              </w:rPr>
            </w:pPr>
          </w:p>
        </w:tc>
        <w:tc>
          <w:tcPr>
            <w:tcW w:w="1612" w:type="pct"/>
            <w:tcBorders>
              <w:tl2br w:val="nil"/>
              <w:tr2bl w:val="nil"/>
            </w:tcBorders>
            <w:noWrap w:val="0"/>
            <w:vAlign w:val="center"/>
          </w:tcPr>
          <w:p w14:paraId="37DD393A">
            <w:pPr>
              <w:spacing w:line="360" w:lineRule="auto"/>
              <w:jc w:val="center"/>
              <w:textAlignment w:val="center"/>
              <w:rPr>
                <w:rFonts w:ascii="宋体" w:hAnsi="宋体" w:cs="宋体"/>
                <w:kern w:val="0"/>
                <w:sz w:val="24"/>
              </w:rPr>
            </w:pPr>
          </w:p>
        </w:tc>
        <w:tc>
          <w:tcPr>
            <w:tcW w:w="1431" w:type="pct"/>
            <w:tcBorders>
              <w:tl2br w:val="nil"/>
              <w:tr2bl w:val="nil"/>
            </w:tcBorders>
            <w:noWrap w:val="0"/>
            <w:tcMar>
              <w:top w:w="0" w:type="dxa"/>
              <w:left w:w="108" w:type="dxa"/>
              <w:bottom w:w="0" w:type="dxa"/>
              <w:right w:w="108" w:type="dxa"/>
            </w:tcMar>
            <w:vAlign w:val="center"/>
          </w:tcPr>
          <w:p w14:paraId="4E5C0827">
            <w:pPr>
              <w:spacing w:line="360" w:lineRule="auto"/>
              <w:jc w:val="center"/>
              <w:textAlignment w:val="center"/>
              <w:rPr>
                <w:rFonts w:ascii="宋体" w:hAnsi="宋体" w:cs="宋体"/>
                <w:kern w:val="0"/>
                <w:sz w:val="24"/>
              </w:rPr>
            </w:pPr>
          </w:p>
        </w:tc>
        <w:tc>
          <w:tcPr>
            <w:tcW w:w="509" w:type="pct"/>
            <w:tcBorders>
              <w:tl2br w:val="nil"/>
              <w:tr2bl w:val="nil"/>
            </w:tcBorders>
            <w:noWrap w:val="0"/>
            <w:tcMar>
              <w:top w:w="0" w:type="dxa"/>
              <w:left w:w="108" w:type="dxa"/>
              <w:bottom w:w="0" w:type="dxa"/>
              <w:right w:w="108" w:type="dxa"/>
            </w:tcMar>
            <w:vAlign w:val="center"/>
          </w:tcPr>
          <w:p w14:paraId="1131E975">
            <w:pPr>
              <w:spacing w:line="360" w:lineRule="auto"/>
              <w:jc w:val="center"/>
              <w:textAlignment w:val="center"/>
              <w:rPr>
                <w:rFonts w:ascii="宋体" w:hAnsi="宋体" w:cs="宋体"/>
                <w:kern w:val="0"/>
                <w:sz w:val="24"/>
              </w:rPr>
            </w:pPr>
          </w:p>
        </w:tc>
        <w:tc>
          <w:tcPr>
            <w:tcW w:w="339" w:type="pct"/>
            <w:tcBorders>
              <w:tl2br w:val="nil"/>
              <w:tr2bl w:val="nil"/>
            </w:tcBorders>
            <w:noWrap w:val="0"/>
            <w:vAlign w:val="center"/>
          </w:tcPr>
          <w:p w14:paraId="154C0688">
            <w:pPr>
              <w:spacing w:line="360" w:lineRule="auto"/>
              <w:jc w:val="center"/>
              <w:textAlignment w:val="center"/>
              <w:rPr>
                <w:rFonts w:ascii="宋体" w:hAnsi="宋体" w:cs="宋体"/>
                <w:kern w:val="0"/>
                <w:sz w:val="24"/>
              </w:rPr>
            </w:pPr>
          </w:p>
        </w:tc>
        <w:tc>
          <w:tcPr>
            <w:tcW w:w="455" w:type="pct"/>
            <w:tcBorders>
              <w:tl2br w:val="nil"/>
              <w:tr2bl w:val="nil"/>
            </w:tcBorders>
            <w:noWrap w:val="0"/>
            <w:tcMar>
              <w:top w:w="0" w:type="dxa"/>
              <w:left w:w="108" w:type="dxa"/>
              <w:bottom w:w="0" w:type="dxa"/>
              <w:right w:w="108" w:type="dxa"/>
            </w:tcMar>
            <w:vAlign w:val="center"/>
          </w:tcPr>
          <w:p w14:paraId="35CBDCFD">
            <w:pPr>
              <w:spacing w:line="360" w:lineRule="auto"/>
              <w:jc w:val="center"/>
              <w:textAlignment w:val="center"/>
              <w:rPr>
                <w:rFonts w:ascii="宋体" w:hAnsi="宋体" w:cs="宋体"/>
                <w:kern w:val="0"/>
                <w:sz w:val="24"/>
              </w:rPr>
            </w:pPr>
          </w:p>
        </w:tc>
        <w:tc>
          <w:tcPr>
            <w:tcW w:w="381" w:type="pct"/>
            <w:tcBorders>
              <w:tl2br w:val="nil"/>
              <w:tr2bl w:val="nil"/>
            </w:tcBorders>
            <w:noWrap w:val="0"/>
            <w:vAlign w:val="center"/>
          </w:tcPr>
          <w:p w14:paraId="7A1C30F3">
            <w:pPr>
              <w:spacing w:line="360" w:lineRule="auto"/>
              <w:jc w:val="center"/>
              <w:textAlignment w:val="center"/>
              <w:rPr>
                <w:rFonts w:ascii="宋体" w:hAnsi="宋体" w:cs="宋体"/>
                <w:kern w:val="0"/>
                <w:sz w:val="24"/>
              </w:rPr>
            </w:pPr>
          </w:p>
        </w:tc>
      </w:tr>
      <w:tr w14:paraId="5966A29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47" w:hRule="exact"/>
          <w:jc w:val="center"/>
        </w:trPr>
        <w:tc>
          <w:tcPr>
            <w:tcW w:w="269" w:type="pct"/>
            <w:tcBorders>
              <w:tl2br w:val="nil"/>
              <w:tr2bl w:val="nil"/>
            </w:tcBorders>
            <w:noWrap w:val="0"/>
            <w:vAlign w:val="center"/>
          </w:tcPr>
          <w:p w14:paraId="5DCF0DDF">
            <w:pPr>
              <w:widowControl/>
              <w:spacing w:line="360" w:lineRule="auto"/>
              <w:jc w:val="center"/>
              <w:textAlignment w:val="center"/>
              <w:rPr>
                <w:rFonts w:hint="eastAsia" w:ascii="宋体" w:hAnsi="宋体" w:cs="宋体"/>
                <w:kern w:val="0"/>
                <w:sz w:val="24"/>
              </w:rPr>
            </w:pPr>
          </w:p>
        </w:tc>
        <w:tc>
          <w:tcPr>
            <w:tcW w:w="1612" w:type="pct"/>
            <w:tcBorders>
              <w:tl2br w:val="nil"/>
              <w:tr2bl w:val="nil"/>
            </w:tcBorders>
            <w:noWrap w:val="0"/>
            <w:vAlign w:val="center"/>
          </w:tcPr>
          <w:p w14:paraId="3AC73884">
            <w:pPr>
              <w:spacing w:line="360" w:lineRule="auto"/>
              <w:jc w:val="center"/>
              <w:textAlignment w:val="center"/>
              <w:rPr>
                <w:rFonts w:ascii="宋体" w:hAnsi="宋体" w:cs="宋体"/>
                <w:kern w:val="0"/>
                <w:sz w:val="24"/>
              </w:rPr>
            </w:pPr>
          </w:p>
        </w:tc>
        <w:tc>
          <w:tcPr>
            <w:tcW w:w="1431" w:type="pct"/>
            <w:tcBorders>
              <w:tl2br w:val="nil"/>
              <w:tr2bl w:val="nil"/>
            </w:tcBorders>
            <w:noWrap w:val="0"/>
            <w:tcMar>
              <w:top w:w="0" w:type="dxa"/>
              <w:left w:w="108" w:type="dxa"/>
              <w:bottom w:w="0" w:type="dxa"/>
              <w:right w:w="108" w:type="dxa"/>
            </w:tcMar>
            <w:vAlign w:val="center"/>
          </w:tcPr>
          <w:p w14:paraId="4B5F265E">
            <w:pPr>
              <w:spacing w:line="360" w:lineRule="auto"/>
              <w:jc w:val="center"/>
              <w:textAlignment w:val="center"/>
              <w:rPr>
                <w:rFonts w:ascii="宋体" w:hAnsi="宋体" w:cs="宋体"/>
                <w:kern w:val="0"/>
                <w:sz w:val="24"/>
              </w:rPr>
            </w:pPr>
          </w:p>
        </w:tc>
        <w:tc>
          <w:tcPr>
            <w:tcW w:w="509" w:type="pct"/>
            <w:tcBorders>
              <w:tl2br w:val="nil"/>
              <w:tr2bl w:val="nil"/>
            </w:tcBorders>
            <w:noWrap w:val="0"/>
            <w:tcMar>
              <w:top w:w="0" w:type="dxa"/>
              <w:left w:w="108" w:type="dxa"/>
              <w:bottom w:w="0" w:type="dxa"/>
              <w:right w:w="108" w:type="dxa"/>
            </w:tcMar>
            <w:vAlign w:val="center"/>
          </w:tcPr>
          <w:p w14:paraId="472A040A">
            <w:pPr>
              <w:spacing w:line="360" w:lineRule="auto"/>
              <w:jc w:val="center"/>
              <w:textAlignment w:val="center"/>
              <w:rPr>
                <w:rFonts w:ascii="宋体" w:hAnsi="宋体" w:cs="宋体"/>
                <w:kern w:val="0"/>
                <w:sz w:val="24"/>
              </w:rPr>
            </w:pPr>
          </w:p>
        </w:tc>
        <w:tc>
          <w:tcPr>
            <w:tcW w:w="339" w:type="pct"/>
            <w:tcBorders>
              <w:tl2br w:val="nil"/>
              <w:tr2bl w:val="nil"/>
            </w:tcBorders>
            <w:noWrap w:val="0"/>
            <w:vAlign w:val="center"/>
          </w:tcPr>
          <w:p w14:paraId="45F70388">
            <w:pPr>
              <w:spacing w:line="360" w:lineRule="auto"/>
              <w:jc w:val="center"/>
              <w:textAlignment w:val="center"/>
              <w:rPr>
                <w:rFonts w:ascii="宋体" w:hAnsi="宋体" w:cs="宋体"/>
                <w:kern w:val="0"/>
                <w:sz w:val="24"/>
              </w:rPr>
            </w:pPr>
          </w:p>
        </w:tc>
        <w:tc>
          <w:tcPr>
            <w:tcW w:w="455" w:type="pct"/>
            <w:tcBorders>
              <w:tl2br w:val="nil"/>
              <w:tr2bl w:val="nil"/>
            </w:tcBorders>
            <w:noWrap w:val="0"/>
            <w:tcMar>
              <w:top w:w="0" w:type="dxa"/>
              <w:left w:w="108" w:type="dxa"/>
              <w:bottom w:w="0" w:type="dxa"/>
              <w:right w:w="108" w:type="dxa"/>
            </w:tcMar>
            <w:vAlign w:val="center"/>
          </w:tcPr>
          <w:p w14:paraId="611B4E14">
            <w:pPr>
              <w:spacing w:line="360" w:lineRule="auto"/>
              <w:jc w:val="center"/>
              <w:textAlignment w:val="center"/>
              <w:rPr>
                <w:rFonts w:ascii="宋体" w:hAnsi="宋体" w:cs="宋体"/>
                <w:kern w:val="0"/>
                <w:sz w:val="24"/>
              </w:rPr>
            </w:pPr>
          </w:p>
        </w:tc>
        <w:tc>
          <w:tcPr>
            <w:tcW w:w="381" w:type="pct"/>
            <w:tcBorders>
              <w:tl2br w:val="nil"/>
              <w:tr2bl w:val="nil"/>
            </w:tcBorders>
            <w:noWrap w:val="0"/>
            <w:vAlign w:val="center"/>
          </w:tcPr>
          <w:p w14:paraId="32479918">
            <w:pPr>
              <w:spacing w:line="360" w:lineRule="auto"/>
              <w:jc w:val="center"/>
              <w:textAlignment w:val="center"/>
              <w:rPr>
                <w:rFonts w:ascii="宋体" w:hAnsi="宋体" w:cs="宋体"/>
                <w:kern w:val="0"/>
                <w:sz w:val="24"/>
              </w:rPr>
            </w:pPr>
          </w:p>
        </w:tc>
      </w:tr>
      <w:tr w14:paraId="1CF4BAA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47" w:hRule="exact"/>
          <w:jc w:val="center"/>
        </w:trPr>
        <w:tc>
          <w:tcPr>
            <w:tcW w:w="269" w:type="pct"/>
            <w:tcBorders>
              <w:tl2br w:val="nil"/>
              <w:tr2bl w:val="nil"/>
            </w:tcBorders>
            <w:noWrap w:val="0"/>
            <w:vAlign w:val="center"/>
          </w:tcPr>
          <w:p w14:paraId="4CA00690">
            <w:pPr>
              <w:widowControl/>
              <w:spacing w:line="360" w:lineRule="auto"/>
              <w:jc w:val="center"/>
              <w:textAlignment w:val="center"/>
              <w:rPr>
                <w:rFonts w:hint="eastAsia" w:ascii="宋体" w:hAnsi="宋体" w:cs="宋体"/>
                <w:kern w:val="0"/>
                <w:sz w:val="24"/>
              </w:rPr>
            </w:pPr>
          </w:p>
        </w:tc>
        <w:tc>
          <w:tcPr>
            <w:tcW w:w="1612" w:type="pct"/>
            <w:tcBorders>
              <w:tl2br w:val="nil"/>
              <w:tr2bl w:val="nil"/>
            </w:tcBorders>
            <w:noWrap w:val="0"/>
            <w:vAlign w:val="center"/>
          </w:tcPr>
          <w:p w14:paraId="3C5FA7A2">
            <w:pPr>
              <w:spacing w:line="360" w:lineRule="auto"/>
              <w:jc w:val="center"/>
              <w:textAlignment w:val="center"/>
              <w:rPr>
                <w:rFonts w:ascii="宋体" w:hAnsi="宋体" w:cs="宋体"/>
                <w:kern w:val="0"/>
                <w:sz w:val="24"/>
              </w:rPr>
            </w:pPr>
          </w:p>
        </w:tc>
        <w:tc>
          <w:tcPr>
            <w:tcW w:w="1431" w:type="pct"/>
            <w:tcBorders>
              <w:tl2br w:val="nil"/>
              <w:tr2bl w:val="nil"/>
            </w:tcBorders>
            <w:noWrap w:val="0"/>
            <w:tcMar>
              <w:top w:w="0" w:type="dxa"/>
              <w:left w:w="108" w:type="dxa"/>
              <w:bottom w:w="0" w:type="dxa"/>
              <w:right w:w="108" w:type="dxa"/>
            </w:tcMar>
            <w:vAlign w:val="center"/>
          </w:tcPr>
          <w:p w14:paraId="48E62A33">
            <w:pPr>
              <w:spacing w:line="360" w:lineRule="auto"/>
              <w:jc w:val="center"/>
              <w:textAlignment w:val="center"/>
              <w:rPr>
                <w:rFonts w:ascii="宋体" w:hAnsi="宋体" w:cs="宋体"/>
                <w:kern w:val="0"/>
                <w:sz w:val="24"/>
              </w:rPr>
            </w:pPr>
          </w:p>
        </w:tc>
        <w:tc>
          <w:tcPr>
            <w:tcW w:w="509" w:type="pct"/>
            <w:tcBorders>
              <w:tl2br w:val="nil"/>
              <w:tr2bl w:val="nil"/>
            </w:tcBorders>
            <w:noWrap w:val="0"/>
            <w:tcMar>
              <w:top w:w="0" w:type="dxa"/>
              <w:left w:w="108" w:type="dxa"/>
              <w:bottom w:w="0" w:type="dxa"/>
              <w:right w:w="108" w:type="dxa"/>
            </w:tcMar>
            <w:vAlign w:val="center"/>
          </w:tcPr>
          <w:p w14:paraId="7B1D5CFB">
            <w:pPr>
              <w:spacing w:line="360" w:lineRule="auto"/>
              <w:jc w:val="center"/>
              <w:textAlignment w:val="center"/>
              <w:rPr>
                <w:rFonts w:ascii="宋体" w:hAnsi="宋体" w:cs="宋体"/>
                <w:kern w:val="0"/>
                <w:sz w:val="24"/>
              </w:rPr>
            </w:pPr>
          </w:p>
        </w:tc>
        <w:tc>
          <w:tcPr>
            <w:tcW w:w="339" w:type="pct"/>
            <w:tcBorders>
              <w:tl2br w:val="nil"/>
              <w:tr2bl w:val="nil"/>
            </w:tcBorders>
            <w:noWrap w:val="0"/>
            <w:vAlign w:val="center"/>
          </w:tcPr>
          <w:p w14:paraId="14F0963C">
            <w:pPr>
              <w:spacing w:line="360" w:lineRule="auto"/>
              <w:jc w:val="center"/>
              <w:textAlignment w:val="center"/>
              <w:rPr>
                <w:rFonts w:ascii="宋体" w:hAnsi="宋体" w:cs="宋体"/>
                <w:kern w:val="0"/>
                <w:sz w:val="24"/>
              </w:rPr>
            </w:pPr>
          </w:p>
        </w:tc>
        <w:tc>
          <w:tcPr>
            <w:tcW w:w="455" w:type="pct"/>
            <w:tcBorders>
              <w:tl2br w:val="nil"/>
              <w:tr2bl w:val="nil"/>
            </w:tcBorders>
            <w:noWrap w:val="0"/>
            <w:tcMar>
              <w:top w:w="0" w:type="dxa"/>
              <w:left w:w="108" w:type="dxa"/>
              <w:bottom w:w="0" w:type="dxa"/>
              <w:right w:w="108" w:type="dxa"/>
            </w:tcMar>
            <w:vAlign w:val="center"/>
          </w:tcPr>
          <w:p w14:paraId="06E7B395">
            <w:pPr>
              <w:spacing w:line="360" w:lineRule="auto"/>
              <w:jc w:val="center"/>
              <w:textAlignment w:val="center"/>
              <w:rPr>
                <w:rFonts w:ascii="宋体" w:hAnsi="宋体" w:cs="宋体"/>
                <w:kern w:val="0"/>
                <w:sz w:val="24"/>
              </w:rPr>
            </w:pPr>
          </w:p>
        </w:tc>
        <w:tc>
          <w:tcPr>
            <w:tcW w:w="381" w:type="pct"/>
            <w:tcBorders>
              <w:tl2br w:val="nil"/>
              <w:tr2bl w:val="nil"/>
            </w:tcBorders>
            <w:noWrap w:val="0"/>
            <w:vAlign w:val="center"/>
          </w:tcPr>
          <w:p w14:paraId="0F9C9D87">
            <w:pPr>
              <w:spacing w:line="360" w:lineRule="auto"/>
              <w:jc w:val="center"/>
              <w:textAlignment w:val="center"/>
              <w:rPr>
                <w:rFonts w:ascii="宋体" w:hAnsi="宋体" w:cs="宋体"/>
                <w:kern w:val="0"/>
                <w:sz w:val="24"/>
              </w:rPr>
            </w:pPr>
          </w:p>
        </w:tc>
      </w:tr>
      <w:tr w14:paraId="5EF1C9A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766" w:hRule="exact"/>
          <w:jc w:val="center"/>
        </w:trPr>
        <w:tc>
          <w:tcPr>
            <w:tcW w:w="3313" w:type="pct"/>
            <w:gridSpan w:val="3"/>
            <w:tcBorders>
              <w:tl2br w:val="nil"/>
              <w:tr2bl w:val="nil"/>
            </w:tcBorders>
            <w:noWrap w:val="0"/>
            <w:tcMar>
              <w:top w:w="0" w:type="dxa"/>
              <w:left w:w="108" w:type="dxa"/>
              <w:bottom w:w="0" w:type="dxa"/>
              <w:right w:w="108" w:type="dxa"/>
            </w:tcMar>
            <w:vAlign w:val="center"/>
          </w:tcPr>
          <w:p w14:paraId="47C65088">
            <w:pPr>
              <w:snapToGrid w:val="0"/>
              <w:spacing w:line="360" w:lineRule="auto"/>
              <w:jc w:val="center"/>
              <w:rPr>
                <w:rFonts w:hint="eastAsia" w:ascii="宋体" w:hAnsi="宋体"/>
                <w:b/>
                <w:sz w:val="24"/>
              </w:rPr>
            </w:pPr>
            <w:r>
              <w:rPr>
                <w:rFonts w:hint="eastAsia" w:ascii="宋体" w:hAnsi="宋体"/>
                <w:b/>
                <w:sz w:val="24"/>
              </w:rPr>
              <w:t>投标报价（元）</w:t>
            </w:r>
          </w:p>
        </w:tc>
        <w:tc>
          <w:tcPr>
            <w:tcW w:w="1686" w:type="pct"/>
            <w:gridSpan w:val="4"/>
            <w:tcBorders>
              <w:tl2br w:val="nil"/>
              <w:tr2bl w:val="nil"/>
            </w:tcBorders>
            <w:noWrap w:val="0"/>
            <w:tcMar>
              <w:top w:w="0" w:type="dxa"/>
              <w:left w:w="108" w:type="dxa"/>
              <w:bottom w:w="0" w:type="dxa"/>
              <w:right w:w="108" w:type="dxa"/>
            </w:tcMar>
            <w:vAlign w:val="center"/>
          </w:tcPr>
          <w:p w14:paraId="349341C9">
            <w:pPr>
              <w:snapToGrid w:val="0"/>
              <w:spacing w:line="360" w:lineRule="auto"/>
              <w:jc w:val="center"/>
              <w:rPr>
                <w:rFonts w:hint="eastAsia" w:ascii="宋体" w:hAnsi="宋体"/>
                <w:sz w:val="24"/>
              </w:rPr>
            </w:pPr>
          </w:p>
        </w:tc>
      </w:tr>
    </w:tbl>
    <w:p w14:paraId="3A3E6631">
      <w:pPr>
        <w:spacing w:line="360" w:lineRule="auto"/>
        <w:rPr>
          <w:color w:val="auto"/>
          <w:kern w:val="0"/>
          <w:szCs w:val="21"/>
          <w:highlight w:val="none"/>
        </w:rPr>
      </w:pPr>
    </w:p>
    <w:p w14:paraId="2C72D6C6">
      <w:pPr>
        <w:spacing w:line="240" w:lineRule="auto"/>
        <w:rPr>
          <w:color w:val="auto"/>
          <w:highlight w:val="none"/>
        </w:rPr>
      </w:pPr>
      <w:r>
        <w:rPr>
          <w:b/>
          <w:bCs/>
          <w:color w:val="auto"/>
          <w:sz w:val="22"/>
          <w:szCs w:val="22"/>
          <w:highlight w:val="none"/>
        </w:rPr>
        <w:t>说明：</w:t>
      </w:r>
      <w:r>
        <w:rPr>
          <w:b/>
          <w:color w:val="auto"/>
          <w:sz w:val="22"/>
          <w:szCs w:val="22"/>
          <w:highlight w:val="none"/>
        </w:rPr>
        <w:t>1.此表内合计总价应与附件二中“开标一览表”投标报价相一致。</w:t>
      </w:r>
    </w:p>
    <w:p w14:paraId="445036B0">
      <w:pPr>
        <w:spacing w:line="240" w:lineRule="auto"/>
        <w:ind w:firstLine="663" w:firstLineChars="300"/>
        <w:rPr>
          <w:b/>
          <w:color w:val="auto"/>
          <w:sz w:val="22"/>
          <w:szCs w:val="22"/>
          <w:highlight w:val="none"/>
        </w:rPr>
      </w:pPr>
      <w:r>
        <w:rPr>
          <w:rFonts w:hint="eastAsia"/>
          <w:b/>
          <w:color w:val="auto"/>
          <w:sz w:val="22"/>
          <w:szCs w:val="22"/>
          <w:highlight w:val="none"/>
          <w:lang w:val="en-US" w:eastAsia="zh-CN"/>
        </w:rPr>
        <w:t>2</w:t>
      </w:r>
      <w:r>
        <w:rPr>
          <w:b/>
          <w:color w:val="auto"/>
          <w:sz w:val="22"/>
          <w:szCs w:val="22"/>
          <w:highlight w:val="none"/>
        </w:rPr>
        <w:t>.</w:t>
      </w:r>
      <w:r>
        <w:rPr>
          <w:b/>
          <w:bCs/>
          <w:color w:val="auto"/>
          <w:sz w:val="22"/>
          <w:szCs w:val="22"/>
          <w:highlight w:val="none"/>
        </w:rPr>
        <w:t>▲</w:t>
      </w:r>
      <w:r>
        <w:rPr>
          <w:b/>
          <w:color w:val="auto"/>
          <w:sz w:val="22"/>
          <w:szCs w:val="22"/>
          <w:highlight w:val="none"/>
          <w:u w:val="single"/>
        </w:rPr>
        <w:t>不提供“投标分项报价表”的报价，视为没有实质性响应招标文件要求。</w:t>
      </w:r>
    </w:p>
    <w:p w14:paraId="3BBEB7FE">
      <w:pPr>
        <w:spacing w:line="380" w:lineRule="exact"/>
        <w:rPr>
          <w:b/>
          <w:bCs/>
          <w:color w:val="auto"/>
          <w:sz w:val="22"/>
          <w:szCs w:val="22"/>
          <w:highlight w:val="none"/>
        </w:rPr>
      </w:pPr>
    </w:p>
    <w:p w14:paraId="12B6D8D9">
      <w:pPr>
        <w:spacing w:line="380" w:lineRule="exact"/>
        <w:rPr>
          <w:b/>
          <w:bCs/>
          <w:color w:val="auto"/>
          <w:sz w:val="22"/>
          <w:szCs w:val="22"/>
          <w:highlight w:val="none"/>
        </w:rPr>
      </w:pPr>
      <w:r>
        <w:rPr>
          <w:b/>
          <w:bCs/>
          <w:color w:val="auto"/>
          <w:sz w:val="22"/>
          <w:szCs w:val="22"/>
          <w:highlight w:val="none"/>
        </w:rPr>
        <w:t>供应商全称（盖章）：</w:t>
      </w:r>
    </w:p>
    <w:p w14:paraId="20B11117">
      <w:pPr>
        <w:spacing w:line="380" w:lineRule="exact"/>
        <w:rPr>
          <w:b/>
          <w:bCs/>
          <w:color w:val="auto"/>
          <w:sz w:val="22"/>
          <w:szCs w:val="22"/>
          <w:highlight w:val="none"/>
        </w:rPr>
      </w:pPr>
      <w:r>
        <w:rPr>
          <w:b/>
          <w:bCs/>
          <w:color w:val="auto"/>
          <w:sz w:val="22"/>
          <w:szCs w:val="22"/>
          <w:highlight w:val="none"/>
        </w:rPr>
        <w:t>法定代表人或授权代表（签名或盖章）：</w:t>
      </w:r>
    </w:p>
    <w:p w14:paraId="1AE0AF8D">
      <w:pPr>
        <w:spacing w:line="380" w:lineRule="exact"/>
        <w:rPr>
          <w:b/>
          <w:bCs/>
          <w:color w:val="auto"/>
          <w:sz w:val="22"/>
          <w:szCs w:val="22"/>
          <w:highlight w:val="none"/>
        </w:rPr>
      </w:pPr>
      <w:r>
        <w:rPr>
          <w:b/>
          <w:bCs/>
          <w:color w:val="auto"/>
          <w:sz w:val="22"/>
          <w:szCs w:val="22"/>
          <w:highlight w:val="none"/>
        </w:rPr>
        <w:t>日 期：  年  月  日</w:t>
      </w:r>
    </w:p>
    <w:p w14:paraId="554259C6">
      <w:pPr>
        <w:spacing w:line="360" w:lineRule="auto"/>
        <w:rPr>
          <w:b/>
          <w:bCs/>
          <w:color w:val="auto"/>
          <w:szCs w:val="21"/>
          <w:highlight w:val="none"/>
        </w:rPr>
        <w:sectPr>
          <w:headerReference r:id="rId6" w:type="default"/>
          <w:footerReference r:id="rId7" w:type="default"/>
          <w:footerReference r:id="rId8" w:type="even"/>
          <w:type w:val="nextColumn"/>
          <w:pgSz w:w="11906" w:h="16838"/>
          <w:pgMar w:top="1134" w:right="1134" w:bottom="1134" w:left="1134" w:header="851" w:footer="851" w:gutter="0"/>
          <w:pgBorders>
            <w:top w:val="none" w:sz="0" w:space="0"/>
            <w:left w:val="none" w:sz="0" w:space="0"/>
            <w:bottom w:val="none" w:sz="0" w:space="0"/>
            <w:right w:val="none" w:sz="0" w:space="0"/>
          </w:pgBorders>
          <w:cols w:space="720" w:num="1"/>
          <w:docGrid w:linePitch="312" w:charSpace="0"/>
        </w:sectPr>
      </w:pPr>
    </w:p>
    <w:p w14:paraId="3E475310">
      <w:pPr>
        <w:widowControl/>
        <w:autoSpaceDE w:val="0"/>
        <w:spacing w:line="360" w:lineRule="auto"/>
        <w:jc w:val="center"/>
        <w:outlineLvl w:val="1"/>
        <w:rPr>
          <w:b/>
          <w:color w:val="auto"/>
          <w:sz w:val="22"/>
          <w:szCs w:val="22"/>
          <w:highlight w:val="none"/>
          <w:lang w:bidi="ar"/>
        </w:rPr>
      </w:pPr>
      <w:r>
        <w:rPr>
          <w:rFonts w:hint="eastAsia"/>
          <w:b/>
          <w:color w:val="auto"/>
          <w:sz w:val="22"/>
          <w:szCs w:val="22"/>
          <w:highlight w:val="none"/>
          <w:lang w:val="en-US" w:eastAsia="zh-CN" w:bidi="ar"/>
        </w:rPr>
        <w:t>三、商务技术文件</w:t>
      </w:r>
    </w:p>
    <w:p w14:paraId="1D24FF66">
      <w:pPr>
        <w:widowControl/>
        <w:autoSpaceDE w:val="0"/>
        <w:spacing w:line="360" w:lineRule="auto"/>
        <w:outlineLvl w:val="1"/>
        <w:rPr>
          <w:b/>
          <w:color w:val="auto"/>
          <w:sz w:val="22"/>
          <w:szCs w:val="22"/>
          <w:highlight w:val="none"/>
          <w:lang w:bidi="ar"/>
        </w:rPr>
      </w:pPr>
      <w:r>
        <w:rPr>
          <w:b/>
          <w:color w:val="auto"/>
          <w:sz w:val="22"/>
          <w:szCs w:val="22"/>
          <w:highlight w:val="none"/>
          <w:lang w:bidi="ar"/>
        </w:rPr>
        <w:t>附件四</w:t>
      </w:r>
    </w:p>
    <w:p w14:paraId="44708586">
      <w:pPr>
        <w:spacing w:line="360" w:lineRule="auto"/>
        <w:jc w:val="center"/>
        <w:rPr>
          <w:b/>
          <w:bCs/>
          <w:color w:val="auto"/>
          <w:sz w:val="28"/>
          <w:szCs w:val="28"/>
          <w:highlight w:val="none"/>
        </w:rPr>
      </w:pPr>
      <w:r>
        <w:rPr>
          <w:b/>
          <w:bCs/>
          <w:color w:val="auto"/>
          <w:sz w:val="28"/>
          <w:szCs w:val="28"/>
          <w:highlight w:val="none"/>
        </w:rPr>
        <w:t>投 标 函</w:t>
      </w:r>
    </w:p>
    <w:p w14:paraId="73C59CD0">
      <w:pPr>
        <w:spacing w:line="360" w:lineRule="auto"/>
        <w:rPr>
          <w:color w:val="auto"/>
          <w:sz w:val="22"/>
          <w:szCs w:val="22"/>
          <w:highlight w:val="none"/>
        </w:rPr>
      </w:pPr>
      <w:r>
        <w:rPr>
          <w:rFonts w:hint="eastAsia"/>
          <w:color w:val="auto"/>
          <w:sz w:val="22"/>
          <w:szCs w:val="22"/>
          <w:highlight w:val="none"/>
          <w:lang w:eastAsia="zh-CN"/>
        </w:rPr>
        <w:t>温州市数据集团有限公司</w:t>
      </w:r>
      <w:r>
        <w:rPr>
          <w:color w:val="auto"/>
          <w:sz w:val="22"/>
          <w:szCs w:val="22"/>
          <w:highlight w:val="none"/>
        </w:rPr>
        <w:t>：</w:t>
      </w:r>
    </w:p>
    <w:p w14:paraId="16BF5393">
      <w:pPr>
        <w:spacing w:line="360" w:lineRule="auto"/>
        <w:rPr>
          <w:color w:val="auto"/>
          <w:sz w:val="22"/>
          <w:szCs w:val="22"/>
          <w:highlight w:val="none"/>
        </w:rPr>
      </w:pPr>
      <w:r>
        <w:rPr>
          <w:color w:val="auto"/>
          <w:sz w:val="22"/>
          <w:szCs w:val="22"/>
          <w:highlight w:val="none"/>
        </w:rPr>
        <w:t>浙江工汇项目管理有限公司：</w:t>
      </w:r>
    </w:p>
    <w:p w14:paraId="6F652508">
      <w:pPr>
        <w:tabs>
          <w:tab w:val="left" w:pos="2520"/>
        </w:tabs>
        <w:spacing w:line="360" w:lineRule="auto"/>
        <w:ind w:firstLine="440" w:firstLineChars="200"/>
        <w:rPr>
          <w:color w:val="auto"/>
          <w:sz w:val="22"/>
          <w:szCs w:val="22"/>
          <w:highlight w:val="none"/>
        </w:rPr>
      </w:pPr>
      <w:r>
        <w:rPr>
          <w:color w:val="auto"/>
          <w:sz w:val="22"/>
          <w:szCs w:val="22"/>
          <w:highlight w:val="none"/>
        </w:rPr>
        <w:t>根据贵方为</w:t>
      </w:r>
      <w:r>
        <w:rPr>
          <w:color w:val="auto"/>
          <w:sz w:val="22"/>
          <w:szCs w:val="22"/>
          <w:highlight w:val="none"/>
          <w:u w:val="single"/>
        </w:rPr>
        <w:t xml:space="preserve">          </w:t>
      </w:r>
      <w:r>
        <w:rPr>
          <w:color w:val="auto"/>
          <w:sz w:val="22"/>
          <w:szCs w:val="22"/>
          <w:highlight w:val="none"/>
        </w:rPr>
        <w:t>采购项目（采购编号：</w:t>
      </w:r>
      <w:r>
        <w:rPr>
          <w:color w:val="auto"/>
          <w:sz w:val="22"/>
          <w:szCs w:val="22"/>
          <w:highlight w:val="none"/>
          <w:u w:val="single"/>
        </w:rPr>
        <w:t xml:space="preserve">        </w:t>
      </w:r>
      <w:r>
        <w:rPr>
          <w:color w:val="auto"/>
          <w:sz w:val="22"/>
          <w:szCs w:val="22"/>
          <w:highlight w:val="none"/>
        </w:rPr>
        <w:t>）的投标邀请，我方</w:t>
      </w:r>
      <w:r>
        <w:rPr>
          <w:color w:val="auto"/>
          <w:sz w:val="22"/>
          <w:szCs w:val="22"/>
          <w:highlight w:val="none"/>
          <w:u w:val="single"/>
        </w:rPr>
        <w:t xml:space="preserve">　         </w:t>
      </w:r>
      <w:r>
        <w:rPr>
          <w:color w:val="auto"/>
          <w:sz w:val="22"/>
          <w:szCs w:val="22"/>
          <w:highlight w:val="none"/>
        </w:rPr>
        <w:t>（投标人名称）作为投标人正式授权</w:t>
      </w:r>
      <w:r>
        <w:rPr>
          <w:color w:val="auto"/>
          <w:sz w:val="22"/>
          <w:szCs w:val="22"/>
          <w:highlight w:val="none"/>
          <w:u w:val="single"/>
        </w:rPr>
        <w:t>　      （</w:t>
      </w:r>
      <w:r>
        <w:rPr>
          <w:color w:val="auto"/>
          <w:sz w:val="22"/>
          <w:szCs w:val="22"/>
          <w:highlight w:val="none"/>
        </w:rPr>
        <w:t>授权代表全名，职务）代表我方处理有关本投标的一切事宜。</w:t>
      </w:r>
    </w:p>
    <w:p w14:paraId="3817D3DD">
      <w:pPr>
        <w:tabs>
          <w:tab w:val="left" w:pos="2520"/>
        </w:tabs>
        <w:spacing w:line="360" w:lineRule="auto"/>
        <w:ind w:firstLine="440" w:firstLineChars="200"/>
        <w:rPr>
          <w:color w:val="auto"/>
          <w:sz w:val="22"/>
          <w:szCs w:val="22"/>
          <w:highlight w:val="none"/>
        </w:rPr>
      </w:pPr>
      <w:r>
        <w:rPr>
          <w:color w:val="auto"/>
          <w:sz w:val="22"/>
          <w:szCs w:val="22"/>
          <w:highlight w:val="none"/>
        </w:rPr>
        <w:t>我方己经仔细研究了采购文件的全部内容。在此提交的投标文件中，包括如下内容，并已加密提交：</w:t>
      </w:r>
    </w:p>
    <w:p w14:paraId="0A482CC9">
      <w:pPr>
        <w:spacing w:line="360" w:lineRule="auto"/>
        <w:ind w:firstLine="330" w:firstLineChars="150"/>
        <w:rPr>
          <w:color w:val="auto"/>
          <w:sz w:val="22"/>
          <w:szCs w:val="22"/>
          <w:highlight w:val="none"/>
        </w:rPr>
      </w:pPr>
      <w:r>
        <w:rPr>
          <w:color w:val="auto"/>
          <w:sz w:val="22"/>
          <w:szCs w:val="22"/>
          <w:highlight w:val="none"/>
        </w:rPr>
        <w:t>（—）按“投标人须知”要求编制的投标文件；</w:t>
      </w:r>
    </w:p>
    <w:p w14:paraId="11F36030">
      <w:pPr>
        <w:spacing w:line="360" w:lineRule="auto"/>
        <w:ind w:firstLine="440" w:firstLineChars="200"/>
        <w:rPr>
          <w:color w:val="auto"/>
          <w:sz w:val="22"/>
          <w:szCs w:val="22"/>
          <w:highlight w:val="none"/>
        </w:rPr>
      </w:pPr>
      <w:r>
        <w:rPr>
          <w:color w:val="auto"/>
          <w:sz w:val="22"/>
          <w:szCs w:val="22"/>
          <w:highlight w:val="none"/>
        </w:rPr>
        <w:t>我方己完全明白采购文件的所有条款要求，并重申以下几点：</w:t>
      </w:r>
    </w:p>
    <w:p w14:paraId="6702D115">
      <w:pPr>
        <w:spacing w:line="360" w:lineRule="auto"/>
        <w:ind w:left="1019" w:leftChars="171" w:hanging="660" w:hangingChars="300"/>
        <w:rPr>
          <w:color w:val="auto"/>
          <w:sz w:val="22"/>
          <w:szCs w:val="22"/>
          <w:highlight w:val="none"/>
        </w:rPr>
      </w:pPr>
      <w:r>
        <w:rPr>
          <w:color w:val="auto"/>
          <w:sz w:val="22"/>
          <w:szCs w:val="22"/>
          <w:highlight w:val="none"/>
        </w:rPr>
        <w:t>（二）本投标文件的有效期自投标截止日起</w:t>
      </w:r>
      <w:r>
        <w:rPr>
          <w:b/>
          <w:color w:val="auto"/>
          <w:sz w:val="22"/>
          <w:szCs w:val="22"/>
          <w:highlight w:val="none"/>
        </w:rPr>
        <w:t>90天内</w:t>
      </w:r>
      <w:r>
        <w:rPr>
          <w:color w:val="auto"/>
          <w:sz w:val="22"/>
          <w:szCs w:val="22"/>
          <w:highlight w:val="none"/>
        </w:rPr>
        <w:t>有效；</w:t>
      </w:r>
    </w:p>
    <w:p w14:paraId="724A3688">
      <w:pPr>
        <w:spacing w:line="360" w:lineRule="auto"/>
        <w:ind w:left="1019" w:leftChars="171" w:hanging="660" w:hangingChars="300"/>
        <w:rPr>
          <w:color w:val="auto"/>
          <w:sz w:val="22"/>
          <w:szCs w:val="22"/>
          <w:highlight w:val="none"/>
        </w:rPr>
      </w:pPr>
      <w:r>
        <w:rPr>
          <w:color w:val="auto"/>
          <w:sz w:val="22"/>
          <w:szCs w:val="22"/>
          <w:highlight w:val="none"/>
        </w:rPr>
        <w:t>（三）我方已详细研究了采购文件的所有内容包括修改书（如有）和所有已提供的参考资料以及有关附件，我方完全理解并同意放弃在此方面提出含糊意见或误解的一切权力；</w:t>
      </w:r>
    </w:p>
    <w:p w14:paraId="1120C811">
      <w:pPr>
        <w:spacing w:line="360" w:lineRule="auto"/>
        <w:ind w:left="1019" w:leftChars="171" w:hanging="660" w:hangingChars="300"/>
        <w:rPr>
          <w:color w:val="auto"/>
          <w:sz w:val="22"/>
          <w:szCs w:val="22"/>
          <w:highlight w:val="none"/>
        </w:rPr>
      </w:pPr>
      <w:r>
        <w:rPr>
          <w:color w:val="auto"/>
          <w:sz w:val="22"/>
          <w:szCs w:val="22"/>
          <w:highlight w:val="none"/>
        </w:rPr>
        <w:t>（四）我方明白并愿意在规定的开标时间之后，投标人在投标有效期内撤回投标，其投标保证金将被贵方没收；</w:t>
      </w:r>
    </w:p>
    <w:p w14:paraId="2646EADE">
      <w:pPr>
        <w:spacing w:line="360" w:lineRule="auto"/>
        <w:ind w:left="359" w:leftChars="171"/>
        <w:rPr>
          <w:color w:val="auto"/>
          <w:sz w:val="22"/>
          <w:szCs w:val="22"/>
          <w:highlight w:val="none"/>
        </w:rPr>
      </w:pPr>
      <w:r>
        <w:rPr>
          <w:color w:val="auto"/>
          <w:sz w:val="22"/>
          <w:szCs w:val="22"/>
          <w:highlight w:val="none"/>
        </w:rPr>
        <w:t>（五）我方同意提供按照贵方可能要求的与投标有关的一切数据或资料；</w:t>
      </w:r>
    </w:p>
    <w:p w14:paraId="15507A59">
      <w:pPr>
        <w:spacing w:line="360" w:lineRule="auto"/>
        <w:ind w:left="359" w:leftChars="171"/>
        <w:rPr>
          <w:color w:val="auto"/>
          <w:sz w:val="22"/>
          <w:szCs w:val="22"/>
          <w:highlight w:val="none"/>
        </w:rPr>
      </w:pPr>
      <w:r>
        <w:rPr>
          <w:color w:val="auto"/>
          <w:sz w:val="22"/>
          <w:szCs w:val="22"/>
          <w:highlight w:val="none"/>
        </w:rPr>
        <w:t>（六）我方理解贵方不一定接受最低报价。</w:t>
      </w:r>
    </w:p>
    <w:p w14:paraId="2A36173B">
      <w:pPr>
        <w:spacing w:line="360" w:lineRule="auto"/>
        <w:ind w:left="1019" w:leftChars="171" w:hanging="660" w:hangingChars="300"/>
        <w:rPr>
          <w:color w:val="auto"/>
          <w:sz w:val="22"/>
          <w:szCs w:val="22"/>
          <w:highlight w:val="none"/>
        </w:rPr>
      </w:pPr>
      <w:r>
        <w:rPr>
          <w:color w:val="auto"/>
          <w:sz w:val="22"/>
          <w:szCs w:val="22"/>
          <w:highlight w:val="none"/>
        </w:rPr>
        <w:t>（七）我方如果中标，将保证履行采购文件以及采购文件修改书（如有）中的全部责任和义务，按质、按量、按期完成合同规定的全部任务。</w:t>
      </w:r>
    </w:p>
    <w:p w14:paraId="24FB5D57">
      <w:pPr>
        <w:spacing w:line="360" w:lineRule="auto"/>
        <w:ind w:left="315"/>
        <w:rPr>
          <w:color w:val="auto"/>
          <w:sz w:val="22"/>
          <w:szCs w:val="22"/>
          <w:highlight w:val="none"/>
        </w:rPr>
      </w:pPr>
      <w:r>
        <w:rPr>
          <w:color w:val="auto"/>
          <w:sz w:val="22"/>
          <w:szCs w:val="22"/>
          <w:highlight w:val="none"/>
        </w:rPr>
        <w:t>（八）所有与本投标有关的函件请发往下列地址：</w:t>
      </w:r>
    </w:p>
    <w:p w14:paraId="58C65029">
      <w:pPr>
        <w:spacing w:line="360" w:lineRule="auto"/>
        <w:ind w:firstLine="435"/>
        <w:rPr>
          <w:color w:val="auto"/>
          <w:sz w:val="22"/>
          <w:szCs w:val="22"/>
          <w:highlight w:val="none"/>
        </w:rPr>
      </w:pPr>
      <w:r>
        <w:rPr>
          <w:color w:val="auto"/>
          <w:sz w:val="22"/>
          <w:szCs w:val="22"/>
          <w:highlight w:val="none"/>
        </w:rPr>
        <w:t xml:space="preserve">   地址</w:t>
      </w:r>
      <w:r>
        <w:rPr>
          <w:color w:val="auto"/>
          <w:sz w:val="22"/>
          <w:szCs w:val="22"/>
          <w:highlight w:val="none"/>
          <w:u w:val="single"/>
        </w:rPr>
        <w:t xml:space="preserve">                           </w:t>
      </w:r>
    </w:p>
    <w:p w14:paraId="4A8D997A">
      <w:pPr>
        <w:spacing w:line="360" w:lineRule="auto"/>
        <w:ind w:firstLine="435"/>
        <w:rPr>
          <w:color w:val="auto"/>
          <w:sz w:val="22"/>
          <w:szCs w:val="22"/>
          <w:highlight w:val="none"/>
        </w:rPr>
      </w:pPr>
      <w:r>
        <w:rPr>
          <w:color w:val="auto"/>
          <w:sz w:val="22"/>
          <w:szCs w:val="22"/>
          <w:highlight w:val="none"/>
        </w:rPr>
        <w:t xml:space="preserve">   电话</w:t>
      </w:r>
      <w:r>
        <w:rPr>
          <w:color w:val="auto"/>
          <w:sz w:val="22"/>
          <w:szCs w:val="22"/>
          <w:highlight w:val="none"/>
          <w:u w:val="single"/>
        </w:rPr>
        <w:t xml:space="preserve">                           </w:t>
      </w:r>
    </w:p>
    <w:p w14:paraId="5C9FABC9">
      <w:pPr>
        <w:spacing w:line="360" w:lineRule="auto"/>
        <w:ind w:firstLine="435"/>
        <w:rPr>
          <w:color w:val="auto"/>
          <w:sz w:val="22"/>
          <w:szCs w:val="22"/>
          <w:highlight w:val="none"/>
        </w:rPr>
      </w:pPr>
      <w:r>
        <w:rPr>
          <w:color w:val="auto"/>
          <w:sz w:val="22"/>
          <w:szCs w:val="22"/>
          <w:highlight w:val="none"/>
        </w:rPr>
        <w:t xml:space="preserve">   传真</w:t>
      </w:r>
      <w:r>
        <w:rPr>
          <w:color w:val="auto"/>
          <w:sz w:val="22"/>
          <w:szCs w:val="22"/>
          <w:highlight w:val="none"/>
          <w:u w:val="single"/>
        </w:rPr>
        <w:t xml:space="preserve">                           </w:t>
      </w:r>
    </w:p>
    <w:p w14:paraId="6ECCF766">
      <w:pPr>
        <w:spacing w:line="360" w:lineRule="auto"/>
        <w:ind w:firstLine="770" w:firstLineChars="350"/>
        <w:rPr>
          <w:color w:val="auto"/>
          <w:sz w:val="22"/>
          <w:szCs w:val="22"/>
          <w:highlight w:val="none"/>
        </w:rPr>
      </w:pPr>
      <w:r>
        <w:rPr>
          <w:color w:val="auto"/>
          <w:sz w:val="22"/>
          <w:szCs w:val="22"/>
          <w:highlight w:val="none"/>
        </w:rPr>
        <w:t>电子邮件</w:t>
      </w:r>
      <w:r>
        <w:rPr>
          <w:color w:val="auto"/>
          <w:sz w:val="22"/>
          <w:szCs w:val="22"/>
          <w:highlight w:val="none"/>
          <w:u w:val="single"/>
        </w:rPr>
        <w:t xml:space="preserve">                           </w:t>
      </w:r>
    </w:p>
    <w:p w14:paraId="1A05916A">
      <w:pPr>
        <w:spacing w:line="360" w:lineRule="auto"/>
        <w:ind w:firstLine="435"/>
        <w:rPr>
          <w:color w:val="auto"/>
          <w:sz w:val="22"/>
          <w:szCs w:val="22"/>
          <w:highlight w:val="none"/>
        </w:rPr>
      </w:pPr>
    </w:p>
    <w:p w14:paraId="4D1FFD09">
      <w:pPr>
        <w:rPr>
          <w:color w:val="auto"/>
          <w:highlight w:val="none"/>
        </w:rPr>
      </w:pPr>
    </w:p>
    <w:p w14:paraId="1B5059AF">
      <w:pPr>
        <w:spacing w:line="360" w:lineRule="auto"/>
        <w:rPr>
          <w:color w:val="auto"/>
          <w:sz w:val="22"/>
          <w:szCs w:val="22"/>
          <w:highlight w:val="none"/>
          <w:u w:val="single"/>
        </w:rPr>
      </w:pPr>
      <w:r>
        <w:rPr>
          <w:color w:val="auto"/>
          <w:sz w:val="22"/>
          <w:szCs w:val="22"/>
          <w:highlight w:val="none"/>
        </w:rPr>
        <w:t>供应商全称（盖章）：</w:t>
      </w:r>
      <w:r>
        <w:rPr>
          <w:color w:val="auto"/>
          <w:sz w:val="22"/>
          <w:szCs w:val="22"/>
          <w:highlight w:val="none"/>
          <w:u w:val="single"/>
        </w:rPr>
        <w:t xml:space="preserve">                           </w:t>
      </w:r>
    </w:p>
    <w:p w14:paraId="3AB1B03F">
      <w:pPr>
        <w:spacing w:line="360" w:lineRule="auto"/>
        <w:rPr>
          <w:color w:val="auto"/>
          <w:sz w:val="22"/>
          <w:szCs w:val="22"/>
          <w:highlight w:val="none"/>
        </w:rPr>
      </w:pPr>
      <w:r>
        <w:rPr>
          <w:color w:val="auto"/>
          <w:sz w:val="22"/>
          <w:szCs w:val="22"/>
          <w:highlight w:val="none"/>
        </w:rPr>
        <w:t>法定代表人或授权代表（签字或盖章）：</w:t>
      </w:r>
      <w:r>
        <w:rPr>
          <w:color w:val="auto"/>
          <w:sz w:val="22"/>
          <w:szCs w:val="22"/>
          <w:highlight w:val="none"/>
          <w:u w:val="single"/>
        </w:rPr>
        <w:t xml:space="preserve">                           </w:t>
      </w:r>
    </w:p>
    <w:p w14:paraId="0E492DC7">
      <w:pPr>
        <w:spacing w:line="360" w:lineRule="auto"/>
        <w:rPr>
          <w:color w:val="auto"/>
          <w:sz w:val="22"/>
          <w:szCs w:val="22"/>
          <w:highlight w:val="none"/>
        </w:rPr>
      </w:pPr>
      <w:r>
        <w:rPr>
          <w:color w:val="auto"/>
          <w:sz w:val="22"/>
          <w:szCs w:val="22"/>
          <w:highlight w:val="none"/>
        </w:rPr>
        <w:t>日 期：  年  月  日</w:t>
      </w:r>
      <w:r>
        <w:rPr>
          <w:color w:val="auto"/>
          <w:sz w:val="22"/>
          <w:szCs w:val="22"/>
          <w:highlight w:val="none"/>
          <w:u w:val="single"/>
        </w:rPr>
        <w:t xml:space="preserve">                           </w:t>
      </w:r>
    </w:p>
    <w:p w14:paraId="52B3C7D6">
      <w:pPr>
        <w:spacing w:line="360" w:lineRule="auto"/>
        <w:rPr>
          <w:b/>
          <w:bCs/>
          <w:color w:val="auto"/>
          <w:szCs w:val="21"/>
          <w:highlight w:val="none"/>
        </w:rPr>
      </w:pPr>
    </w:p>
    <w:p w14:paraId="010B9C96">
      <w:pPr>
        <w:spacing w:line="360" w:lineRule="auto"/>
        <w:ind w:left="359" w:leftChars="171"/>
        <w:rPr>
          <w:color w:val="auto"/>
          <w:szCs w:val="21"/>
          <w:highlight w:val="none"/>
        </w:rPr>
        <w:sectPr>
          <w:pgSz w:w="11906" w:h="16838"/>
          <w:pgMar w:top="1134" w:right="1134" w:bottom="1134" w:left="1134" w:header="851" w:footer="851" w:gutter="0"/>
          <w:pgBorders>
            <w:top w:val="none" w:sz="0" w:space="0"/>
            <w:left w:val="none" w:sz="0" w:space="0"/>
            <w:bottom w:val="none" w:sz="0" w:space="0"/>
            <w:right w:val="none" w:sz="0" w:space="0"/>
          </w:pgBorders>
          <w:cols w:space="720" w:num="1"/>
          <w:docGrid w:linePitch="312" w:charSpace="0"/>
        </w:sectPr>
      </w:pPr>
    </w:p>
    <w:p w14:paraId="314A9196">
      <w:pPr>
        <w:widowControl/>
        <w:autoSpaceDE w:val="0"/>
        <w:spacing w:line="360" w:lineRule="auto"/>
        <w:outlineLvl w:val="1"/>
        <w:rPr>
          <w:b/>
          <w:color w:val="auto"/>
          <w:sz w:val="22"/>
          <w:szCs w:val="22"/>
          <w:highlight w:val="none"/>
          <w:lang w:bidi="ar"/>
        </w:rPr>
      </w:pPr>
      <w:r>
        <w:rPr>
          <w:b/>
          <w:color w:val="auto"/>
          <w:sz w:val="22"/>
          <w:szCs w:val="22"/>
          <w:highlight w:val="none"/>
          <w:lang w:bidi="ar"/>
        </w:rPr>
        <w:t>附件五</w:t>
      </w:r>
    </w:p>
    <w:p w14:paraId="3C89FC78">
      <w:pPr>
        <w:spacing w:line="360" w:lineRule="auto"/>
        <w:jc w:val="center"/>
        <w:rPr>
          <w:b/>
          <w:bCs/>
          <w:color w:val="auto"/>
          <w:sz w:val="28"/>
          <w:szCs w:val="28"/>
          <w:highlight w:val="none"/>
        </w:rPr>
      </w:pPr>
      <w:r>
        <w:rPr>
          <w:b/>
          <w:bCs/>
          <w:color w:val="auto"/>
          <w:sz w:val="28"/>
          <w:szCs w:val="28"/>
          <w:highlight w:val="none"/>
        </w:rPr>
        <w:t>商务条款、技术规格偏离表</w:t>
      </w:r>
    </w:p>
    <w:p w14:paraId="5DF086C2">
      <w:pPr>
        <w:spacing w:line="360" w:lineRule="auto"/>
        <w:rPr>
          <w:b/>
          <w:bCs/>
          <w:color w:val="auto"/>
          <w:sz w:val="22"/>
          <w:szCs w:val="22"/>
          <w:highlight w:val="none"/>
        </w:rPr>
      </w:pPr>
      <w:r>
        <w:rPr>
          <w:b/>
          <w:bCs/>
          <w:color w:val="auto"/>
          <w:sz w:val="22"/>
          <w:szCs w:val="22"/>
          <w:highlight w:val="none"/>
        </w:rPr>
        <w:t>采购项目名称：                                          采购编号：</w:t>
      </w:r>
    </w:p>
    <w:tbl>
      <w:tblPr>
        <w:tblStyle w:val="29"/>
        <w:tblW w:w="0" w:type="auto"/>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919"/>
        <w:gridCol w:w="2140"/>
        <w:gridCol w:w="2170"/>
        <w:gridCol w:w="1973"/>
        <w:gridCol w:w="1656"/>
      </w:tblGrid>
      <w:tr w14:paraId="79E951D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1919" w:type="dxa"/>
            <w:shd w:val="clear" w:color="auto" w:fill="D9D9D9"/>
            <w:vAlign w:val="center"/>
          </w:tcPr>
          <w:p w14:paraId="5499BFBA">
            <w:pPr>
              <w:jc w:val="center"/>
              <w:rPr>
                <w:color w:val="auto"/>
                <w:sz w:val="22"/>
                <w:szCs w:val="22"/>
                <w:highlight w:val="none"/>
              </w:rPr>
            </w:pPr>
            <w:r>
              <w:rPr>
                <w:color w:val="auto"/>
                <w:sz w:val="22"/>
                <w:szCs w:val="22"/>
                <w:highlight w:val="none"/>
              </w:rPr>
              <w:t>内   容</w:t>
            </w:r>
          </w:p>
        </w:tc>
        <w:tc>
          <w:tcPr>
            <w:tcW w:w="2140" w:type="dxa"/>
            <w:shd w:val="clear" w:color="auto" w:fill="D9D9D9"/>
            <w:vAlign w:val="center"/>
          </w:tcPr>
          <w:p w14:paraId="277F06B8">
            <w:pPr>
              <w:jc w:val="center"/>
              <w:rPr>
                <w:color w:val="auto"/>
                <w:sz w:val="22"/>
                <w:szCs w:val="22"/>
                <w:highlight w:val="none"/>
              </w:rPr>
            </w:pPr>
            <w:r>
              <w:rPr>
                <w:color w:val="auto"/>
                <w:sz w:val="22"/>
                <w:szCs w:val="22"/>
                <w:highlight w:val="none"/>
              </w:rPr>
              <w:t>采购文件条目</w:t>
            </w:r>
          </w:p>
        </w:tc>
        <w:tc>
          <w:tcPr>
            <w:tcW w:w="2170" w:type="dxa"/>
            <w:shd w:val="clear" w:color="auto" w:fill="D9D9D9"/>
            <w:vAlign w:val="center"/>
          </w:tcPr>
          <w:p w14:paraId="771231CE">
            <w:pPr>
              <w:jc w:val="center"/>
              <w:rPr>
                <w:color w:val="auto"/>
                <w:sz w:val="22"/>
                <w:szCs w:val="22"/>
                <w:highlight w:val="none"/>
              </w:rPr>
            </w:pPr>
            <w:r>
              <w:rPr>
                <w:color w:val="auto"/>
                <w:sz w:val="22"/>
                <w:szCs w:val="22"/>
                <w:highlight w:val="none"/>
              </w:rPr>
              <w:t>采购文件要求</w:t>
            </w:r>
          </w:p>
        </w:tc>
        <w:tc>
          <w:tcPr>
            <w:tcW w:w="1973" w:type="dxa"/>
            <w:shd w:val="clear" w:color="auto" w:fill="D9D9D9"/>
            <w:vAlign w:val="center"/>
          </w:tcPr>
          <w:p w14:paraId="75EBB364">
            <w:pPr>
              <w:jc w:val="center"/>
              <w:rPr>
                <w:color w:val="auto"/>
                <w:sz w:val="22"/>
                <w:szCs w:val="22"/>
                <w:highlight w:val="none"/>
              </w:rPr>
            </w:pPr>
            <w:r>
              <w:rPr>
                <w:color w:val="auto"/>
                <w:sz w:val="22"/>
                <w:szCs w:val="22"/>
                <w:highlight w:val="none"/>
              </w:rPr>
              <w:t>投标文件响应</w:t>
            </w:r>
          </w:p>
        </w:tc>
        <w:tc>
          <w:tcPr>
            <w:tcW w:w="1656" w:type="dxa"/>
            <w:shd w:val="clear" w:color="auto" w:fill="D9D9D9"/>
            <w:vAlign w:val="center"/>
          </w:tcPr>
          <w:p w14:paraId="072C42CC">
            <w:pPr>
              <w:jc w:val="center"/>
              <w:rPr>
                <w:color w:val="auto"/>
                <w:sz w:val="22"/>
                <w:szCs w:val="22"/>
                <w:highlight w:val="none"/>
              </w:rPr>
            </w:pPr>
            <w:r>
              <w:rPr>
                <w:color w:val="auto"/>
                <w:sz w:val="22"/>
                <w:szCs w:val="22"/>
                <w:highlight w:val="none"/>
              </w:rPr>
              <w:t>说   明</w:t>
            </w:r>
          </w:p>
        </w:tc>
      </w:tr>
      <w:tr w14:paraId="1958C15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1919" w:type="dxa"/>
            <w:vMerge w:val="restart"/>
            <w:vAlign w:val="center"/>
          </w:tcPr>
          <w:p w14:paraId="1C9E6531">
            <w:pPr>
              <w:ind w:firstLine="220" w:firstLineChars="100"/>
              <w:rPr>
                <w:color w:val="auto"/>
                <w:sz w:val="22"/>
                <w:szCs w:val="22"/>
                <w:highlight w:val="none"/>
              </w:rPr>
            </w:pPr>
            <w:r>
              <w:rPr>
                <w:color w:val="auto"/>
                <w:sz w:val="22"/>
                <w:szCs w:val="22"/>
                <w:highlight w:val="none"/>
              </w:rPr>
              <w:t>商务条款</w:t>
            </w:r>
          </w:p>
        </w:tc>
        <w:tc>
          <w:tcPr>
            <w:tcW w:w="2140" w:type="dxa"/>
            <w:vAlign w:val="center"/>
          </w:tcPr>
          <w:p w14:paraId="5F82252E">
            <w:pPr>
              <w:jc w:val="center"/>
              <w:rPr>
                <w:color w:val="auto"/>
                <w:sz w:val="22"/>
                <w:szCs w:val="22"/>
                <w:highlight w:val="none"/>
              </w:rPr>
            </w:pPr>
          </w:p>
        </w:tc>
        <w:tc>
          <w:tcPr>
            <w:tcW w:w="2170" w:type="dxa"/>
            <w:vAlign w:val="center"/>
          </w:tcPr>
          <w:p w14:paraId="528ED3FE">
            <w:pPr>
              <w:jc w:val="center"/>
              <w:rPr>
                <w:color w:val="auto"/>
                <w:sz w:val="22"/>
                <w:szCs w:val="22"/>
                <w:highlight w:val="none"/>
              </w:rPr>
            </w:pPr>
          </w:p>
        </w:tc>
        <w:tc>
          <w:tcPr>
            <w:tcW w:w="1973" w:type="dxa"/>
            <w:vAlign w:val="center"/>
          </w:tcPr>
          <w:p w14:paraId="2207CECC">
            <w:pPr>
              <w:jc w:val="center"/>
              <w:rPr>
                <w:color w:val="auto"/>
                <w:sz w:val="22"/>
                <w:szCs w:val="22"/>
                <w:highlight w:val="none"/>
              </w:rPr>
            </w:pPr>
          </w:p>
        </w:tc>
        <w:tc>
          <w:tcPr>
            <w:tcW w:w="1656" w:type="dxa"/>
            <w:vAlign w:val="center"/>
          </w:tcPr>
          <w:p w14:paraId="7B1BF2EB">
            <w:pPr>
              <w:jc w:val="center"/>
              <w:rPr>
                <w:color w:val="auto"/>
                <w:sz w:val="22"/>
                <w:szCs w:val="22"/>
                <w:highlight w:val="none"/>
              </w:rPr>
            </w:pPr>
          </w:p>
        </w:tc>
      </w:tr>
      <w:tr w14:paraId="11E6CD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1919" w:type="dxa"/>
            <w:vMerge w:val="continue"/>
            <w:vAlign w:val="center"/>
          </w:tcPr>
          <w:p w14:paraId="6C8D0817">
            <w:pPr>
              <w:jc w:val="center"/>
              <w:rPr>
                <w:color w:val="auto"/>
                <w:sz w:val="22"/>
                <w:szCs w:val="22"/>
                <w:highlight w:val="none"/>
              </w:rPr>
            </w:pPr>
          </w:p>
        </w:tc>
        <w:tc>
          <w:tcPr>
            <w:tcW w:w="2140" w:type="dxa"/>
            <w:vAlign w:val="center"/>
          </w:tcPr>
          <w:p w14:paraId="2621E75D">
            <w:pPr>
              <w:jc w:val="center"/>
              <w:rPr>
                <w:color w:val="auto"/>
                <w:sz w:val="22"/>
                <w:szCs w:val="22"/>
                <w:highlight w:val="none"/>
              </w:rPr>
            </w:pPr>
          </w:p>
        </w:tc>
        <w:tc>
          <w:tcPr>
            <w:tcW w:w="2170" w:type="dxa"/>
            <w:vAlign w:val="center"/>
          </w:tcPr>
          <w:p w14:paraId="57CEB94E">
            <w:pPr>
              <w:jc w:val="center"/>
              <w:rPr>
                <w:color w:val="auto"/>
                <w:sz w:val="22"/>
                <w:szCs w:val="22"/>
                <w:highlight w:val="none"/>
              </w:rPr>
            </w:pPr>
          </w:p>
        </w:tc>
        <w:tc>
          <w:tcPr>
            <w:tcW w:w="1973" w:type="dxa"/>
            <w:vAlign w:val="center"/>
          </w:tcPr>
          <w:p w14:paraId="450B75B3">
            <w:pPr>
              <w:jc w:val="center"/>
              <w:rPr>
                <w:color w:val="auto"/>
                <w:sz w:val="22"/>
                <w:szCs w:val="22"/>
                <w:highlight w:val="none"/>
              </w:rPr>
            </w:pPr>
          </w:p>
        </w:tc>
        <w:tc>
          <w:tcPr>
            <w:tcW w:w="1656" w:type="dxa"/>
            <w:vAlign w:val="center"/>
          </w:tcPr>
          <w:p w14:paraId="559544D1">
            <w:pPr>
              <w:jc w:val="center"/>
              <w:rPr>
                <w:color w:val="auto"/>
                <w:sz w:val="22"/>
                <w:szCs w:val="22"/>
                <w:highlight w:val="none"/>
              </w:rPr>
            </w:pPr>
          </w:p>
        </w:tc>
      </w:tr>
      <w:tr w14:paraId="6D0EB0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1919" w:type="dxa"/>
            <w:vMerge w:val="continue"/>
            <w:vAlign w:val="center"/>
          </w:tcPr>
          <w:p w14:paraId="42E9BEF7">
            <w:pPr>
              <w:jc w:val="center"/>
              <w:rPr>
                <w:color w:val="auto"/>
                <w:sz w:val="22"/>
                <w:szCs w:val="22"/>
                <w:highlight w:val="none"/>
              </w:rPr>
            </w:pPr>
          </w:p>
        </w:tc>
        <w:tc>
          <w:tcPr>
            <w:tcW w:w="2140" w:type="dxa"/>
            <w:vAlign w:val="center"/>
          </w:tcPr>
          <w:p w14:paraId="7DFBC8A0">
            <w:pPr>
              <w:jc w:val="center"/>
              <w:rPr>
                <w:color w:val="auto"/>
                <w:sz w:val="22"/>
                <w:szCs w:val="22"/>
                <w:highlight w:val="none"/>
              </w:rPr>
            </w:pPr>
          </w:p>
        </w:tc>
        <w:tc>
          <w:tcPr>
            <w:tcW w:w="2170" w:type="dxa"/>
            <w:vAlign w:val="center"/>
          </w:tcPr>
          <w:p w14:paraId="6E9A4106">
            <w:pPr>
              <w:jc w:val="center"/>
              <w:rPr>
                <w:color w:val="auto"/>
                <w:sz w:val="22"/>
                <w:szCs w:val="22"/>
                <w:highlight w:val="none"/>
              </w:rPr>
            </w:pPr>
          </w:p>
        </w:tc>
        <w:tc>
          <w:tcPr>
            <w:tcW w:w="1973" w:type="dxa"/>
            <w:vAlign w:val="center"/>
          </w:tcPr>
          <w:p w14:paraId="3355B4C2">
            <w:pPr>
              <w:jc w:val="center"/>
              <w:rPr>
                <w:color w:val="auto"/>
                <w:sz w:val="22"/>
                <w:szCs w:val="22"/>
                <w:highlight w:val="none"/>
              </w:rPr>
            </w:pPr>
          </w:p>
        </w:tc>
        <w:tc>
          <w:tcPr>
            <w:tcW w:w="1656" w:type="dxa"/>
            <w:vAlign w:val="center"/>
          </w:tcPr>
          <w:p w14:paraId="22604977">
            <w:pPr>
              <w:jc w:val="center"/>
              <w:rPr>
                <w:color w:val="auto"/>
                <w:sz w:val="22"/>
                <w:szCs w:val="22"/>
                <w:highlight w:val="none"/>
              </w:rPr>
            </w:pPr>
          </w:p>
        </w:tc>
      </w:tr>
      <w:tr w14:paraId="3F2E017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1919" w:type="dxa"/>
            <w:vMerge w:val="continue"/>
            <w:vAlign w:val="center"/>
          </w:tcPr>
          <w:p w14:paraId="495A5C51">
            <w:pPr>
              <w:jc w:val="center"/>
              <w:rPr>
                <w:color w:val="auto"/>
                <w:sz w:val="22"/>
                <w:szCs w:val="22"/>
                <w:highlight w:val="none"/>
              </w:rPr>
            </w:pPr>
          </w:p>
        </w:tc>
        <w:tc>
          <w:tcPr>
            <w:tcW w:w="2140" w:type="dxa"/>
            <w:vAlign w:val="center"/>
          </w:tcPr>
          <w:p w14:paraId="54851950">
            <w:pPr>
              <w:jc w:val="center"/>
              <w:rPr>
                <w:color w:val="auto"/>
                <w:sz w:val="22"/>
                <w:szCs w:val="22"/>
                <w:highlight w:val="none"/>
              </w:rPr>
            </w:pPr>
          </w:p>
        </w:tc>
        <w:tc>
          <w:tcPr>
            <w:tcW w:w="2170" w:type="dxa"/>
            <w:vAlign w:val="center"/>
          </w:tcPr>
          <w:p w14:paraId="30325A5B">
            <w:pPr>
              <w:jc w:val="center"/>
              <w:rPr>
                <w:color w:val="auto"/>
                <w:sz w:val="22"/>
                <w:szCs w:val="22"/>
                <w:highlight w:val="none"/>
              </w:rPr>
            </w:pPr>
          </w:p>
        </w:tc>
        <w:tc>
          <w:tcPr>
            <w:tcW w:w="1973" w:type="dxa"/>
            <w:vAlign w:val="center"/>
          </w:tcPr>
          <w:p w14:paraId="54819C2F">
            <w:pPr>
              <w:jc w:val="center"/>
              <w:rPr>
                <w:color w:val="auto"/>
                <w:sz w:val="22"/>
                <w:szCs w:val="22"/>
                <w:highlight w:val="none"/>
              </w:rPr>
            </w:pPr>
          </w:p>
        </w:tc>
        <w:tc>
          <w:tcPr>
            <w:tcW w:w="1656" w:type="dxa"/>
            <w:vAlign w:val="center"/>
          </w:tcPr>
          <w:p w14:paraId="7C35F417">
            <w:pPr>
              <w:jc w:val="center"/>
              <w:rPr>
                <w:color w:val="auto"/>
                <w:sz w:val="22"/>
                <w:szCs w:val="22"/>
                <w:highlight w:val="none"/>
              </w:rPr>
            </w:pPr>
          </w:p>
        </w:tc>
      </w:tr>
      <w:tr w14:paraId="5D92522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1919" w:type="dxa"/>
            <w:vMerge w:val="continue"/>
            <w:vAlign w:val="center"/>
          </w:tcPr>
          <w:p w14:paraId="70D33E59">
            <w:pPr>
              <w:jc w:val="center"/>
              <w:rPr>
                <w:color w:val="auto"/>
                <w:sz w:val="22"/>
                <w:szCs w:val="22"/>
                <w:highlight w:val="none"/>
              </w:rPr>
            </w:pPr>
          </w:p>
        </w:tc>
        <w:tc>
          <w:tcPr>
            <w:tcW w:w="2140" w:type="dxa"/>
            <w:vAlign w:val="center"/>
          </w:tcPr>
          <w:p w14:paraId="218410FC">
            <w:pPr>
              <w:jc w:val="center"/>
              <w:rPr>
                <w:color w:val="auto"/>
                <w:sz w:val="22"/>
                <w:szCs w:val="22"/>
                <w:highlight w:val="none"/>
              </w:rPr>
            </w:pPr>
          </w:p>
        </w:tc>
        <w:tc>
          <w:tcPr>
            <w:tcW w:w="2170" w:type="dxa"/>
            <w:vAlign w:val="center"/>
          </w:tcPr>
          <w:p w14:paraId="5D8E27CB">
            <w:pPr>
              <w:jc w:val="center"/>
              <w:rPr>
                <w:color w:val="auto"/>
                <w:sz w:val="22"/>
                <w:szCs w:val="22"/>
                <w:highlight w:val="none"/>
              </w:rPr>
            </w:pPr>
          </w:p>
        </w:tc>
        <w:tc>
          <w:tcPr>
            <w:tcW w:w="1973" w:type="dxa"/>
            <w:vAlign w:val="center"/>
          </w:tcPr>
          <w:p w14:paraId="36188F3B">
            <w:pPr>
              <w:jc w:val="center"/>
              <w:rPr>
                <w:color w:val="auto"/>
                <w:sz w:val="22"/>
                <w:szCs w:val="22"/>
                <w:highlight w:val="none"/>
              </w:rPr>
            </w:pPr>
          </w:p>
        </w:tc>
        <w:tc>
          <w:tcPr>
            <w:tcW w:w="1656" w:type="dxa"/>
            <w:vAlign w:val="center"/>
          </w:tcPr>
          <w:p w14:paraId="13F202EE">
            <w:pPr>
              <w:jc w:val="center"/>
              <w:rPr>
                <w:color w:val="auto"/>
                <w:sz w:val="22"/>
                <w:szCs w:val="22"/>
                <w:highlight w:val="none"/>
              </w:rPr>
            </w:pPr>
          </w:p>
        </w:tc>
      </w:tr>
      <w:tr w14:paraId="59E1AFB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1919" w:type="dxa"/>
            <w:vMerge w:val="continue"/>
            <w:vAlign w:val="center"/>
          </w:tcPr>
          <w:p w14:paraId="5D3AC03D">
            <w:pPr>
              <w:jc w:val="center"/>
              <w:rPr>
                <w:color w:val="auto"/>
                <w:sz w:val="22"/>
                <w:szCs w:val="22"/>
                <w:highlight w:val="none"/>
              </w:rPr>
            </w:pPr>
          </w:p>
        </w:tc>
        <w:tc>
          <w:tcPr>
            <w:tcW w:w="2140" w:type="dxa"/>
            <w:vAlign w:val="center"/>
          </w:tcPr>
          <w:p w14:paraId="0014C3B2">
            <w:pPr>
              <w:jc w:val="center"/>
              <w:rPr>
                <w:color w:val="auto"/>
                <w:sz w:val="22"/>
                <w:szCs w:val="22"/>
                <w:highlight w:val="none"/>
              </w:rPr>
            </w:pPr>
          </w:p>
        </w:tc>
        <w:tc>
          <w:tcPr>
            <w:tcW w:w="2170" w:type="dxa"/>
            <w:vAlign w:val="center"/>
          </w:tcPr>
          <w:p w14:paraId="104ADA36">
            <w:pPr>
              <w:jc w:val="center"/>
              <w:rPr>
                <w:color w:val="auto"/>
                <w:sz w:val="22"/>
                <w:szCs w:val="22"/>
                <w:highlight w:val="none"/>
              </w:rPr>
            </w:pPr>
          </w:p>
        </w:tc>
        <w:tc>
          <w:tcPr>
            <w:tcW w:w="1973" w:type="dxa"/>
            <w:vAlign w:val="center"/>
          </w:tcPr>
          <w:p w14:paraId="12BE184E">
            <w:pPr>
              <w:jc w:val="center"/>
              <w:rPr>
                <w:color w:val="auto"/>
                <w:sz w:val="22"/>
                <w:szCs w:val="22"/>
                <w:highlight w:val="none"/>
              </w:rPr>
            </w:pPr>
          </w:p>
        </w:tc>
        <w:tc>
          <w:tcPr>
            <w:tcW w:w="1656" w:type="dxa"/>
            <w:vAlign w:val="center"/>
          </w:tcPr>
          <w:p w14:paraId="566AC955">
            <w:pPr>
              <w:jc w:val="center"/>
              <w:rPr>
                <w:color w:val="auto"/>
                <w:sz w:val="22"/>
                <w:szCs w:val="22"/>
                <w:highlight w:val="none"/>
              </w:rPr>
            </w:pPr>
          </w:p>
        </w:tc>
      </w:tr>
      <w:tr w14:paraId="26D9085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1919" w:type="dxa"/>
            <w:vMerge w:val="continue"/>
            <w:vAlign w:val="center"/>
          </w:tcPr>
          <w:p w14:paraId="1BD3E7E7">
            <w:pPr>
              <w:jc w:val="center"/>
              <w:rPr>
                <w:color w:val="auto"/>
                <w:sz w:val="22"/>
                <w:szCs w:val="22"/>
                <w:highlight w:val="none"/>
              </w:rPr>
            </w:pPr>
          </w:p>
        </w:tc>
        <w:tc>
          <w:tcPr>
            <w:tcW w:w="2140" w:type="dxa"/>
            <w:vAlign w:val="center"/>
          </w:tcPr>
          <w:p w14:paraId="0E263099">
            <w:pPr>
              <w:jc w:val="center"/>
              <w:rPr>
                <w:color w:val="auto"/>
                <w:sz w:val="22"/>
                <w:szCs w:val="22"/>
                <w:highlight w:val="none"/>
              </w:rPr>
            </w:pPr>
          </w:p>
        </w:tc>
        <w:tc>
          <w:tcPr>
            <w:tcW w:w="2170" w:type="dxa"/>
            <w:vAlign w:val="center"/>
          </w:tcPr>
          <w:p w14:paraId="52873047">
            <w:pPr>
              <w:jc w:val="center"/>
              <w:rPr>
                <w:color w:val="auto"/>
                <w:sz w:val="22"/>
                <w:szCs w:val="22"/>
                <w:highlight w:val="none"/>
              </w:rPr>
            </w:pPr>
          </w:p>
        </w:tc>
        <w:tc>
          <w:tcPr>
            <w:tcW w:w="1973" w:type="dxa"/>
            <w:vAlign w:val="center"/>
          </w:tcPr>
          <w:p w14:paraId="09AE1E43">
            <w:pPr>
              <w:jc w:val="center"/>
              <w:rPr>
                <w:color w:val="auto"/>
                <w:sz w:val="22"/>
                <w:szCs w:val="22"/>
                <w:highlight w:val="none"/>
              </w:rPr>
            </w:pPr>
          </w:p>
        </w:tc>
        <w:tc>
          <w:tcPr>
            <w:tcW w:w="1656" w:type="dxa"/>
            <w:vAlign w:val="center"/>
          </w:tcPr>
          <w:p w14:paraId="2DC1F7E3">
            <w:pPr>
              <w:jc w:val="center"/>
              <w:rPr>
                <w:color w:val="auto"/>
                <w:sz w:val="22"/>
                <w:szCs w:val="22"/>
                <w:highlight w:val="none"/>
              </w:rPr>
            </w:pPr>
          </w:p>
        </w:tc>
      </w:tr>
      <w:tr w14:paraId="6229FC2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1919" w:type="dxa"/>
            <w:vMerge w:val="restart"/>
            <w:vAlign w:val="center"/>
          </w:tcPr>
          <w:p w14:paraId="0D562EEA">
            <w:pPr>
              <w:ind w:firstLine="220" w:firstLineChars="100"/>
              <w:rPr>
                <w:color w:val="auto"/>
                <w:sz w:val="22"/>
                <w:szCs w:val="22"/>
                <w:highlight w:val="none"/>
              </w:rPr>
            </w:pPr>
            <w:r>
              <w:rPr>
                <w:color w:val="auto"/>
                <w:sz w:val="22"/>
                <w:szCs w:val="22"/>
                <w:highlight w:val="none"/>
              </w:rPr>
              <w:t>技术规格</w:t>
            </w:r>
          </w:p>
        </w:tc>
        <w:tc>
          <w:tcPr>
            <w:tcW w:w="2140" w:type="dxa"/>
            <w:vAlign w:val="center"/>
          </w:tcPr>
          <w:p w14:paraId="294CB594">
            <w:pPr>
              <w:jc w:val="center"/>
              <w:rPr>
                <w:color w:val="auto"/>
                <w:sz w:val="22"/>
                <w:szCs w:val="22"/>
                <w:highlight w:val="none"/>
              </w:rPr>
            </w:pPr>
          </w:p>
        </w:tc>
        <w:tc>
          <w:tcPr>
            <w:tcW w:w="2170" w:type="dxa"/>
            <w:vAlign w:val="center"/>
          </w:tcPr>
          <w:p w14:paraId="7E42F026">
            <w:pPr>
              <w:jc w:val="center"/>
              <w:rPr>
                <w:color w:val="auto"/>
                <w:sz w:val="22"/>
                <w:szCs w:val="22"/>
                <w:highlight w:val="none"/>
              </w:rPr>
            </w:pPr>
          </w:p>
        </w:tc>
        <w:tc>
          <w:tcPr>
            <w:tcW w:w="1973" w:type="dxa"/>
            <w:vAlign w:val="center"/>
          </w:tcPr>
          <w:p w14:paraId="633BCC42">
            <w:pPr>
              <w:jc w:val="center"/>
              <w:rPr>
                <w:color w:val="auto"/>
                <w:sz w:val="22"/>
                <w:szCs w:val="22"/>
                <w:highlight w:val="none"/>
              </w:rPr>
            </w:pPr>
          </w:p>
        </w:tc>
        <w:tc>
          <w:tcPr>
            <w:tcW w:w="1656" w:type="dxa"/>
            <w:vAlign w:val="center"/>
          </w:tcPr>
          <w:p w14:paraId="2ADFE484">
            <w:pPr>
              <w:jc w:val="center"/>
              <w:rPr>
                <w:color w:val="auto"/>
                <w:sz w:val="22"/>
                <w:szCs w:val="22"/>
                <w:highlight w:val="none"/>
              </w:rPr>
            </w:pPr>
          </w:p>
        </w:tc>
      </w:tr>
      <w:tr w14:paraId="2D64739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1919" w:type="dxa"/>
            <w:vMerge w:val="continue"/>
            <w:vAlign w:val="center"/>
          </w:tcPr>
          <w:p w14:paraId="5E091184">
            <w:pPr>
              <w:jc w:val="center"/>
              <w:rPr>
                <w:color w:val="auto"/>
                <w:sz w:val="22"/>
                <w:szCs w:val="22"/>
                <w:highlight w:val="none"/>
              </w:rPr>
            </w:pPr>
          </w:p>
        </w:tc>
        <w:tc>
          <w:tcPr>
            <w:tcW w:w="2140" w:type="dxa"/>
            <w:vAlign w:val="center"/>
          </w:tcPr>
          <w:p w14:paraId="32C072AE">
            <w:pPr>
              <w:jc w:val="center"/>
              <w:rPr>
                <w:color w:val="auto"/>
                <w:sz w:val="22"/>
                <w:szCs w:val="22"/>
                <w:highlight w:val="none"/>
              </w:rPr>
            </w:pPr>
          </w:p>
        </w:tc>
        <w:tc>
          <w:tcPr>
            <w:tcW w:w="2170" w:type="dxa"/>
            <w:vAlign w:val="center"/>
          </w:tcPr>
          <w:p w14:paraId="170AA303">
            <w:pPr>
              <w:jc w:val="center"/>
              <w:rPr>
                <w:color w:val="auto"/>
                <w:sz w:val="22"/>
                <w:szCs w:val="22"/>
                <w:highlight w:val="none"/>
              </w:rPr>
            </w:pPr>
          </w:p>
        </w:tc>
        <w:tc>
          <w:tcPr>
            <w:tcW w:w="1973" w:type="dxa"/>
            <w:vAlign w:val="center"/>
          </w:tcPr>
          <w:p w14:paraId="50843104">
            <w:pPr>
              <w:jc w:val="center"/>
              <w:rPr>
                <w:color w:val="auto"/>
                <w:sz w:val="22"/>
                <w:szCs w:val="22"/>
                <w:highlight w:val="none"/>
              </w:rPr>
            </w:pPr>
          </w:p>
        </w:tc>
        <w:tc>
          <w:tcPr>
            <w:tcW w:w="1656" w:type="dxa"/>
            <w:vAlign w:val="center"/>
          </w:tcPr>
          <w:p w14:paraId="79AE40E5">
            <w:pPr>
              <w:jc w:val="center"/>
              <w:rPr>
                <w:color w:val="auto"/>
                <w:sz w:val="22"/>
                <w:szCs w:val="22"/>
                <w:highlight w:val="none"/>
              </w:rPr>
            </w:pPr>
          </w:p>
        </w:tc>
      </w:tr>
      <w:tr w14:paraId="1A77E9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1919" w:type="dxa"/>
            <w:vMerge w:val="continue"/>
            <w:vAlign w:val="center"/>
          </w:tcPr>
          <w:p w14:paraId="28C4B238">
            <w:pPr>
              <w:jc w:val="center"/>
              <w:rPr>
                <w:color w:val="auto"/>
                <w:sz w:val="22"/>
                <w:szCs w:val="22"/>
                <w:highlight w:val="none"/>
              </w:rPr>
            </w:pPr>
          </w:p>
        </w:tc>
        <w:tc>
          <w:tcPr>
            <w:tcW w:w="2140" w:type="dxa"/>
            <w:vAlign w:val="center"/>
          </w:tcPr>
          <w:p w14:paraId="277669A1">
            <w:pPr>
              <w:jc w:val="center"/>
              <w:rPr>
                <w:color w:val="auto"/>
                <w:sz w:val="22"/>
                <w:szCs w:val="22"/>
                <w:highlight w:val="none"/>
              </w:rPr>
            </w:pPr>
          </w:p>
        </w:tc>
        <w:tc>
          <w:tcPr>
            <w:tcW w:w="2170" w:type="dxa"/>
            <w:vAlign w:val="center"/>
          </w:tcPr>
          <w:p w14:paraId="07B2E580">
            <w:pPr>
              <w:jc w:val="center"/>
              <w:rPr>
                <w:color w:val="auto"/>
                <w:sz w:val="22"/>
                <w:szCs w:val="22"/>
                <w:highlight w:val="none"/>
              </w:rPr>
            </w:pPr>
          </w:p>
        </w:tc>
        <w:tc>
          <w:tcPr>
            <w:tcW w:w="1973" w:type="dxa"/>
            <w:vAlign w:val="center"/>
          </w:tcPr>
          <w:p w14:paraId="21B48408">
            <w:pPr>
              <w:jc w:val="center"/>
              <w:rPr>
                <w:color w:val="auto"/>
                <w:sz w:val="22"/>
                <w:szCs w:val="22"/>
                <w:highlight w:val="none"/>
              </w:rPr>
            </w:pPr>
          </w:p>
        </w:tc>
        <w:tc>
          <w:tcPr>
            <w:tcW w:w="1656" w:type="dxa"/>
            <w:vAlign w:val="center"/>
          </w:tcPr>
          <w:p w14:paraId="35A038A5">
            <w:pPr>
              <w:jc w:val="center"/>
              <w:rPr>
                <w:color w:val="auto"/>
                <w:sz w:val="22"/>
                <w:szCs w:val="22"/>
                <w:highlight w:val="none"/>
              </w:rPr>
            </w:pPr>
          </w:p>
        </w:tc>
      </w:tr>
      <w:tr w14:paraId="4BF1BF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1919" w:type="dxa"/>
            <w:vMerge w:val="continue"/>
            <w:vAlign w:val="center"/>
          </w:tcPr>
          <w:p w14:paraId="21406196">
            <w:pPr>
              <w:jc w:val="center"/>
              <w:rPr>
                <w:color w:val="auto"/>
                <w:sz w:val="22"/>
                <w:szCs w:val="22"/>
                <w:highlight w:val="none"/>
              </w:rPr>
            </w:pPr>
          </w:p>
        </w:tc>
        <w:tc>
          <w:tcPr>
            <w:tcW w:w="2140" w:type="dxa"/>
            <w:vAlign w:val="center"/>
          </w:tcPr>
          <w:p w14:paraId="6400628E">
            <w:pPr>
              <w:jc w:val="center"/>
              <w:rPr>
                <w:color w:val="auto"/>
                <w:sz w:val="22"/>
                <w:szCs w:val="22"/>
                <w:highlight w:val="none"/>
              </w:rPr>
            </w:pPr>
          </w:p>
        </w:tc>
        <w:tc>
          <w:tcPr>
            <w:tcW w:w="2170" w:type="dxa"/>
            <w:vAlign w:val="center"/>
          </w:tcPr>
          <w:p w14:paraId="0072C52E">
            <w:pPr>
              <w:jc w:val="center"/>
              <w:rPr>
                <w:color w:val="auto"/>
                <w:sz w:val="22"/>
                <w:szCs w:val="22"/>
                <w:highlight w:val="none"/>
              </w:rPr>
            </w:pPr>
          </w:p>
        </w:tc>
        <w:tc>
          <w:tcPr>
            <w:tcW w:w="1973" w:type="dxa"/>
            <w:vAlign w:val="center"/>
          </w:tcPr>
          <w:p w14:paraId="7873D890">
            <w:pPr>
              <w:jc w:val="center"/>
              <w:rPr>
                <w:color w:val="auto"/>
                <w:sz w:val="22"/>
                <w:szCs w:val="22"/>
                <w:highlight w:val="none"/>
              </w:rPr>
            </w:pPr>
          </w:p>
        </w:tc>
        <w:tc>
          <w:tcPr>
            <w:tcW w:w="1656" w:type="dxa"/>
            <w:vAlign w:val="center"/>
          </w:tcPr>
          <w:p w14:paraId="026925C5">
            <w:pPr>
              <w:jc w:val="center"/>
              <w:rPr>
                <w:color w:val="auto"/>
                <w:sz w:val="22"/>
                <w:szCs w:val="22"/>
                <w:highlight w:val="none"/>
              </w:rPr>
            </w:pPr>
          </w:p>
        </w:tc>
      </w:tr>
      <w:tr w14:paraId="6AA5FB6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1919" w:type="dxa"/>
            <w:vMerge w:val="continue"/>
            <w:vAlign w:val="center"/>
          </w:tcPr>
          <w:p w14:paraId="1462BF4C">
            <w:pPr>
              <w:jc w:val="center"/>
              <w:rPr>
                <w:color w:val="auto"/>
                <w:sz w:val="22"/>
                <w:szCs w:val="22"/>
                <w:highlight w:val="none"/>
              </w:rPr>
            </w:pPr>
          </w:p>
        </w:tc>
        <w:tc>
          <w:tcPr>
            <w:tcW w:w="2140" w:type="dxa"/>
            <w:vAlign w:val="center"/>
          </w:tcPr>
          <w:p w14:paraId="3F91B894">
            <w:pPr>
              <w:jc w:val="center"/>
              <w:rPr>
                <w:color w:val="auto"/>
                <w:sz w:val="22"/>
                <w:szCs w:val="22"/>
                <w:highlight w:val="none"/>
              </w:rPr>
            </w:pPr>
          </w:p>
        </w:tc>
        <w:tc>
          <w:tcPr>
            <w:tcW w:w="2170" w:type="dxa"/>
            <w:vAlign w:val="center"/>
          </w:tcPr>
          <w:p w14:paraId="043D454A">
            <w:pPr>
              <w:jc w:val="center"/>
              <w:rPr>
                <w:color w:val="auto"/>
                <w:sz w:val="22"/>
                <w:szCs w:val="22"/>
                <w:highlight w:val="none"/>
              </w:rPr>
            </w:pPr>
          </w:p>
        </w:tc>
        <w:tc>
          <w:tcPr>
            <w:tcW w:w="1973" w:type="dxa"/>
            <w:vAlign w:val="center"/>
          </w:tcPr>
          <w:p w14:paraId="7BA2D976">
            <w:pPr>
              <w:jc w:val="center"/>
              <w:rPr>
                <w:color w:val="auto"/>
                <w:sz w:val="22"/>
                <w:szCs w:val="22"/>
                <w:highlight w:val="none"/>
              </w:rPr>
            </w:pPr>
          </w:p>
        </w:tc>
        <w:tc>
          <w:tcPr>
            <w:tcW w:w="1656" w:type="dxa"/>
            <w:vAlign w:val="center"/>
          </w:tcPr>
          <w:p w14:paraId="0B189948">
            <w:pPr>
              <w:jc w:val="center"/>
              <w:rPr>
                <w:color w:val="auto"/>
                <w:sz w:val="22"/>
                <w:szCs w:val="22"/>
                <w:highlight w:val="none"/>
              </w:rPr>
            </w:pPr>
          </w:p>
        </w:tc>
      </w:tr>
      <w:tr w14:paraId="176B0F3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1919" w:type="dxa"/>
            <w:vMerge w:val="continue"/>
            <w:vAlign w:val="center"/>
          </w:tcPr>
          <w:p w14:paraId="13D4BDC6">
            <w:pPr>
              <w:jc w:val="center"/>
              <w:rPr>
                <w:color w:val="auto"/>
                <w:sz w:val="22"/>
                <w:szCs w:val="22"/>
                <w:highlight w:val="none"/>
              </w:rPr>
            </w:pPr>
          </w:p>
        </w:tc>
        <w:tc>
          <w:tcPr>
            <w:tcW w:w="2140" w:type="dxa"/>
            <w:vAlign w:val="center"/>
          </w:tcPr>
          <w:p w14:paraId="1F644DCE">
            <w:pPr>
              <w:jc w:val="center"/>
              <w:rPr>
                <w:color w:val="auto"/>
                <w:sz w:val="22"/>
                <w:szCs w:val="22"/>
                <w:highlight w:val="none"/>
              </w:rPr>
            </w:pPr>
          </w:p>
        </w:tc>
        <w:tc>
          <w:tcPr>
            <w:tcW w:w="2170" w:type="dxa"/>
            <w:vAlign w:val="center"/>
          </w:tcPr>
          <w:p w14:paraId="3B2D979F">
            <w:pPr>
              <w:jc w:val="center"/>
              <w:rPr>
                <w:color w:val="auto"/>
                <w:sz w:val="22"/>
                <w:szCs w:val="22"/>
                <w:highlight w:val="none"/>
              </w:rPr>
            </w:pPr>
          </w:p>
        </w:tc>
        <w:tc>
          <w:tcPr>
            <w:tcW w:w="1973" w:type="dxa"/>
            <w:vAlign w:val="center"/>
          </w:tcPr>
          <w:p w14:paraId="2C7B7179">
            <w:pPr>
              <w:jc w:val="center"/>
              <w:rPr>
                <w:color w:val="auto"/>
                <w:sz w:val="22"/>
                <w:szCs w:val="22"/>
                <w:highlight w:val="none"/>
              </w:rPr>
            </w:pPr>
          </w:p>
        </w:tc>
        <w:tc>
          <w:tcPr>
            <w:tcW w:w="1656" w:type="dxa"/>
            <w:vAlign w:val="center"/>
          </w:tcPr>
          <w:p w14:paraId="37E92F57">
            <w:pPr>
              <w:jc w:val="center"/>
              <w:rPr>
                <w:color w:val="auto"/>
                <w:sz w:val="22"/>
                <w:szCs w:val="22"/>
                <w:highlight w:val="none"/>
              </w:rPr>
            </w:pPr>
          </w:p>
        </w:tc>
      </w:tr>
      <w:tr w14:paraId="7ED3E96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1919" w:type="dxa"/>
            <w:vMerge w:val="continue"/>
            <w:vAlign w:val="center"/>
          </w:tcPr>
          <w:p w14:paraId="553FA285">
            <w:pPr>
              <w:jc w:val="center"/>
              <w:rPr>
                <w:color w:val="auto"/>
                <w:sz w:val="22"/>
                <w:szCs w:val="22"/>
                <w:highlight w:val="none"/>
              </w:rPr>
            </w:pPr>
          </w:p>
        </w:tc>
        <w:tc>
          <w:tcPr>
            <w:tcW w:w="2140" w:type="dxa"/>
            <w:vAlign w:val="center"/>
          </w:tcPr>
          <w:p w14:paraId="60107A20">
            <w:pPr>
              <w:jc w:val="center"/>
              <w:rPr>
                <w:color w:val="auto"/>
                <w:sz w:val="22"/>
                <w:szCs w:val="22"/>
                <w:highlight w:val="none"/>
              </w:rPr>
            </w:pPr>
          </w:p>
        </w:tc>
        <w:tc>
          <w:tcPr>
            <w:tcW w:w="2170" w:type="dxa"/>
            <w:vAlign w:val="center"/>
          </w:tcPr>
          <w:p w14:paraId="6DCA549F">
            <w:pPr>
              <w:jc w:val="center"/>
              <w:rPr>
                <w:color w:val="auto"/>
                <w:sz w:val="22"/>
                <w:szCs w:val="22"/>
                <w:highlight w:val="none"/>
              </w:rPr>
            </w:pPr>
          </w:p>
        </w:tc>
        <w:tc>
          <w:tcPr>
            <w:tcW w:w="1973" w:type="dxa"/>
            <w:vAlign w:val="center"/>
          </w:tcPr>
          <w:p w14:paraId="4C804980">
            <w:pPr>
              <w:jc w:val="center"/>
              <w:rPr>
                <w:color w:val="auto"/>
                <w:sz w:val="22"/>
                <w:szCs w:val="22"/>
                <w:highlight w:val="none"/>
              </w:rPr>
            </w:pPr>
          </w:p>
        </w:tc>
        <w:tc>
          <w:tcPr>
            <w:tcW w:w="1656" w:type="dxa"/>
            <w:vAlign w:val="center"/>
          </w:tcPr>
          <w:p w14:paraId="6DC4209E">
            <w:pPr>
              <w:jc w:val="center"/>
              <w:rPr>
                <w:color w:val="auto"/>
                <w:sz w:val="22"/>
                <w:szCs w:val="22"/>
                <w:highlight w:val="none"/>
              </w:rPr>
            </w:pPr>
          </w:p>
        </w:tc>
      </w:tr>
      <w:tr w14:paraId="2D59814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1919" w:type="dxa"/>
            <w:vMerge w:val="continue"/>
            <w:vAlign w:val="center"/>
          </w:tcPr>
          <w:p w14:paraId="3123C30E">
            <w:pPr>
              <w:jc w:val="center"/>
              <w:rPr>
                <w:color w:val="auto"/>
                <w:sz w:val="22"/>
                <w:szCs w:val="22"/>
                <w:highlight w:val="none"/>
              </w:rPr>
            </w:pPr>
          </w:p>
        </w:tc>
        <w:tc>
          <w:tcPr>
            <w:tcW w:w="2140" w:type="dxa"/>
            <w:vAlign w:val="center"/>
          </w:tcPr>
          <w:p w14:paraId="38386F11">
            <w:pPr>
              <w:jc w:val="center"/>
              <w:rPr>
                <w:color w:val="auto"/>
                <w:sz w:val="22"/>
                <w:szCs w:val="22"/>
                <w:highlight w:val="none"/>
              </w:rPr>
            </w:pPr>
          </w:p>
        </w:tc>
        <w:tc>
          <w:tcPr>
            <w:tcW w:w="2170" w:type="dxa"/>
            <w:vAlign w:val="center"/>
          </w:tcPr>
          <w:p w14:paraId="7C71DE02">
            <w:pPr>
              <w:jc w:val="center"/>
              <w:rPr>
                <w:color w:val="auto"/>
                <w:sz w:val="22"/>
                <w:szCs w:val="22"/>
                <w:highlight w:val="none"/>
              </w:rPr>
            </w:pPr>
          </w:p>
        </w:tc>
        <w:tc>
          <w:tcPr>
            <w:tcW w:w="1973" w:type="dxa"/>
            <w:vAlign w:val="center"/>
          </w:tcPr>
          <w:p w14:paraId="685EA334">
            <w:pPr>
              <w:jc w:val="center"/>
              <w:rPr>
                <w:color w:val="auto"/>
                <w:sz w:val="22"/>
                <w:szCs w:val="22"/>
                <w:highlight w:val="none"/>
              </w:rPr>
            </w:pPr>
          </w:p>
        </w:tc>
        <w:tc>
          <w:tcPr>
            <w:tcW w:w="1656" w:type="dxa"/>
            <w:vAlign w:val="center"/>
          </w:tcPr>
          <w:p w14:paraId="4B03A512">
            <w:pPr>
              <w:jc w:val="center"/>
              <w:rPr>
                <w:color w:val="auto"/>
                <w:sz w:val="22"/>
                <w:szCs w:val="22"/>
                <w:highlight w:val="none"/>
              </w:rPr>
            </w:pPr>
          </w:p>
        </w:tc>
      </w:tr>
    </w:tbl>
    <w:p w14:paraId="7B217FBD">
      <w:pPr>
        <w:spacing w:line="360" w:lineRule="auto"/>
        <w:rPr>
          <w:color w:val="auto"/>
          <w:sz w:val="22"/>
          <w:szCs w:val="22"/>
          <w:highlight w:val="none"/>
        </w:rPr>
      </w:pPr>
    </w:p>
    <w:p w14:paraId="05EA825C">
      <w:pPr>
        <w:spacing w:line="360" w:lineRule="auto"/>
        <w:rPr>
          <w:color w:val="auto"/>
          <w:sz w:val="22"/>
          <w:szCs w:val="22"/>
          <w:highlight w:val="none"/>
        </w:rPr>
      </w:pPr>
      <w:r>
        <w:rPr>
          <w:color w:val="auto"/>
          <w:sz w:val="22"/>
          <w:szCs w:val="22"/>
          <w:highlight w:val="none"/>
        </w:rPr>
        <w:t>注：</w:t>
      </w:r>
      <w:r>
        <w:rPr>
          <w:b/>
          <w:bCs/>
          <w:color w:val="auto"/>
          <w:sz w:val="22"/>
          <w:szCs w:val="22"/>
          <w:highlight w:val="none"/>
        </w:rPr>
        <w:t>1.此表可扩展使用，如有偏离，必须在偏离表中进行详细对比说明并注明正偏离和负偏离，如不说明偏离情况或未提供此表，均视为完全响应招标文件要求无偏离。</w:t>
      </w:r>
    </w:p>
    <w:p w14:paraId="5613D2EF">
      <w:pPr>
        <w:spacing w:line="360" w:lineRule="auto"/>
        <w:ind w:firstLine="429" w:firstLineChars="195"/>
        <w:rPr>
          <w:color w:val="auto"/>
          <w:sz w:val="22"/>
          <w:szCs w:val="22"/>
          <w:highlight w:val="none"/>
        </w:rPr>
      </w:pPr>
      <w:r>
        <w:rPr>
          <w:color w:val="auto"/>
          <w:sz w:val="22"/>
          <w:szCs w:val="22"/>
          <w:highlight w:val="none"/>
        </w:rPr>
        <w:t>2.不填写此表视为完全响应采购文件内容。</w:t>
      </w:r>
    </w:p>
    <w:p w14:paraId="5F10244A">
      <w:pPr>
        <w:spacing w:line="360" w:lineRule="auto"/>
        <w:ind w:firstLine="4417" w:firstLineChars="2000"/>
        <w:rPr>
          <w:b/>
          <w:color w:val="auto"/>
          <w:sz w:val="22"/>
          <w:szCs w:val="22"/>
          <w:highlight w:val="none"/>
        </w:rPr>
      </w:pPr>
    </w:p>
    <w:p w14:paraId="5EA667D8">
      <w:pPr>
        <w:spacing w:line="360" w:lineRule="auto"/>
        <w:ind w:left="359" w:leftChars="171"/>
        <w:rPr>
          <w:color w:val="auto"/>
          <w:sz w:val="22"/>
          <w:szCs w:val="22"/>
          <w:highlight w:val="none"/>
        </w:rPr>
      </w:pPr>
      <w:r>
        <w:rPr>
          <w:color w:val="auto"/>
          <w:sz w:val="22"/>
          <w:szCs w:val="22"/>
          <w:highlight w:val="none"/>
        </w:rPr>
        <w:t>供应商全称（盖章）：</w:t>
      </w:r>
    </w:p>
    <w:p w14:paraId="27BF8985">
      <w:pPr>
        <w:spacing w:line="360" w:lineRule="auto"/>
        <w:ind w:left="359" w:leftChars="171"/>
        <w:rPr>
          <w:color w:val="auto"/>
          <w:sz w:val="22"/>
          <w:szCs w:val="22"/>
          <w:highlight w:val="none"/>
        </w:rPr>
      </w:pPr>
      <w:r>
        <w:rPr>
          <w:color w:val="auto"/>
          <w:sz w:val="22"/>
          <w:szCs w:val="22"/>
          <w:highlight w:val="none"/>
        </w:rPr>
        <w:t>法定代表人或授权代表（签字或盖章）：</w:t>
      </w:r>
    </w:p>
    <w:p w14:paraId="4ED8A716">
      <w:pPr>
        <w:spacing w:line="360" w:lineRule="auto"/>
        <w:ind w:left="359" w:leftChars="171"/>
        <w:rPr>
          <w:b/>
          <w:bCs/>
          <w:color w:val="auto"/>
          <w:sz w:val="22"/>
          <w:szCs w:val="22"/>
          <w:highlight w:val="none"/>
        </w:rPr>
        <w:sectPr>
          <w:headerReference r:id="rId9" w:type="default"/>
          <w:pgSz w:w="11906" w:h="16838"/>
          <w:pgMar w:top="1134" w:right="1134" w:bottom="1134" w:left="1134" w:header="851" w:footer="851" w:gutter="0"/>
          <w:pgBorders>
            <w:top w:val="none" w:sz="0" w:space="0"/>
            <w:left w:val="none" w:sz="0" w:space="0"/>
            <w:bottom w:val="none" w:sz="0" w:space="0"/>
            <w:right w:val="none" w:sz="0" w:space="0"/>
          </w:pgBorders>
          <w:cols w:space="720" w:num="1"/>
          <w:docGrid w:linePitch="312" w:charSpace="0"/>
        </w:sectPr>
      </w:pPr>
      <w:r>
        <w:rPr>
          <w:color w:val="auto"/>
          <w:sz w:val="22"/>
          <w:szCs w:val="22"/>
          <w:highlight w:val="none"/>
        </w:rPr>
        <w:t>日 期：  年  月  日</w:t>
      </w:r>
    </w:p>
    <w:p w14:paraId="089C01D9">
      <w:pPr>
        <w:spacing w:line="360" w:lineRule="exact"/>
        <w:rPr>
          <w:color w:val="auto"/>
          <w:highlight w:val="none"/>
        </w:rPr>
      </w:pPr>
    </w:p>
    <w:p w14:paraId="7C3795B2">
      <w:pPr>
        <w:widowControl/>
        <w:autoSpaceDE w:val="0"/>
        <w:spacing w:line="360" w:lineRule="auto"/>
        <w:outlineLvl w:val="1"/>
        <w:rPr>
          <w:rFonts w:hint="eastAsia" w:eastAsia="宋体"/>
          <w:b/>
          <w:color w:val="auto"/>
          <w:sz w:val="22"/>
          <w:szCs w:val="22"/>
          <w:highlight w:val="none"/>
          <w:lang w:eastAsia="zh-CN" w:bidi="ar"/>
        </w:rPr>
      </w:pPr>
      <w:r>
        <w:rPr>
          <w:b/>
          <w:color w:val="auto"/>
          <w:sz w:val="22"/>
          <w:szCs w:val="22"/>
          <w:highlight w:val="none"/>
          <w:lang w:bidi="ar"/>
        </w:rPr>
        <w:t>附件</w:t>
      </w:r>
      <w:r>
        <w:rPr>
          <w:rFonts w:hint="eastAsia"/>
          <w:b/>
          <w:color w:val="auto"/>
          <w:sz w:val="22"/>
          <w:szCs w:val="22"/>
          <w:highlight w:val="none"/>
          <w:lang w:val="en-US" w:eastAsia="zh-CN" w:bidi="ar"/>
        </w:rPr>
        <w:t>六</w:t>
      </w:r>
    </w:p>
    <w:p w14:paraId="5610589B">
      <w:pPr>
        <w:spacing w:line="440" w:lineRule="exact"/>
        <w:jc w:val="center"/>
        <w:rPr>
          <w:b/>
          <w:bCs/>
          <w:color w:val="auto"/>
          <w:sz w:val="28"/>
          <w:szCs w:val="28"/>
          <w:highlight w:val="none"/>
        </w:rPr>
      </w:pPr>
      <w:r>
        <w:rPr>
          <w:b/>
          <w:bCs/>
          <w:color w:val="auto"/>
          <w:sz w:val="28"/>
          <w:szCs w:val="28"/>
          <w:highlight w:val="none"/>
        </w:rPr>
        <w:t>投入本项目拟派人员配置表</w:t>
      </w:r>
    </w:p>
    <w:p w14:paraId="540EF23C">
      <w:pPr>
        <w:spacing w:line="440" w:lineRule="exact"/>
        <w:rPr>
          <w:b/>
          <w:color w:val="auto"/>
          <w:sz w:val="22"/>
          <w:szCs w:val="22"/>
          <w:highlight w:val="none"/>
        </w:rPr>
      </w:pPr>
      <w:r>
        <w:rPr>
          <w:b/>
          <w:bCs/>
          <w:color w:val="auto"/>
          <w:sz w:val="22"/>
          <w:szCs w:val="22"/>
          <w:highlight w:val="none"/>
        </w:rPr>
        <w:t>采购项目名称：                                          采购编号：</w:t>
      </w:r>
    </w:p>
    <w:tbl>
      <w:tblPr>
        <w:tblStyle w:val="29"/>
        <w:tblW w:w="0" w:type="auto"/>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963"/>
        <w:gridCol w:w="1777"/>
        <w:gridCol w:w="1777"/>
        <w:gridCol w:w="1777"/>
        <w:gridCol w:w="1777"/>
        <w:gridCol w:w="1777"/>
      </w:tblGrid>
      <w:tr w14:paraId="373FC4C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16" w:hRule="atLeast"/>
        </w:trPr>
        <w:tc>
          <w:tcPr>
            <w:tcW w:w="963" w:type="dxa"/>
            <w:shd w:val="clear" w:color="auto" w:fill="D9D9D9"/>
            <w:vAlign w:val="center"/>
          </w:tcPr>
          <w:p w14:paraId="63FBE232">
            <w:pPr>
              <w:spacing w:line="380" w:lineRule="exact"/>
              <w:jc w:val="center"/>
              <w:rPr>
                <w:b/>
                <w:bCs/>
                <w:color w:val="auto"/>
                <w:sz w:val="22"/>
                <w:szCs w:val="22"/>
                <w:highlight w:val="none"/>
              </w:rPr>
            </w:pPr>
            <w:r>
              <w:rPr>
                <w:b/>
                <w:bCs/>
                <w:color w:val="auto"/>
                <w:sz w:val="22"/>
                <w:szCs w:val="22"/>
                <w:highlight w:val="none"/>
              </w:rPr>
              <w:t>序号</w:t>
            </w:r>
          </w:p>
        </w:tc>
        <w:tc>
          <w:tcPr>
            <w:tcW w:w="1777" w:type="dxa"/>
            <w:shd w:val="clear" w:color="auto" w:fill="D9D9D9"/>
            <w:vAlign w:val="center"/>
          </w:tcPr>
          <w:p w14:paraId="73189EDD">
            <w:pPr>
              <w:spacing w:line="380" w:lineRule="exact"/>
              <w:jc w:val="center"/>
              <w:rPr>
                <w:b/>
                <w:bCs/>
                <w:color w:val="auto"/>
                <w:sz w:val="22"/>
                <w:szCs w:val="22"/>
                <w:highlight w:val="none"/>
              </w:rPr>
            </w:pPr>
            <w:r>
              <w:rPr>
                <w:b/>
                <w:bCs/>
                <w:color w:val="auto"/>
                <w:sz w:val="22"/>
                <w:szCs w:val="22"/>
                <w:highlight w:val="none"/>
              </w:rPr>
              <w:t>姓名</w:t>
            </w:r>
          </w:p>
        </w:tc>
        <w:tc>
          <w:tcPr>
            <w:tcW w:w="1777" w:type="dxa"/>
            <w:shd w:val="clear" w:color="auto" w:fill="D9D9D9"/>
            <w:vAlign w:val="center"/>
          </w:tcPr>
          <w:p w14:paraId="24E19D30">
            <w:pPr>
              <w:spacing w:line="380" w:lineRule="exact"/>
              <w:jc w:val="center"/>
              <w:rPr>
                <w:b/>
                <w:bCs/>
                <w:color w:val="auto"/>
                <w:sz w:val="22"/>
                <w:szCs w:val="22"/>
                <w:highlight w:val="none"/>
              </w:rPr>
            </w:pPr>
            <w:r>
              <w:rPr>
                <w:b/>
                <w:bCs/>
                <w:color w:val="auto"/>
                <w:sz w:val="22"/>
                <w:szCs w:val="22"/>
                <w:highlight w:val="none"/>
              </w:rPr>
              <w:t>年龄</w:t>
            </w:r>
          </w:p>
        </w:tc>
        <w:tc>
          <w:tcPr>
            <w:tcW w:w="1777" w:type="dxa"/>
            <w:shd w:val="clear" w:color="auto" w:fill="D9D9D9"/>
            <w:vAlign w:val="center"/>
          </w:tcPr>
          <w:p w14:paraId="4875D025">
            <w:pPr>
              <w:spacing w:line="380" w:lineRule="exact"/>
              <w:jc w:val="center"/>
              <w:rPr>
                <w:b/>
                <w:bCs/>
                <w:color w:val="auto"/>
                <w:sz w:val="22"/>
                <w:szCs w:val="22"/>
                <w:highlight w:val="none"/>
              </w:rPr>
            </w:pPr>
            <w:r>
              <w:rPr>
                <w:b/>
                <w:bCs/>
                <w:color w:val="auto"/>
                <w:sz w:val="22"/>
                <w:szCs w:val="22"/>
                <w:highlight w:val="none"/>
              </w:rPr>
              <w:t>性别</w:t>
            </w:r>
          </w:p>
        </w:tc>
        <w:tc>
          <w:tcPr>
            <w:tcW w:w="1777" w:type="dxa"/>
            <w:shd w:val="clear" w:color="auto" w:fill="D9D9D9"/>
            <w:vAlign w:val="center"/>
          </w:tcPr>
          <w:p w14:paraId="58D63414">
            <w:pPr>
              <w:spacing w:line="380" w:lineRule="exact"/>
              <w:jc w:val="center"/>
              <w:rPr>
                <w:b/>
                <w:bCs/>
                <w:color w:val="auto"/>
                <w:sz w:val="22"/>
                <w:szCs w:val="22"/>
                <w:highlight w:val="none"/>
              </w:rPr>
            </w:pPr>
            <w:r>
              <w:rPr>
                <w:b/>
                <w:bCs/>
                <w:color w:val="auto"/>
                <w:sz w:val="22"/>
                <w:szCs w:val="22"/>
                <w:highlight w:val="none"/>
              </w:rPr>
              <w:t>职务</w:t>
            </w:r>
          </w:p>
        </w:tc>
        <w:tc>
          <w:tcPr>
            <w:tcW w:w="1777" w:type="dxa"/>
            <w:shd w:val="clear" w:color="auto" w:fill="D9D9D9"/>
            <w:vAlign w:val="center"/>
          </w:tcPr>
          <w:p w14:paraId="608687A8">
            <w:pPr>
              <w:spacing w:line="380" w:lineRule="exact"/>
              <w:jc w:val="center"/>
              <w:rPr>
                <w:b/>
                <w:bCs/>
                <w:color w:val="auto"/>
                <w:sz w:val="22"/>
                <w:szCs w:val="22"/>
                <w:highlight w:val="none"/>
              </w:rPr>
            </w:pPr>
            <w:r>
              <w:rPr>
                <w:b/>
                <w:bCs/>
                <w:color w:val="auto"/>
                <w:sz w:val="22"/>
                <w:szCs w:val="22"/>
                <w:highlight w:val="none"/>
              </w:rPr>
              <w:t>学历</w:t>
            </w:r>
          </w:p>
        </w:tc>
      </w:tr>
      <w:tr w14:paraId="79A6492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05" w:hRule="atLeast"/>
        </w:trPr>
        <w:tc>
          <w:tcPr>
            <w:tcW w:w="963" w:type="dxa"/>
            <w:vAlign w:val="center"/>
          </w:tcPr>
          <w:p w14:paraId="11BE75C1">
            <w:pPr>
              <w:spacing w:line="380" w:lineRule="exact"/>
              <w:jc w:val="center"/>
              <w:rPr>
                <w:b/>
                <w:bCs/>
                <w:color w:val="auto"/>
                <w:sz w:val="22"/>
                <w:szCs w:val="22"/>
                <w:highlight w:val="none"/>
              </w:rPr>
            </w:pPr>
          </w:p>
        </w:tc>
        <w:tc>
          <w:tcPr>
            <w:tcW w:w="1777" w:type="dxa"/>
            <w:vAlign w:val="center"/>
          </w:tcPr>
          <w:p w14:paraId="7DF3EEE0">
            <w:pPr>
              <w:spacing w:line="380" w:lineRule="exact"/>
              <w:jc w:val="center"/>
              <w:rPr>
                <w:b/>
                <w:bCs/>
                <w:color w:val="auto"/>
                <w:sz w:val="22"/>
                <w:szCs w:val="22"/>
                <w:highlight w:val="none"/>
              </w:rPr>
            </w:pPr>
          </w:p>
        </w:tc>
        <w:tc>
          <w:tcPr>
            <w:tcW w:w="1777" w:type="dxa"/>
            <w:vAlign w:val="center"/>
          </w:tcPr>
          <w:p w14:paraId="6B510033">
            <w:pPr>
              <w:spacing w:line="380" w:lineRule="exact"/>
              <w:jc w:val="center"/>
              <w:rPr>
                <w:b/>
                <w:bCs/>
                <w:color w:val="auto"/>
                <w:sz w:val="22"/>
                <w:szCs w:val="22"/>
                <w:highlight w:val="none"/>
              </w:rPr>
            </w:pPr>
          </w:p>
        </w:tc>
        <w:tc>
          <w:tcPr>
            <w:tcW w:w="1777" w:type="dxa"/>
            <w:vAlign w:val="center"/>
          </w:tcPr>
          <w:p w14:paraId="57FF415E">
            <w:pPr>
              <w:spacing w:line="380" w:lineRule="exact"/>
              <w:jc w:val="center"/>
              <w:rPr>
                <w:b/>
                <w:bCs/>
                <w:color w:val="auto"/>
                <w:sz w:val="22"/>
                <w:szCs w:val="22"/>
                <w:highlight w:val="none"/>
              </w:rPr>
            </w:pPr>
          </w:p>
        </w:tc>
        <w:tc>
          <w:tcPr>
            <w:tcW w:w="1777" w:type="dxa"/>
            <w:vAlign w:val="center"/>
          </w:tcPr>
          <w:p w14:paraId="15855CC5">
            <w:pPr>
              <w:spacing w:line="380" w:lineRule="exact"/>
              <w:jc w:val="center"/>
              <w:rPr>
                <w:b/>
                <w:bCs/>
                <w:color w:val="auto"/>
                <w:sz w:val="22"/>
                <w:szCs w:val="22"/>
                <w:highlight w:val="none"/>
              </w:rPr>
            </w:pPr>
          </w:p>
        </w:tc>
        <w:tc>
          <w:tcPr>
            <w:tcW w:w="1777" w:type="dxa"/>
            <w:vAlign w:val="center"/>
          </w:tcPr>
          <w:p w14:paraId="1A9C84A4">
            <w:pPr>
              <w:spacing w:line="380" w:lineRule="exact"/>
              <w:jc w:val="center"/>
              <w:rPr>
                <w:b/>
                <w:bCs/>
                <w:color w:val="auto"/>
                <w:sz w:val="22"/>
                <w:szCs w:val="22"/>
                <w:highlight w:val="none"/>
              </w:rPr>
            </w:pPr>
          </w:p>
        </w:tc>
      </w:tr>
      <w:tr w14:paraId="02F2551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05" w:hRule="atLeast"/>
        </w:trPr>
        <w:tc>
          <w:tcPr>
            <w:tcW w:w="963" w:type="dxa"/>
            <w:vAlign w:val="center"/>
          </w:tcPr>
          <w:p w14:paraId="23AE8C2B">
            <w:pPr>
              <w:spacing w:line="380" w:lineRule="exact"/>
              <w:jc w:val="center"/>
              <w:rPr>
                <w:b/>
                <w:bCs/>
                <w:color w:val="auto"/>
                <w:sz w:val="22"/>
                <w:szCs w:val="22"/>
                <w:highlight w:val="none"/>
              </w:rPr>
            </w:pPr>
          </w:p>
        </w:tc>
        <w:tc>
          <w:tcPr>
            <w:tcW w:w="1777" w:type="dxa"/>
            <w:vAlign w:val="center"/>
          </w:tcPr>
          <w:p w14:paraId="35369330">
            <w:pPr>
              <w:spacing w:line="380" w:lineRule="exact"/>
              <w:jc w:val="center"/>
              <w:rPr>
                <w:b/>
                <w:bCs/>
                <w:color w:val="auto"/>
                <w:sz w:val="22"/>
                <w:szCs w:val="22"/>
                <w:highlight w:val="none"/>
              </w:rPr>
            </w:pPr>
          </w:p>
        </w:tc>
        <w:tc>
          <w:tcPr>
            <w:tcW w:w="1777" w:type="dxa"/>
            <w:vAlign w:val="center"/>
          </w:tcPr>
          <w:p w14:paraId="2D13130E">
            <w:pPr>
              <w:spacing w:line="380" w:lineRule="exact"/>
              <w:jc w:val="center"/>
              <w:rPr>
                <w:b/>
                <w:bCs/>
                <w:color w:val="auto"/>
                <w:sz w:val="22"/>
                <w:szCs w:val="22"/>
                <w:highlight w:val="none"/>
              </w:rPr>
            </w:pPr>
          </w:p>
        </w:tc>
        <w:tc>
          <w:tcPr>
            <w:tcW w:w="1777" w:type="dxa"/>
            <w:vAlign w:val="center"/>
          </w:tcPr>
          <w:p w14:paraId="54203FF2">
            <w:pPr>
              <w:spacing w:line="380" w:lineRule="exact"/>
              <w:jc w:val="center"/>
              <w:rPr>
                <w:b/>
                <w:bCs/>
                <w:color w:val="auto"/>
                <w:sz w:val="22"/>
                <w:szCs w:val="22"/>
                <w:highlight w:val="none"/>
              </w:rPr>
            </w:pPr>
          </w:p>
        </w:tc>
        <w:tc>
          <w:tcPr>
            <w:tcW w:w="1777" w:type="dxa"/>
            <w:vAlign w:val="center"/>
          </w:tcPr>
          <w:p w14:paraId="5B13AB7B">
            <w:pPr>
              <w:spacing w:line="380" w:lineRule="exact"/>
              <w:jc w:val="center"/>
              <w:rPr>
                <w:b/>
                <w:bCs/>
                <w:color w:val="auto"/>
                <w:sz w:val="22"/>
                <w:szCs w:val="22"/>
                <w:highlight w:val="none"/>
              </w:rPr>
            </w:pPr>
          </w:p>
        </w:tc>
        <w:tc>
          <w:tcPr>
            <w:tcW w:w="1777" w:type="dxa"/>
            <w:vAlign w:val="center"/>
          </w:tcPr>
          <w:p w14:paraId="63E0236E">
            <w:pPr>
              <w:spacing w:line="380" w:lineRule="exact"/>
              <w:jc w:val="center"/>
              <w:rPr>
                <w:b/>
                <w:bCs/>
                <w:color w:val="auto"/>
                <w:sz w:val="22"/>
                <w:szCs w:val="22"/>
                <w:highlight w:val="none"/>
              </w:rPr>
            </w:pPr>
          </w:p>
        </w:tc>
      </w:tr>
      <w:tr w14:paraId="069A5D4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05" w:hRule="atLeast"/>
        </w:trPr>
        <w:tc>
          <w:tcPr>
            <w:tcW w:w="963" w:type="dxa"/>
            <w:vAlign w:val="center"/>
          </w:tcPr>
          <w:p w14:paraId="37028EFC">
            <w:pPr>
              <w:spacing w:line="380" w:lineRule="exact"/>
              <w:jc w:val="center"/>
              <w:rPr>
                <w:b/>
                <w:bCs/>
                <w:color w:val="auto"/>
                <w:sz w:val="22"/>
                <w:szCs w:val="22"/>
                <w:highlight w:val="none"/>
              </w:rPr>
            </w:pPr>
          </w:p>
        </w:tc>
        <w:tc>
          <w:tcPr>
            <w:tcW w:w="1777" w:type="dxa"/>
            <w:vAlign w:val="center"/>
          </w:tcPr>
          <w:p w14:paraId="4AB3D5C5">
            <w:pPr>
              <w:spacing w:line="380" w:lineRule="exact"/>
              <w:jc w:val="center"/>
              <w:rPr>
                <w:b/>
                <w:bCs/>
                <w:color w:val="auto"/>
                <w:sz w:val="22"/>
                <w:szCs w:val="22"/>
                <w:highlight w:val="none"/>
              </w:rPr>
            </w:pPr>
          </w:p>
        </w:tc>
        <w:tc>
          <w:tcPr>
            <w:tcW w:w="1777" w:type="dxa"/>
            <w:vAlign w:val="center"/>
          </w:tcPr>
          <w:p w14:paraId="3622B5C8">
            <w:pPr>
              <w:spacing w:line="380" w:lineRule="exact"/>
              <w:jc w:val="center"/>
              <w:rPr>
                <w:b/>
                <w:bCs/>
                <w:color w:val="auto"/>
                <w:sz w:val="22"/>
                <w:szCs w:val="22"/>
                <w:highlight w:val="none"/>
              </w:rPr>
            </w:pPr>
          </w:p>
        </w:tc>
        <w:tc>
          <w:tcPr>
            <w:tcW w:w="1777" w:type="dxa"/>
            <w:vAlign w:val="center"/>
          </w:tcPr>
          <w:p w14:paraId="2E3FBC3B">
            <w:pPr>
              <w:spacing w:line="380" w:lineRule="exact"/>
              <w:jc w:val="center"/>
              <w:rPr>
                <w:b/>
                <w:bCs/>
                <w:color w:val="auto"/>
                <w:sz w:val="22"/>
                <w:szCs w:val="22"/>
                <w:highlight w:val="none"/>
              </w:rPr>
            </w:pPr>
          </w:p>
        </w:tc>
        <w:tc>
          <w:tcPr>
            <w:tcW w:w="1777" w:type="dxa"/>
            <w:vAlign w:val="center"/>
          </w:tcPr>
          <w:p w14:paraId="50E5AD78">
            <w:pPr>
              <w:spacing w:line="380" w:lineRule="exact"/>
              <w:jc w:val="center"/>
              <w:rPr>
                <w:b/>
                <w:bCs/>
                <w:color w:val="auto"/>
                <w:sz w:val="22"/>
                <w:szCs w:val="22"/>
                <w:highlight w:val="none"/>
              </w:rPr>
            </w:pPr>
          </w:p>
        </w:tc>
        <w:tc>
          <w:tcPr>
            <w:tcW w:w="1777" w:type="dxa"/>
            <w:vAlign w:val="center"/>
          </w:tcPr>
          <w:p w14:paraId="7E62F7B0">
            <w:pPr>
              <w:spacing w:line="380" w:lineRule="exact"/>
              <w:jc w:val="center"/>
              <w:rPr>
                <w:b/>
                <w:bCs/>
                <w:color w:val="auto"/>
                <w:sz w:val="22"/>
                <w:szCs w:val="22"/>
                <w:highlight w:val="none"/>
              </w:rPr>
            </w:pPr>
          </w:p>
        </w:tc>
      </w:tr>
      <w:tr w14:paraId="3AD9EE3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05" w:hRule="atLeast"/>
        </w:trPr>
        <w:tc>
          <w:tcPr>
            <w:tcW w:w="963" w:type="dxa"/>
            <w:vAlign w:val="center"/>
          </w:tcPr>
          <w:p w14:paraId="324E76E8">
            <w:pPr>
              <w:spacing w:line="380" w:lineRule="exact"/>
              <w:jc w:val="center"/>
              <w:rPr>
                <w:b/>
                <w:bCs/>
                <w:color w:val="auto"/>
                <w:sz w:val="22"/>
                <w:szCs w:val="22"/>
                <w:highlight w:val="none"/>
              </w:rPr>
            </w:pPr>
          </w:p>
        </w:tc>
        <w:tc>
          <w:tcPr>
            <w:tcW w:w="1777" w:type="dxa"/>
            <w:vAlign w:val="center"/>
          </w:tcPr>
          <w:p w14:paraId="33FA524E">
            <w:pPr>
              <w:spacing w:line="380" w:lineRule="exact"/>
              <w:jc w:val="center"/>
              <w:rPr>
                <w:b/>
                <w:bCs/>
                <w:color w:val="auto"/>
                <w:sz w:val="22"/>
                <w:szCs w:val="22"/>
                <w:highlight w:val="none"/>
              </w:rPr>
            </w:pPr>
          </w:p>
        </w:tc>
        <w:tc>
          <w:tcPr>
            <w:tcW w:w="1777" w:type="dxa"/>
            <w:vAlign w:val="center"/>
          </w:tcPr>
          <w:p w14:paraId="4B4DC42E">
            <w:pPr>
              <w:spacing w:line="380" w:lineRule="exact"/>
              <w:jc w:val="center"/>
              <w:rPr>
                <w:b/>
                <w:bCs/>
                <w:color w:val="auto"/>
                <w:sz w:val="22"/>
                <w:szCs w:val="22"/>
                <w:highlight w:val="none"/>
              </w:rPr>
            </w:pPr>
          </w:p>
        </w:tc>
        <w:tc>
          <w:tcPr>
            <w:tcW w:w="1777" w:type="dxa"/>
            <w:vAlign w:val="center"/>
          </w:tcPr>
          <w:p w14:paraId="1B2C0043">
            <w:pPr>
              <w:spacing w:line="380" w:lineRule="exact"/>
              <w:jc w:val="center"/>
              <w:rPr>
                <w:b/>
                <w:bCs/>
                <w:color w:val="auto"/>
                <w:sz w:val="22"/>
                <w:szCs w:val="22"/>
                <w:highlight w:val="none"/>
              </w:rPr>
            </w:pPr>
          </w:p>
        </w:tc>
        <w:tc>
          <w:tcPr>
            <w:tcW w:w="1777" w:type="dxa"/>
            <w:vAlign w:val="center"/>
          </w:tcPr>
          <w:p w14:paraId="2F64BED3">
            <w:pPr>
              <w:spacing w:line="380" w:lineRule="exact"/>
              <w:jc w:val="center"/>
              <w:rPr>
                <w:b/>
                <w:bCs/>
                <w:color w:val="auto"/>
                <w:sz w:val="22"/>
                <w:szCs w:val="22"/>
                <w:highlight w:val="none"/>
              </w:rPr>
            </w:pPr>
          </w:p>
        </w:tc>
        <w:tc>
          <w:tcPr>
            <w:tcW w:w="1777" w:type="dxa"/>
            <w:vAlign w:val="center"/>
          </w:tcPr>
          <w:p w14:paraId="47E10682">
            <w:pPr>
              <w:spacing w:line="380" w:lineRule="exact"/>
              <w:jc w:val="center"/>
              <w:rPr>
                <w:b/>
                <w:bCs/>
                <w:color w:val="auto"/>
                <w:sz w:val="22"/>
                <w:szCs w:val="22"/>
                <w:highlight w:val="none"/>
              </w:rPr>
            </w:pPr>
          </w:p>
        </w:tc>
      </w:tr>
      <w:tr w14:paraId="0315DD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05" w:hRule="atLeast"/>
        </w:trPr>
        <w:tc>
          <w:tcPr>
            <w:tcW w:w="963" w:type="dxa"/>
            <w:vAlign w:val="center"/>
          </w:tcPr>
          <w:p w14:paraId="2958CEA8">
            <w:pPr>
              <w:spacing w:line="380" w:lineRule="exact"/>
              <w:jc w:val="center"/>
              <w:rPr>
                <w:b/>
                <w:bCs/>
                <w:color w:val="auto"/>
                <w:sz w:val="22"/>
                <w:szCs w:val="22"/>
                <w:highlight w:val="none"/>
              </w:rPr>
            </w:pPr>
          </w:p>
        </w:tc>
        <w:tc>
          <w:tcPr>
            <w:tcW w:w="1777" w:type="dxa"/>
            <w:vAlign w:val="center"/>
          </w:tcPr>
          <w:p w14:paraId="7534F317">
            <w:pPr>
              <w:spacing w:line="380" w:lineRule="exact"/>
              <w:jc w:val="center"/>
              <w:rPr>
                <w:b/>
                <w:bCs/>
                <w:color w:val="auto"/>
                <w:sz w:val="22"/>
                <w:szCs w:val="22"/>
                <w:highlight w:val="none"/>
              </w:rPr>
            </w:pPr>
          </w:p>
        </w:tc>
        <w:tc>
          <w:tcPr>
            <w:tcW w:w="1777" w:type="dxa"/>
            <w:vAlign w:val="center"/>
          </w:tcPr>
          <w:p w14:paraId="0F22538E">
            <w:pPr>
              <w:spacing w:line="380" w:lineRule="exact"/>
              <w:jc w:val="center"/>
              <w:rPr>
                <w:b/>
                <w:bCs/>
                <w:color w:val="auto"/>
                <w:sz w:val="22"/>
                <w:szCs w:val="22"/>
                <w:highlight w:val="none"/>
              </w:rPr>
            </w:pPr>
          </w:p>
        </w:tc>
        <w:tc>
          <w:tcPr>
            <w:tcW w:w="1777" w:type="dxa"/>
            <w:vAlign w:val="center"/>
          </w:tcPr>
          <w:p w14:paraId="62ECEABF">
            <w:pPr>
              <w:spacing w:line="380" w:lineRule="exact"/>
              <w:jc w:val="center"/>
              <w:rPr>
                <w:b/>
                <w:bCs/>
                <w:color w:val="auto"/>
                <w:sz w:val="22"/>
                <w:szCs w:val="22"/>
                <w:highlight w:val="none"/>
              </w:rPr>
            </w:pPr>
          </w:p>
        </w:tc>
        <w:tc>
          <w:tcPr>
            <w:tcW w:w="1777" w:type="dxa"/>
            <w:vAlign w:val="center"/>
          </w:tcPr>
          <w:p w14:paraId="512CAD46">
            <w:pPr>
              <w:spacing w:line="380" w:lineRule="exact"/>
              <w:jc w:val="center"/>
              <w:rPr>
                <w:b/>
                <w:bCs/>
                <w:color w:val="auto"/>
                <w:sz w:val="22"/>
                <w:szCs w:val="22"/>
                <w:highlight w:val="none"/>
              </w:rPr>
            </w:pPr>
          </w:p>
        </w:tc>
        <w:tc>
          <w:tcPr>
            <w:tcW w:w="1777" w:type="dxa"/>
            <w:vAlign w:val="center"/>
          </w:tcPr>
          <w:p w14:paraId="15DBDDD0">
            <w:pPr>
              <w:spacing w:line="380" w:lineRule="exact"/>
              <w:jc w:val="center"/>
              <w:rPr>
                <w:b/>
                <w:bCs/>
                <w:color w:val="auto"/>
                <w:sz w:val="22"/>
                <w:szCs w:val="22"/>
                <w:highlight w:val="none"/>
              </w:rPr>
            </w:pPr>
          </w:p>
        </w:tc>
      </w:tr>
      <w:tr w14:paraId="51B9366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05" w:hRule="atLeast"/>
        </w:trPr>
        <w:tc>
          <w:tcPr>
            <w:tcW w:w="963" w:type="dxa"/>
            <w:vAlign w:val="center"/>
          </w:tcPr>
          <w:p w14:paraId="05022D08">
            <w:pPr>
              <w:spacing w:line="380" w:lineRule="exact"/>
              <w:jc w:val="center"/>
              <w:rPr>
                <w:b/>
                <w:bCs/>
                <w:color w:val="auto"/>
                <w:sz w:val="22"/>
                <w:szCs w:val="22"/>
                <w:highlight w:val="none"/>
              </w:rPr>
            </w:pPr>
          </w:p>
        </w:tc>
        <w:tc>
          <w:tcPr>
            <w:tcW w:w="1777" w:type="dxa"/>
            <w:vAlign w:val="center"/>
          </w:tcPr>
          <w:p w14:paraId="05F8A4A3">
            <w:pPr>
              <w:spacing w:line="380" w:lineRule="exact"/>
              <w:jc w:val="center"/>
              <w:rPr>
                <w:b/>
                <w:bCs/>
                <w:color w:val="auto"/>
                <w:sz w:val="22"/>
                <w:szCs w:val="22"/>
                <w:highlight w:val="none"/>
              </w:rPr>
            </w:pPr>
          </w:p>
        </w:tc>
        <w:tc>
          <w:tcPr>
            <w:tcW w:w="1777" w:type="dxa"/>
            <w:vAlign w:val="center"/>
          </w:tcPr>
          <w:p w14:paraId="46361B29">
            <w:pPr>
              <w:spacing w:line="380" w:lineRule="exact"/>
              <w:jc w:val="center"/>
              <w:rPr>
                <w:b/>
                <w:bCs/>
                <w:color w:val="auto"/>
                <w:sz w:val="22"/>
                <w:szCs w:val="22"/>
                <w:highlight w:val="none"/>
              </w:rPr>
            </w:pPr>
          </w:p>
        </w:tc>
        <w:tc>
          <w:tcPr>
            <w:tcW w:w="1777" w:type="dxa"/>
            <w:vAlign w:val="center"/>
          </w:tcPr>
          <w:p w14:paraId="6B0BE4B3">
            <w:pPr>
              <w:spacing w:line="380" w:lineRule="exact"/>
              <w:jc w:val="center"/>
              <w:rPr>
                <w:b/>
                <w:bCs/>
                <w:color w:val="auto"/>
                <w:sz w:val="22"/>
                <w:szCs w:val="22"/>
                <w:highlight w:val="none"/>
              </w:rPr>
            </w:pPr>
          </w:p>
        </w:tc>
        <w:tc>
          <w:tcPr>
            <w:tcW w:w="1777" w:type="dxa"/>
            <w:vAlign w:val="center"/>
          </w:tcPr>
          <w:p w14:paraId="4A509CE6">
            <w:pPr>
              <w:spacing w:line="380" w:lineRule="exact"/>
              <w:jc w:val="center"/>
              <w:rPr>
                <w:b/>
                <w:bCs/>
                <w:color w:val="auto"/>
                <w:sz w:val="22"/>
                <w:szCs w:val="22"/>
                <w:highlight w:val="none"/>
              </w:rPr>
            </w:pPr>
          </w:p>
        </w:tc>
        <w:tc>
          <w:tcPr>
            <w:tcW w:w="1777" w:type="dxa"/>
            <w:vAlign w:val="center"/>
          </w:tcPr>
          <w:p w14:paraId="2CC5FE01">
            <w:pPr>
              <w:spacing w:line="380" w:lineRule="exact"/>
              <w:jc w:val="center"/>
              <w:rPr>
                <w:b/>
                <w:bCs/>
                <w:color w:val="auto"/>
                <w:sz w:val="22"/>
                <w:szCs w:val="22"/>
                <w:highlight w:val="none"/>
              </w:rPr>
            </w:pPr>
          </w:p>
        </w:tc>
      </w:tr>
      <w:tr w14:paraId="058A4C8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05" w:hRule="atLeast"/>
        </w:trPr>
        <w:tc>
          <w:tcPr>
            <w:tcW w:w="963" w:type="dxa"/>
            <w:vAlign w:val="center"/>
          </w:tcPr>
          <w:p w14:paraId="541730B9">
            <w:pPr>
              <w:spacing w:line="380" w:lineRule="exact"/>
              <w:jc w:val="center"/>
              <w:rPr>
                <w:b/>
                <w:bCs/>
                <w:color w:val="auto"/>
                <w:sz w:val="22"/>
                <w:szCs w:val="22"/>
                <w:highlight w:val="none"/>
              </w:rPr>
            </w:pPr>
          </w:p>
        </w:tc>
        <w:tc>
          <w:tcPr>
            <w:tcW w:w="1777" w:type="dxa"/>
            <w:vAlign w:val="center"/>
          </w:tcPr>
          <w:p w14:paraId="22E5DDF8">
            <w:pPr>
              <w:spacing w:line="380" w:lineRule="exact"/>
              <w:jc w:val="center"/>
              <w:rPr>
                <w:b/>
                <w:bCs/>
                <w:color w:val="auto"/>
                <w:sz w:val="22"/>
                <w:szCs w:val="22"/>
                <w:highlight w:val="none"/>
              </w:rPr>
            </w:pPr>
          </w:p>
        </w:tc>
        <w:tc>
          <w:tcPr>
            <w:tcW w:w="1777" w:type="dxa"/>
            <w:vAlign w:val="center"/>
          </w:tcPr>
          <w:p w14:paraId="7ABF6AE4">
            <w:pPr>
              <w:spacing w:line="380" w:lineRule="exact"/>
              <w:jc w:val="center"/>
              <w:rPr>
                <w:b/>
                <w:bCs/>
                <w:color w:val="auto"/>
                <w:sz w:val="22"/>
                <w:szCs w:val="22"/>
                <w:highlight w:val="none"/>
              </w:rPr>
            </w:pPr>
          </w:p>
        </w:tc>
        <w:tc>
          <w:tcPr>
            <w:tcW w:w="1777" w:type="dxa"/>
            <w:vAlign w:val="center"/>
          </w:tcPr>
          <w:p w14:paraId="60C7B9BC">
            <w:pPr>
              <w:spacing w:line="380" w:lineRule="exact"/>
              <w:jc w:val="center"/>
              <w:rPr>
                <w:b/>
                <w:bCs/>
                <w:color w:val="auto"/>
                <w:sz w:val="22"/>
                <w:szCs w:val="22"/>
                <w:highlight w:val="none"/>
              </w:rPr>
            </w:pPr>
          </w:p>
        </w:tc>
        <w:tc>
          <w:tcPr>
            <w:tcW w:w="1777" w:type="dxa"/>
            <w:vAlign w:val="center"/>
          </w:tcPr>
          <w:p w14:paraId="4EDDE5A4">
            <w:pPr>
              <w:spacing w:line="380" w:lineRule="exact"/>
              <w:jc w:val="center"/>
              <w:rPr>
                <w:b/>
                <w:bCs/>
                <w:color w:val="auto"/>
                <w:sz w:val="22"/>
                <w:szCs w:val="22"/>
                <w:highlight w:val="none"/>
              </w:rPr>
            </w:pPr>
          </w:p>
        </w:tc>
        <w:tc>
          <w:tcPr>
            <w:tcW w:w="1777" w:type="dxa"/>
            <w:vAlign w:val="center"/>
          </w:tcPr>
          <w:p w14:paraId="409EC2CD">
            <w:pPr>
              <w:spacing w:line="380" w:lineRule="exact"/>
              <w:jc w:val="center"/>
              <w:rPr>
                <w:b/>
                <w:bCs/>
                <w:color w:val="auto"/>
                <w:sz w:val="22"/>
                <w:szCs w:val="22"/>
                <w:highlight w:val="none"/>
              </w:rPr>
            </w:pPr>
          </w:p>
        </w:tc>
      </w:tr>
      <w:tr w14:paraId="43D957A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05" w:hRule="atLeast"/>
        </w:trPr>
        <w:tc>
          <w:tcPr>
            <w:tcW w:w="963" w:type="dxa"/>
            <w:vAlign w:val="center"/>
          </w:tcPr>
          <w:p w14:paraId="31CA4BB7">
            <w:pPr>
              <w:spacing w:line="380" w:lineRule="exact"/>
              <w:jc w:val="center"/>
              <w:rPr>
                <w:b/>
                <w:bCs/>
                <w:color w:val="auto"/>
                <w:sz w:val="22"/>
                <w:szCs w:val="22"/>
                <w:highlight w:val="none"/>
              </w:rPr>
            </w:pPr>
          </w:p>
        </w:tc>
        <w:tc>
          <w:tcPr>
            <w:tcW w:w="1777" w:type="dxa"/>
            <w:vAlign w:val="center"/>
          </w:tcPr>
          <w:p w14:paraId="42F0288E">
            <w:pPr>
              <w:spacing w:line="380" w:lineRule="exact"/>
              <w:jc w:val="center"/>
              <w:rPr>
                <w:b/>
                <w:bCs/>
                <w:color w:val="auto"/>
                <w:sz w:val="22"/>
                <w:szCs w:val="22"/>
                <w:highlight w:val="none"/>
              </w:rPr>
            </w:pPr>
          </w:p>
        </w:tc>
        <w:tc>
          <w:tcPr>
            <w:tcW w:w="1777" w:type="dxa"/>
            <w:vAlign w:val="center"/>
          </w:tcPr>
          <w:p w14:paraId="055946AA">
            <w:pPr>
              <w:spacing w:line="380" w:lineRule="exact"/>
              <w:jc w:val="center"/>
              <w:rPr>
                <w:b/>
                <w:bCs/>
                <w:color w:val="auto"/>
                <w:sz w:val="22"/>
                <w:szCs w:val="22"/>
                <w:highlight w:val="none"/>
              </w:rPr>
            </w:pPr>
          </w:p>
        </w:tc>
        <w:tc>
          <w:tcPr>
            <w:tcW w:w="1777" w:type="dxa"/>
            <w:vAlign w:val="center"/>
          </w:tcPr>
          <w:p w14:paraId="38AEE137">
            <w:pPr>
              <w:spacing w:line="380" w:lineRule="exact"/>
              <w:jc w:val="center"/>
              <w:rPr>
                <w:b/>
                <w:bCs/>
                <w:color w:val="auto"/>
                <w:sz w:val="22"/>
                <w:szCs w:val="22"/>
                <w:highlight w:val="none"/>
              </w:rPr>
            </w:pPr>
          </w:p>
        </w:tc>
        <w:tc>
          <w:tcPr>
            <w:tcW w:w="1777" w:type="dxa"/>
            <w:vAlign w:val="center"/>
          </w:tcPr>
          <w:p w14:paraId="4B13C041">
            <w:pPr>
              <w:spacing w:line="380" w:lineRule="exact"/>
              <w:jc w:val="center"/>
              <w:rPr>
                <w:b/>
                <w:bCs/>
                <w:color w:val="auto"/>
                <w:sz w:val="22"/>
                <w:szCs w:val="22"/>
                <w:highlight w:val="none"/>
              </w:rPr>
            </w:pPr>
          </w:p>
        </w:tc>
        <w:tc>
          <w:tcPr>
            <w:tcW w:w="1777" w:type="dxa"/>
            <w:vAlign w:val="center"/>
          </w:tcPr>
          <w:p w14:paraId="7B7D7277">
            <w:pPr>
              <w:spacing w:line="380" w:lineRule="exact"/>
              <w:jc w:val="center"/>
              <w:rPr>
                <w:b/>
                <w:bCs/>
                <w:color w:val="auto"/>
                <w:sz w:val="22"/>
                <w:szCs w:val="22"/>
                <w:highlight w:val="none"/>
              </w:rPr>
            </w:pPr>
          </w:p>
        </w:tc>
      </w:tr>
      <w:tr w14:paraId="726C9F1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05" w:hRule="atLeast"/>
        </w:trPr>
        <w:tc>
          <w:tcPr>
            <w:tcW w:w="963" w:type="dxa"/>
            <w:vAlign w:val="center"/>
          </w:tcPr>
          <w:p w14:paraId="2881BA9A">
            <w:pPr>
              <w:spacing w:line="380" w:lineRule="exact"/>
              <w:jc w:val="center"/>
              <w:rPr>
                <w:b/>
                <w:bCs/>
                <w:color w:val="auto"/>
                <w:sz w:val="22"/>
                <w:szCs w:val="22"/>
                <w:highlight w:val="none"/>
              </w:rPr>
            </w:pPr>
          </w:p>
        </w:tc>
        <w:tc>
          <w:tcPr>
            <w:tcW w:w="1777" w:type="dxa"/>
            <w:vAlign w:val="center"/>
          </w:tcPr>
          <w:p w14:paraId="03237CC0">
            <w:pPr>
              <w:spacing w:line="380" w:lineRule="exact"/>
              <w:jc w:val="center"/>
              <w:rPr>
                <w:b/>
                <w:bCs/>
                <w:color w:val="auto"/>
                <w:sz w:val="22"/>
                <w:szCs w:val="22"/>
                <w:highlight w:val="none"/>
              </w:rPr>
            </w:pPr>
          </w:p>
        </w:tc>
        <w:tc>
          <w:tcPr>
            <w:tcW w:w="1777" w:type="dxa"/>
            <w:vAlign w:val="center"/>
          </w:tcPr>
          <w:p w14:paraId="5B5839D8">
            <w:pPr>
              <w:spacing w:line="380" w:lineRule="exact"/>
              <w:jc w:val="center"/>
              <w:rPr>
                <w:b/>
                <w:bCs/>
                <w:color w:val="auto"/>
                <w:sz w:val="22"/>
                <w:szCs w:val="22"/>
                <w:highlight w:val="none"/>
              </w:rPr>
            </w:pPr>
          </w:p>
        </w:tc>
        <w:tc>
          <w:tcPr>
            <w:tcW w:w="1777" w:type="dxa"/>
            <w:vAlign w:val="center"/>
          </w:tcPr>
          <w:p w14:paraId="48394DD4">
            <w:pPr>
              <w:spacing w:line="380" w:lineRule="exact"/>
              <w:jc w:val="center"/>
              <w:rPr>
                <w:b/>
                <w:bCs/>
                <w:color w:val="auto"/>
                <w:sz w:val="22"/>
                <w:szCs w:val="22"/>
                <w:highlight w:val="none"/>
              </w:rPr>
            </w:pPr>
          </w:p>
        </w:tc>
        <w:tc>
          <w:tcPr>
            <w:tcW w:w="1777" w:type="dxa"/>
            <w:vAlign w:val="center"/>
          </w:tcPr>
          <w:p w14:paraId="329611A3">
            <w:pPr>
              <w:spacing w:line="380" w:lineRule="exact"/>
              <w:jc w:val="center"/>
              <w:rPr>
                <w:b/>
                <w:bCs/>
                <w:color w:val="auto"/>
                <w:sz w:val="22"/>
                <w:szCs w:val="22"/>
                <w:highlight w:val="none"/>
              </w:rPr>
            </w:pPr>
          </w:p>
        </w:tc>
        <w:tc>
          <w:tcPr>
            <w:tcW w:w="1777" w:type="dxa"/>
            <w:vAlign w:val="center"/>
          </w:tcPr>
          <w:p w14:paraId="58583DBF">
            <w:pPr>
              <w:spacing w:line="380" w:lineRule="exact"/>
              <w:jc w:val="center"/>
              <w:rPr>
                <w:b/>
                <w:bCs/>
                <w:color w:val="auto"/>
                <w:sz w:val="22"/>
                <w:szCs w:val="22"/>
                <w:highlight w:val="none"/>
              </w:rPr>
            </w:pPr>
          </w:p>
        </w:tc>
      </w:tr>
      <w:tr w14:paraId="5904B1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05" w:hRule="atLeast"/>
        </w:trPr>
        <w:tc>
          <w:tcPr>
            <w:tcW w:w="963" w:type="dxa"/>
            <w:vAlign w:val="center"/>
          </w:tcPr>
          <w:p w14:paraId="6021A9EC">
            <w:pPr>
              <w:spacing w:line="380" w:lineRule="exact"/>
              <w:jc w:val="center"/>
              <w:rPr>
                <w:b/>
                <w:bCs/>
                <w:color w:val="auto"/>
                <w:sz w:val="22"/>
                <w:szCs w:val="22"/>
                <w:highlight w:val="none"/>
              </w:rPr>
            </w:pPr>
          </w:p>
        </w:tc>
        <w:tc>
          <w:tcPr>
            <w:tcW w:w="1777" w:type="dxa"/>
            <w:vAlign w:val="center"/>
          </w:tcPr>
          <w:p w14:paraId="5F1CE2AA">
            <w:pPr>
              <w:spacing w:line="380" w:lineRule="exact"/>
              <w:jc w:val="center"/>
              <w:rPr>
                <w:b/>
                <w:bCs/>
                <w:color w:val="auto"/>
                <w:sz w:val="22"/>
                <w:szCs w:val="22"/>
                <w:highlight w:val="none"/>
              </w:rPr>
            </w:pPr>
          </w:p>
        </w:tc>
        <w:tc>
          <w:tcPr>
            <w:tcW w:w="1777" w:type="dxa"/>
            <w:vAlign w:val="center"/>
          </w:tcPr>
          <w:p w14:paraId="2B2DD335">
            <w:pPr>
              <w:spacing w:line="380" w:lineRule="exact"/>
              <w:jc w:val="center"/>
              <w:rPr>
                <w:b/>
                <w:bCs/>
                <w:color w:val="auto"/>
                <w:sz w:val="22"/>
                <w:szCs w:val="22"/>
                <w:highlight w:val="none"/>
              </w:rPr>
            </w:pPr>
          </w:p>
        </w:tc>
        <w:tc>
          <w:tcPr>
            <w:tcW w:w="1777" w:type="dxa"/>
            <w:vAlign w:val="center"/>
          </w:tcPr>
          <w:p w14:paraId="5E611F03">
            <w:pPr>
              <w:spacing w:line="380" w:lineRule="exact"/>
              <w:jc w:val="center"/>
              <w:rPr>
                <w:b/>
                <w:bCs/>
                <w:color w:val="auto"/>
                <w:sz w:val="22"/>
                <w:szCs w:val="22"/>
                <w:highlight w:val="none"/>
              </w:rPr>
            </w:pPr>
          </w:p>
        </w:tc>
        <w:tc>
          <w:tcPr>
            <w:tcW w:w="1777" w:type="dxa"/>
            <w:vAlign w:val="center"/>
          </w:tcPr>
          <w:p w14:paraId="4D5D15B7">
            <w:pPr>
              <w:spacing w:line="380" w:lineRule="exact"/>
              <w:jc w:val="center"/>
              <w:rPr>
                <w:b/>
                <w:bCs/>
                <w:color w:val="auto"/>
                <w:sz w:val="22"/>
                <w:szCs w:val="22"/>
                <w:highlight w:val="none"/>
              </w:rPr>
            </w:pPr>
          </w:p>
        </w:tc>
        <w:tc>
          <w:tcPr>
            <w:tcW w:w="1777" w:type="dxa"/>
            <w:vAlign w:val="center"/>
          </w:tcPr>
          <w:p w14:paraId="33629B8E">
            <w:pPr>
              <w:spacing w:line="380" w:lineRule="exact"/>
              <w:jc w:val="center"/>
              <w:rPr>
                <w:b/>
                <w:bCs/>
                <w:color w:val="auto"/>
                <w:sz w:val="22"/>
                <w:szCs w:val="22"/>
                <w:highlight w:val="none"/>
              </w:rPr>
            </w:pPr>
          </w:p>
        </w:tc>
      </w:tr>
      <w:tr w14:paraId="7E951E8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05" w:hRule="atLeast"/>
        </w:trPr>
        <w:tc>
          <w:tcPr>
            <w:tcW w:w="963" w:type="dxa"/>
            <w:vAlign w:val="center"/>
          </w:tcPr>
          <w:p w14:paraId="706F5580">
            <w:pPr>
              <w:spacing w:line="380" w:lineRule="exact"/>
              <w:jc w:val="center"/>
              <w:rPr>
                <w:b/>
                <w:bCs/>
                <w:color w:val="auto"/>
                <w:sz w:val="22"/>
                <w:szCs w:val="22"/>
                <w:highlight w:val="none"/>
              </w:rPr>
            </w:pPr>
          </w:p>
        </w:tc>
        <w:tc>
          <w:tcPr>
            <w:tcW w:w="1777" w:type="dxa"/>
            <w:vAlign w:val="center"/>
          </w:tcPr>
          <w:p w14:paraId="1E057F0B">
            <w:pPr>
              <w:spacing w:line="380" w:lineRule="exact"/>
              <w:jc w:val="center"/>
              <w:rPr>
                <w:b/>
                <w:bCs/>
                <w:color w:val="auto"/>
                <w:sz w:val="22"/>
                <w:szCs w:val="22"/>
                <w:highlight w:val="none"/>
              </w:rPr>
            </w:pPr>
          </w:p>
        </w:tc>
        <w:tc>
          <w:tcPr>
            <w:tcW w:w="1777" w:type="dxa"/>
            <w:vAlign w:val="center"/>
          </w:tcPr>
          <w:p w14:paraId="6D7FD792">
            <w:pPr>
              <w:spacing w:line="380" w:lineRule="exact"/>
              <w:jc w:val="center"/>
              <w:rPr>
                <w:b/>
                <w:bCs/>
                <w:color w:val="auto"/>
                <w:sz w:val="22"/>
                <w:szCs w:val="22"/>
                <w:highlight w:val="none"/>
              </w:rPr>
            </w:pPr>
          </w:p>
        </w:tc>
        <w:tc>
          <w:tcPr>
            <w:tcW w:w="1777" w:type="dxa"/>
            <w:vAlign w:val="center"/>
          </w:tcPr>
          <w:p w14:paraId="7218C21A">
            <w:pPr>
              <w:spacing w:line="380" w:lineRule="exact"/>
              <w:jc w:val="center"/>
              <w:rPr>
                <w:b/>
                <w:bCs/>
                <w:color w:val="auto"/>
                <w:sz w:val="22"/>
                <w:szCs w:val="22"/>
                <w:highlight w:val="none"/>
              </w:rPr>
            </w:pPr>
          </w:p>
        </w:tc>
        <w:tc>
          <w:tcPr>
            <w:tcW w:w="1777" w:type="dxa"/>
            <w:vAlign w:val="center"/>
          </w:tcPr>
          <w:p w14:paraId="00446CF6">
            <w:pPr>
              <w:spacing w:line="380" w:lineRule="exact"/>
              <w:jc w:val="center"/>
              <w:rPr>
                <w:b/>
                <w:bCs/>
                <w:color w:val="auto"/>
                <w:sz w:val="22"/>
                <w:szCs w:val="22"/>
                <w:highlight w:val="none"/>
              </w:rPr>
            </w:pPr>
          </w:p>
        </w:tc>
        <w:tc>
          <w:tcPr>
            <w:tcW w:w="1777" w:type="dxa"/>
            <w:vAlign w:val="center"/>
          </w:tcPr>
          <w:p w14:paraId="78632648">
            <w:pPr>
              <w:spacing w:line="380" w:lineRule="exact"/>
              <w:jc w:val="center"/>
              <w:rPr>
                <w:b/>
                <w:bCs/>
                <w:color w:val="auto"/>
                <w:sz w:val="22"/>
                <w:szCs w:val="22"/>
                <w:highlight w:val="none"/>
              </w:rPr>
            </w:pPr>
          </w:p>
        </w:tc>
      </w:tr>
      <w:tr w14:paraId="1D1FD2C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90" w:hRule="atLeast"/>
        </w:trPr>
        <w:tc>
          <w:tcPr>
            <w:tcW w:w="963" w:type="dxa"/>
            <w:vAlign w:val="center"/>
          </w:tcPr>
          <w:p w14:paraId="4E3D7889">
            <w:pPr>
              <w:spacing w:line="380" w:lineRule="exact"/>
              <w:jc w:val="center"/>
              <w:rPr>
                <w:b/>
                <w:bCs/>
                <w:color w:val="auto"/>
                <w:sz w:val="22"/>
                <w:szCs w:val="22"/>
                <w:highlight w:val="none"/>
              </w:rPr>
            </w:pPr>
          </w:p>
        </w:tc>
        <w:tc>
          <w:tcPr>
            <w:tcW w:w="1777" w:type="dxa"/>
            <w:vAlign w:val="center"/>
          </w:tcPr>
          <w:p w14:paraId="6C12DF87">
            <w:pPr>
              <w:spacing w:line="380" w:lineRule="exact"/>
              <w:jc w:val="center"/>
              <w:rPr>
                <w:b/>
                <w:bCs/>
                <w:color w:val="auto"/>
                <w:sz w:val="22"/>
                <w:szCs w:val="22"/>
                <w:highlight w:val="none"/>
              </w:rPr>
            </w:pPr>
          </w:p>
        </w:tc>
        <w:tc>
          <w:tcPr>
            <w:tcW w:w="1777" w:type="dxa"/>
            <w:vAlign w:val="center"/>
          </w:tcPr>
          <w:p w14:paraId="14315462">
            <w:pPr>
              <w:spacing w:line="380" w:lineRule="exact"/>
              <w:jc w:val="center"/>
              <w:rPr>
                <w:b/>
                <w:bCs/>
                <w:color w:val="auto"/>
                <w:sz w:val="22"/>
                <w:szCs w:val="22"/>
                <w:highlight w:val="none"/>
              </w:rPr>
            </w:pPr>
          </w:p>
        </w:tc>
        <w:tc>
          <w:tcPr>
            <w:tcW w:w="1777" w:type="dxa"/>
            <w:vAlign w:val="center"/>
          </w:tcPr>
          <w:p w14:paraId="0E5EFD0D">
            <w:pPr>
              <w:spacing w:line="380" w:lineRule="exact"/>
              <w:jc w:val="center"/>
              <w:rPr>
                <w:b/>
                <w:bCs/>
                <w:color w:val="auto"/>
                <w:sz w:val="22"/>
                <w:szCs w:val="22"/>
                <w:highlight w:val="none"/>
              </w:rPr>
            </w:pPr>
          </w:p>
        </w:tc>
        <w:tc>
          <w:tcPr>
            <w:tcW w:w="1777" w:type="dxa"/>
            <w:vAlign w:val="center"/>
          </w:tcPr>
          <w:p w14:paraId="3D60F3C1">
            <w:pPr>
              <w:spacing w:line="380" w:lineRule="exact"/>
              <w:jc w:val="center"/>
              <w:rPr>
                <w:b/>
                <w:bCs/>
                <w:color w:val="auto"/>
                <w:sz w:val="22"/>
                <w:szCs w:val="22"/>
                <w:highlight w:val="none"/>
              </w:rPr>
            </w:pPr>
          </w:p>
        </w:tc>
        <w:tc>
          <w:tcPr>
            <w:tcW w:w="1777" w:type="dxa"/>
            <w:vAlign w:val="center"/>
          </w:tcPr>
          <w:p w14:paraId="2D912290">
            <w:pPr>
              <w:spacing w:line="380" w:lineRule="exact"/>
              <w:jc w:val="center"/>
              <w:rPr>
                <w:b/>
                <w:bCs/>
                <w:color w:val="auto"/>
                <w:sz w:val="22"/>
                <w:szCs w:val="22"/>
                <w:highlight w:val="none"/>
              </w:rPr>
            </w:pPr>
          </w:p>
        </w:tc>
      </w:tr>
    </w:tbl>
    <w:p w14:paraId="50A832A0">
      <w:pPr>
        <w:spacing w:line="360" w:lineRule="auto"/>
        <w:rPr>
          <w:b/>
          <w:color w:val="auto"/>
          <w:sz w:val="22"/>
          <w:szCs w:val="22"/>
          <w:highlight w:val="none"/>
        </w:rPr>
      </w:pPr>
      <w:r>
        <w:rPr>
          <w:b/>
          <w:color w:val="auto"/>
          <w:sz w:val="22"/>
          <w:szCs w:val="22"/>
          <w:highlight w:val="none"/>
        </w:rPr>
        <w:t>注：1、本表不足可增加。本表描述不足的地方可增加。</w:t>
      </w:r>
    </w:p>
    <w:p w14:paraId="1576E552">
      <w:pPr>
        <w:spacing w:line="380" w:lineRule="exact"/>
        <w:rPr>
          <w:color w:val="auto"/>
          <w:sz w:val="22"/>
          <w:szCs w:val="22"/>
          <w:highlight w:val="none"/>
        </w:rPr>
      </w:pPr>
    </w:p>
    <w:p w14:paraId="673DE000">
      <w:pPr>
        <w:spacing w:line="380" w:lineRule="exact"/>
        <w:rPr>
          <w:color w:val="auto"/>
          <w:sz w:val="22"/>
          <w:szCs w:val="22"/>
          <w:highlight w:val="none"/>
        </w:rPr>
      </w:pPr>
      <w:r>
        <w:rPr>
          <w:color w:val="auto"/>
          <w:sz w:val="22"/>
          <w:szCs w:val="22"/>
          <w:highlight w:val="none"/>
        </w:rPr>
        <w:t>供应商全称（盖章）：</w:t>
      </w:r>
    </w:p>
    <w:p w14:paraId="00B6E000">
      <w:pPr>
        <w:spacing w:line="380" w:lineRule="exact"/>
        <w:rPr>
          <w:color w:val="auto"/>
          <w:sz w:val="22"/>
          <w:szCs w:val="22"/>
          <w:highlight w:val="none"/>
        </w:rPr>
      </w:pPr>
      <w:r>
        <w:rPr>
          <w:color w:val="auto"/>
          <w:sz w:val="22"/>
          <w:szCs w:val="22"/>
          <w:highlight w:val="none"/>
        </w:rPr>
        <w:t>法定代表人或授权代表（</w:t>
      </w:r>
      <w:r>
        <w:rPr>
          <w:color w:val="auto"/>
          <w:szCs w:val="21"/>
          <w:highlight w:val="none"/>
        </w:rPr>
        <w:t>签字或盖章</w:t>
      </w:r>
      <w:r>
        <w:rPr>
          <w:color w:val="auto"/>
          <w:sz w:val="22"/>
          <w:szCs w:val="22"/>
          <w:highlight w:val="none"/>
        </w:rPr>
        <w:t>）：</w:t>
      </w:r>
    </w:p>
    <w:p w14:paraId="76CE6DAD">
      <w:pPr>
        <w:spacing w:line="380" w:lineRule="exact"/>
        <w:rPr>
          <w:color w:val="auto"/>
          <w:sz w:val="22"/>
          <w:szCs w:val="22"/>
          <w:highlight w:val="none"/>
        </w:rPr>
      </w:pPr>
      <w:r>
        <w:rPr>
          <w:color w:val="auto"/>
          <w:sz w:val="22"/>
          <w:szCs w:val="22"/>
          <w:highlight w:val="none"/>
        </w:rPr>
        <w:t xml:space="preserve">日期：  年   月  日  </w:t>
      </w:r>
    </w:p>
    <w:p w14:paraId="067CB437">
      <w:pPr>
        <w:spacing w:line="380" w:lineRule="exact"/>
        <w:rPr>
          <w:color w:val="auto"/>
          <w:sz w:val="22"/>
          <w:szCs w:val="22"/>
          <w:highlight w:val="none"/>
        </w:rPr>
      </w:pPr>
    </w:p>
    <w:p w14:paraId="52756CAC">
      <w:pPr>
        <w:spacing w:line="380" w:lineRule="exact"/>
        <w:rPr>
          <w:color w:val="auto"/>
          <w:sz w:val="22"/>
          <w:szCs w:val="22"/>
          <w:highlight w:val="none"/>
        </w:rPr>
      </w:pPr>
    </w:p>
    <w:p w14:paraId="72D5D525">
      <w:pPr>
        <w:spacing w:line="380" w:lineRule="exact"/>
        <w:rPr>
          <w:color w:val="auto"/>
          <w:sz w:val="22"/>
          <w:szCs w:val="22"/>
          <w:highlight w:val="none"/>
        </w:rPr>
      </w:pPr>
    </w:p>
    <w:p w14:paraId="039A678A">
      <w:pPr>
        <w:spacing w:line="380" w:lineRule="exact"/>
        <w:rPr>
          <w:color w:val="auto"/>
          <w:sz w:val="22"/>
          <w:szCs w:val="22"/>
          <w:highlight w:val="none"/>
        </w:rPr>
      </w:pPr>
    </w:p>
    <w:p w14:paraId="0BB8F624">
      <w:pPr>
        <w:spacing w:line="380" w:lineRule="exact"/>
        <w:rPr>
          <w:color w:val="auto"/>
          <w:sz w:val="22"/>
          <w:szCs w:val="22"/>
          <w:highlight w:val="none"/>
        </w:rPr>
      </w:pPr>
    </w:p>
    <w:p w14:paraId="32100B5C">
      <w:pPr>
        <w:spacing w:line="380" w:lineRule="exact"/>
        <w:rPr>
          <w:color w:val="auto"/>
          <w:sz w:val="22"/>
          <w:szCs w:val="22"/>
          <w:highlight w:val="none"/>
        </w:rPr>
      </w:pPr>
    </w:p>
    <w:p w14:paraId="7DF735A6">
      <w:pPr>
        <w:spacing w:line="380" w:lineRule="exact"/>
        <w:rPr>
          <w:color w:val="auto"/>
          <w:sz w:val="22"/>
          <w:szCs w:val="22"/>
          <w:highlight w:val="none"/>
        </w:rPr>
      </w:pPr>
    </w:p>
    <w:p w14:paraId="39EE4DC1">
      <w:pPr>
        <w:widowControl/>
        <w:autoSpaceDE w:val="0"/>
        <w:spacing w:line="360" w:lineRule="auto"/>
        <w:outlineLvl w:val="1"/>
        <w:rPr>
          <w:rFonts w:hint="eastAsia" w:eastAsia="宋体"/>
          <w:b/>
          <w:color w:val="auto"/>
          <w:sz w:val="22"/>
          <w:szCs w:val="22"/>
          <w:highlight w:val="none"/>
          <w:lang w:eastAsia="zh-CN"/>
        </w:rPr>
      </w:pPr>
      <w:r>
        <w:rPr>
          <w:b/>
          <w:color w:val="auto"/>
          <w:sz w:val="22"/>
          <w:szCs w:val="22"/>
          <w:highlight w:val="none"/>
          <w:lang w:bidi="ar"/>
        </w:rPr>
        <w:t>附件</w:t>
      </w:r>
      <w:r>
        <w:rPr>
          <w:rFonts w:hint="eastAsia"/>
          <w:b/>
          <w:color w:val="auto"/>
          <w:sz w:val="22"/>
          <w:szCs w:val="22"/>
          <w:highlight w:val="none"/>
          <w:lang w:val="en-US" w:eastAsia="zh-CN" w:bidi="ar"/>
        </w:rPr>
        <w:t>七</w:t>
      </w:r>
    </w:p>
    <w:p w14:paraId="60889269">
      <w:pPr>
        <w:spacing w:line="440" w:lineRule="exact"/>
        <w:jc w:val="center"/>
        <w:rPr>
          <w:b/>
          <w:bCs/>
          <w:color w:val="auto"/>
          <w:sz w:val="28"/>
          <w:szCs w:val="28"/>
          <w:highlight w:val="none"/>
        </w:rPr>
      </w:pPr>
      <w:r>
        <w:rPr>
          <w:b/>
          <w:bCs/>
          <w:color w:val="auto"/>
          <w:sz w:val="28"/>
          <w:szCs w:val="28"/>
          <w:highlight w:val="none"/>
        </w:rPr>
        <w:t>类似业绩一览表</w:t>
      </w:r>
    </w:p>
    <w:tbl>
      <w:tblPr>
        <w:tblStyle w:val="29"/>
        <w:tblpPr w:leftFromText="180" w:rightFromText="180" w:vertAnchor="text" w:horzAnchor="page" w:tblpX="1137" w:tblpY="555"/>
        <w:tblOverlap w:val="never"/>
        <w:tblW w:w="0" w:type="auto"/>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780"/>
        <w:gridCol w:w="2198"/>
        <w:gridCol w:w="1989"/>
        <w:gridCol w:w="719"/>
        <w:gridCol w:w="1125"/>
        <w:gridCol w:w="1136"/>
        <w:gridCol w:w="1901"/>
      </w:tblGrid>
      <w:tr w14:paraId="2C30316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89" w:hRule="atLeast"/>
        </w:trPr>
        <w:tc>
          <w:tcPr>
            <w:tcW w:w="780" w:type="dxa"/>
            <w:shd w:val="clear" w:color="auto" w:fill="D9D9D9"/>
            <w:vAlign w:val="center"/>
          </w:tcPr>
          <w:p w14:paraId="4E5A5002">
            <w:pPr>
              <w:spacing w:line="380" w:lineRule="exact"/>
              <w:jc w:val="center"/>
              <w:rPr>
                <w:b/>
                <w:bCs/>
                <w:color w:val="auto"/>
                <w:sz w:val="22"/>
                <w:szCs w:val="22"/>
                <w:highlight w:val="none"/>
              </w:rPr>
            </w:pPr>
            <w:r>
              <w:rPr>
                <w:b/>
                <w:bCs/>
                <w:color w:val="auto"/>
                <w:sz w:val="22"/>
                <w:szCs w:val="22"/>
                <w:highlight w:val="none"/>
              </w:rPr>
              <w:t>序号</w:t>
            </w:r>
          </w:p>
        </w:tc>
        <w:tc>
          <w:tcPr>
            <w:tcW w:w="2198" w:type="dxa"/>
            <w:shd w:val="clear" w:color="auto" w:fill="D9D9D9"/>
            <w:vAlign w:val="center"/>
          </w:tcPr>
          <w:p w14:paraId="1A4FDB4F">
            <w:pPr>
              <w:spacing w:line="380" w:lineRule="exact"/>
              <w:jc w:val="center"/>
              <w:rPr>
                <w:b/>
                <w:bCs/>
                <w:color w:val="auto"/>
                <w:sz w:val="22"/>
                <w:szCs w:val="22"/>
                <w:highlight w:val="none"/>
              </w:rPr>
            </w:pPr>
            <w:r>
              <w:rPr>
                <w:b/>
                <w:bCs/>
                <w:color w:val="auto"/>
                <w:sz w:val="22"/>
                <w:szCs w:val="22"/>
                <w:highlight w:val="none"/>
              </w:rPr>
              <w:t>项目名称</w:t>
            </w:r>
          </w:p>
        </w:tc>
        <w:tc>
          <w:tcPr>
            <w:tcW w:w="1989" w:type="dxa"/>
            <w:shd w:val="clear" w:color="auto" w:fill="D9D9D9"/>
            <w:vAlign w:val="center"/>
          </w:tcPr>
          <w:p w14:paraId="1BA6ED20">
            <w:pPr>
              <w:spacing w:line="380" w:lineRule="exact"/>
              <w:jc w:val="center"/>
              <w:rPr>
                <w:b/>
                <w:bCs/>
                <w:color w:val="auto"/>
                <w:sz w:val="22"/>
                <w:szCs w:val="22"/>
                <w:highlight w:val="none"/>
              </w:rPr>
            </w:pPr>
            <w:r>
              <w:rPr>
                <w:b/>
                <w:bCs/>
                <w:color w:val="auto"/>
                <w:sz w:val="22"/>
                <w:szCs w:val="22"/>
                <w:highlight w:val="none"/>
              </w:rPr>
              <w:t>用户单位</w:t>
            </w:r>
          </w:p>
        </w:tc>
        <w:tc>
          <w:tcPr>
            <w:tcW w:w="719" w:type="dxa"/>
            <w:shd w:val="clear" w:color="auto" w:fill="D9D9D9"/>
            <w:vAlign w:val="center"/>
          </w:tcPr>
          <w:p w14:paraId="33AD06A3">
            <w:pPr>
              <w:spacing w:line="380" w:lineRule="exact"/>
              <w:jc w:val="center"/>
              <w:rPr>
                <w:b/>
                <w:bCs/>
                <w:color w:val="auto"/>
                <w:sz w:val="22"/>
                <w:szCs w:val="22"/>
                <w:highlight w:val="none"/>
              </w:rPr>
            </w:pPr>
            <w:r>
              <w:rPr>
                <w:b/>
                <w:bCs/>
                <w:color w:val="auto"/>
                <w:sz w:val="22"/>
                <w:szCs w:val="22"/>
                <w:highlight w:val="none"/>
              </w:rPr>
              <w:t>数量</w:t>
            </w:r>
          </w:p>
        </w:tc>
        <w:tc>
          <w:tcPr>
            <w:tcW w:w="1125" w:type="dxa"/>
            <w:shd w:val="clear" w:color="auto" w:fill="D9D9D9"/>
            <w:vAlign w:val="center"/>
          </w:tcPr>
          <w:p w14:paraId="7B3F4AF0">
            <w:pPr>
              <w:spacing w:line="380" w:lineRule="exact"/>
              <w:jc w:val="center"/>
              <w:rPr>
                <w:b/>
                <w:bCs/>
                <w:color w:val="auto"/>
                <w:sz w:val="22"/>
                <w:szCs w:val="22"/>
                <w:highlight w:val="none"/>
              </w:rPr>
            </w:pPr>
            <w:r>
              <w:rPr>
                <w:b/>
                <w:bCs/>
                <w:color w:val="auto"/>
                <w:sz w:val="22"/>
                <w:szCs w:val="22"/>
                <w:highlight w:val="none"/>
              </w:rPr>
              <w:t>合同金额</w:t>
            </w:r>
          </w:p>
        </w:tc>
        <w:tc>
          <w:tcPr>
            <w:tcW w:w="1136" w:type="dxa"/>
            <w:shd w:val="clear" w:color="auto" w:fill="D9D9D9"/>
            <w:vAlign w:val="center"/>
          </w:tcPr>
          <w:p w14:paraId="24F3435E">
            <w:pPr>
              <w:spacing w:line="380" w:lineRule="exact"/>
              <w:jc w:val="center"/>
              <w:rPr>
                <w:b/>
                <w:bCs/>
                <w:color w:val="auto"/>
                <w:sz w:val="22"/>
                <w:szCs w:val="22"/>
                <w:highlight w:val="none"/>
              </w:rPr>
            </w:pPr>
            <w:r>
              <w:rPr>
                <w:b/>
                <w:bCs/>
                <w:color w:val="auto"/>
                <w:sz w:val="22"/>
                <w:szCs w:val="22"/>
                <w:highlight w:val="none"/>
              </w:rPr>
              <w:t>合同签订时间</w:t>
            </w:r>
          </w:p>
        </w:tc>
        <w:tc>
          <w:tcPr>
            <w:tcW w:w="1901" w:type="dxa"/>
            <w:shd w:val="clear" w:color="auto" w:fill="D9D9D9"/>
            <w:vAlign w:val="center"/>
          </w:tcPr>
          <w:p w14:paraId="391C7FF6">
            <w:pPr>
              <w:spacing w:line="380" w:lineRule="exact"/>
              <w:jc w:val="center"/>
              <w:rPr>
                <w:b/>
                <w:bCs/>
                <w:color w:val="auto"/>
                <w:sz w:val="22"/>
                <w:szCs w:val="22"/>
                <w:highlight w:val="none"/>
              </w:rPr>
            </w:pPr>
            <w:r>
              <w:rPr>
                <w:b/>
                <w:bCs/>
                <w:color w:val="auto"/>
                <w:sz w:val="22"/>
                <w:szCs w:val="22"/>
                <w:highlight w:val="none"/>
              </w:rPr>
              <w:t>用户联系人/联系方式</w:t>
            </w:r>
          </w:p>
        </w:tc>
      </w:tr>
      <w:tr w14:paraId="17095C9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780" w:type="dxa"/>
            <w:vAlign w:val="center"/>
          </w:tcPr>
          <w:p w14:paraId="26F6B36C">
            <w:pPr>
              <w:spacing w:line="380" w:lineRule="exact"/>
              <w:jc w:val="center"/>
              <w:rPr>
                <w:b/>
                <w:bCs/>
                <w:color w:val="auto"/>
                <w:sz w:val="22"/>
                <w:szCs w:val="22"/>
                <w:highlight w:val="none"/>
              </w:rPr>
            </w:pPr>
          </w:p>
        </w:tc>
        <w:tc>
          <w:tcPr>
            <w:tcW w:w="2198" w:type="dxa"/>
            <w:vAlign w:val="center"/>
          </w:tcPr>
          <w:p w14:paraId="4F080D34">
            <w:pPr>
              <w:spacing w:line="380" w:lineRule="exact"/>
              <w:jc w:val="center"/>
              <w:rPr>
                <w:b/>
                <w:bCs/>
                <w:color w:val="auto"/>
                <w:sz w:val="22"/>
                <w:szCs w:val="22"/>
                <w:highlight w:val="none"/>
              </w:rPr>
            </w:pPr>
          </w:p>
        </w:tc>
        <w:tc>
          <w:tcPr>
            <w:tcW w:w="1989" w:type="dxa"/>
            <w:vAlign w:val="center"/>
          </w:tcPr>
          <w:p w14:paraId="667EE271">
            <w:pPr>
              <w:spacing w:line="380" w:lineRule="exact"/>
              <w:jc w:val="center"/>
              <w:rPr>
                <w:b/>
                <w:bCs/>
                <w:color w:val="auto"/>
                <w:sz w:val="22"/>
                <w:szCs w:val="22"/>
                <w:highlight w:val="none"/>
              </w:rPr>
            </w:pPr>
          </w:p>
        </w:tc>
        <w:tc>
          <w:tcPr>
            <w:tcW w:w="719" w:type="dxa"/>
            <w:vAlign w:val="center"/>
          </w:tcPr>
          <w:p w14:paraId="208720F2">
            <w:pPr>
              <w:spacing w:line="380" w:lineRule="exact"/>
              <w:jc w:val="center"/>
              <w:rPr>
                <w:b/>
                <w:bCs/>
                <w:color w:val="auto"/>
                <w:sz w:val="22"/>
                <w:szCs w:val="22"/>
                <w:highlight w:val="none"/>
              </w:rPr>
            </w:pPr>
          </w:p>
        </w:tc>
        <w:tc>
          <w:tcPr>
            <w:tcW w:w="1125" w:type="dxa"/>
            <w:vAlign w:val="center"/>
          </w:tcPr>
          <w:p w14:paraId="1FAFA827">
            <w:pPr>
              <w:spacing w:line="380" w:lineRule="exact"/>
              <w:jc w:val="center"/>
              <w:rPr>
                <w:b/>
                <w:bCs/>
                <w:color w:val="auto"/>
                <w:sz w:val="22"/>
                <w:szCs w:val="22"/>
                <w:highlight w:val="none"/>
              </w:rPr>
            </w:pPr>
          </w:p>
        </w:tc>
        <w:tc>
          <w:tcPr>
            <w:tcW w:w="1136" w:type="dxa"/>
            <w:vAlign w:val="center"/>
          </w:tcPr>
          <w:p w14:paraId="4C19E3E5">
            <w:pPr>
              <w:spacing w:line="380" w:lineRule="exact"/>
              <w:jc w:val="center"/>
              <w:rPr>
                <w:b/>
                <w:bCs/>
                <w:color w:val="auto"/>
                <w:sz w:val="22"/>
                <w:szCs w:val="22"/>
                <w:highlight w:val="none"/>
              </w:rPr>
            </w:pPr>
          </w:p>
        </w:tc>
        <w:tc>
          <w:tcPr>
            <w:tcW w:w="1901" w:type="dxa"/>
            <w:vAlign w:val="center"/>
          </w:tcPr>
          <w:p w14:paraId="257FC803">
            <w:pPr>
              <w:spacing w:line="380" w:lineRule="exact"/>
              <w:jc w:val="center"/>
              <w:rPr>
                <w:b/>
                <w:bCs/>
                <w:color w:val="auto"/>
                <w:sz w:val="22"/>
                <w:szCs w:val="22"/>
                <w:highlight w:val="none"/>
              </w:rPr>
            </w:pPr>
          </w:p>
        </w:tc>
      </w:tr>
      <w:tr w14:paraId="5C40967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780" w:type="dxa"/>
            <w:vAlign w:val="center"/>
          </w:tcPr>
          <w:p w14:paraId="3CC724E0">
            <w:pPr>
              <w:spacing w:line="380" w:lineRule="exact"/>
              <w:jc w:val="center"/>
              <w:rPr>
                <w:b/>
                <w:bCs/>
                <w:color w:val="auto"/>
                <w:sz w:val="22"/>
                <w:szCs w:val="22"/>
                <w:highlight w:val="none"/>
              </w:rPr>
            </w:pPr>
          </w:p>
        </w:tc>
        <w:tc>
          <w:tcPr>
            <w:tcW w:w="2198" w:type="dxa"/>
            <w:vAlign w:val="center"/>
          </w:tcPr>
          <w:p w14:paraId="77AE53B6">
            <w:pPr>
              <w:spacing w:line="380" w:lineRule="exact"/>
              <w:jc w:val="center"/>
              <w:rPr>
                <w:b/>
                <w:bCs/>
                <w:color w:val="auto"/>
                <w:sz w:val="22"/>
                <w:szCs w:val="22"/>
                <w:highlight w:val="none"/>
              </w:rPr>
            </w:pPr>
          </w:p>
        </w:tc>
        <w:tc>
          <w:tcPr>
            <w:tcW w:w="1989" w:type="dxa"/>
            <w:vAlign w:val="center"/>
          </w:tcPr>
          <w:p w14:paraId="47A32167">
            <w:pPr>
              <w:spacing w:line="380" w:lineRule="exact"/>
              <w:jc w:val="center"/>
              <w:rPr>
                <w:b/>
                <w:bCs/>
                <w:color w:val="auto"/>
                <w:sz w:val="22"/>
                <w:szCs w:val="22"/>
                <w:highlight w:val="none"/>
              </w:rPr>
            </w:pPr>
          </w:p>
        </w:tc>
        <w:tc>
          <w:tcPr>
            <w:tcW w:w="719" w:type="dxa"/>
            <w:vAlign w:val="center"/>
          </w:tcPr>
          <w:p w14:paraId="63F73FE5">
            <w:pPr>
              <w:spacing w:line="380" w:lineRule="exact"/>
              <w:jc w:val="center"/>
              <w:rPr>
                <w:b/>
                <w:bCs/>
                <w:color w:val="auto"/>
                <w:sz w:val="22"/>
                <w:szCs w:val="22"/>
                <w:highlight w:val="none"/>
              </w:rPr>
            </w:pPr>
          </w:p>
        </w:tc>
        <w:tc>
          <w:tcPr>
            <w:tcW w:w="1125" w:type="dxa"/>
            <w:vAlign w:val="center"/>
          </w:tcPr>
          <w:p w14:paraId="376C3B55">
            <w:pPr>
              <w:spacing w:line="380" w:lineRule="exact"/>
              <w:jc w:val="center"/>
              <w:rPr>
                <w:b/>
                <w:bCs/>
                <w:color w:val="auto"/>
                <w:sz w:val="22"/>
                <w:szCs w:val="22"/>
                <w:highlight w:val="none"/>
              </w:rPr>
            </w:pPr>
          </w:p>
        </w:tc>
        <w:tc>
          <w:tcPr>
            <w:tcW w:w="1136" w:type="dxa"/>
            <w:vAlign w:val="center"/>
          </w:tcPr>
          <w:p w14:paraId="1462693A">
            <w:pPr>
              <w:spacing w:line="380" w:lineRule="exact"/>
              <w:jc w:val="center"/>
              <w:rPr>
                <w:b/>
                <w:bCs/>
                <w:color w:val="auto"/>
                <w:sz w:val="22"/>
                <w:szCs w:val="22"/>
                <w:highlight w:val="none"/>
              </w:rPr>
            </w:pPr>
          </w:p>
        </w:tc>
        <w:tc>
          <w:tcPr>
            <w:tcW w:w="1901" w:type="dxa"/>
            <w:vAlign w:val="center"/>
          </w:tcPr>
          <w:p w14:paraId="64C5869E">
            <w:pPr>
              <w:spacing w:line="380" w:lineRule="exact"/>
              <w:jc w:val="center"/>
              <w:rPr>
                <w:b/>
                <w:bCs/>
                <w:color w:val="auto"/>
                <w:sz w:val="22"/>
                <w:szCs w:val="22"/>
                <w:highlight w:val="none"/>
              </w:rPr>
            </w:pPr>
          </w:p>
        </w:tc>
      </w:tr>
      <w:tr w14:paraId="48BEAB2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780" w:type="dxa"/>
            <w:vAlign w:val="center"/>
          </w:tcPr>
          <w:p w14:paraId="2C14AD42">
            <w:pPr>
              <w:spacing w:line="380" w:lineRule="exact"/>
              <w:jc w:val="center"/>
              <w:rPr>
                <w:b/>
                <w:bCs/>
                <w:color w:val="auto"/>
                <w:sz w:val="22"/>
                <w:szCs w:val="22"/>
                <w:highlight w:val="none"/>
              </w:rPr>
            </w:pPr>
          </w:p>
        </w:tc>
        <w:tc>
          <w:tcPr>
            <w:tcW w:w="2198" w:type="dxa"/>
            <w:vAlign w:val="center"/>
          </w:tcPr>
          <w:p w14:paraId="55D66757">
            <w:pPr>
              <w:spacing w:line="380" w:lineRule="exact"/>
              <w:jc w:val="center"/>
              <w:rPr>
                <w:b/>
                <w:bCs/>
                <w:color w:val="auto"/>
                <w:sz w:val="22"/>
                <w:szCs w:val="22"/>
                <w:highlight w:val="none"/>
              </w:rPr>
            </w:pPr>
          </w:p>
        </w:tc>
        <w:tc>
          <w:tcPr>
            <w:tcW w:w="1989" w:type="dxa"/>
            <w:vAlign w:val="center"/>
          </w:tcPr>
          <w:p w14:paraId="5A03DB50">
            <w:pPr>
              <w:spacing w:line="380" w:lineRule="exact"/>
              <w:jc w:val="center"/>
              <w:rPr>
                <w:b/>
                <w:bCs/>
                <w:color w:val="auto"/>
                <w:sz w:val="22"/>
                <w:szCs w:val="22"/>
                <w:highlight w:val="none"/>
              </w:rPr>
            </w:pPr>
          </w:p>
        </w:tc>
        <w:tc>
          <w:tcPr>
            <w:tcW w:w="719" w:type="dxa"/>
            <w:vAlign w:val="center"/>
          </w:tcPr>
          <w:p w14:paraId="5A809C66">
            <w:pPr>
              <w:spacing w:line="380" w:lineRule="exact"/>
              <w:jc w:val="center"/>
              <w:rPr>
                <w:b/>
                <w:bCs/>
                <w:color w:val="auto"/>
                <w:sz w:val="22"/>
                <w:szCs w:val="22"/>
                <w:highlight w:val="none"/>
              </w:rPr>
            </w:pPr>
          </w:p>
        </w:tc>
        <w:tc>
          <w:tcPr>
            <w:tcW w:w="1125" w:type="dxa"/>
            <w:vAlign w:val="center"/>
          </w:tcPr>
          <w:p w14:paraId="0ACF409A">
            <w:pPr>
              <w:spacing w:line="380" w:lineRule="exact"/>
              <w:jc w:val="center"/>
              <w:rPr>
                <w:b/>
                <w:bCs/>
                <w:color w:val="auto"/>
                <w:sz w:val="22"/>
                <w:szCs w:val="22"/>
                <w:highlight w:val="none"/>
              </w:rPr>
            </w:pPr>
          </w:p>
        </w:tc>
        <w:tc>
          <w:tcPr>
            <w:tcW w:w="1136" w:type="dxa"/>
            <w:vAlign w:val="center"/>
          </w:tcPr>
          <w:p w14:paraId="6B41A70B">
            <w:pPr>
              <w:spacing w:line="380" w:lineRule="exact"/>
              <w:jc w:val="center"/>
              <w:rPr>
                <w:b/>
                <w:bCs/>
                <w:color w:val="auto"/>
                <w:sz w:val="22"/>
                <w:szCs w:val="22"/>
                <w:highlight w:val="none"/>
              </w:rPr>
            </w:pPr>
          </w:p>
        </w:tc>
        <w:tc>
          <w:tcPr>
            <w:tcW w:w="1901" w:type="dxa"/>
            <w:vAlign w:val="center"/>
          </w:tcPr>
          <w:p w14:paraId="39E58A3F">
            <w:pPr>
              <w:spacing w:line="380" w:lineRule="exact"/>
              <w:jc w:val="center"/>
              <w:rPr>
                <w:b/>
                <w:bCs/>
                <w:color w:val="auto"/>
                <w:sz w:val="22"/>
                <w:szCs w:val="22"/>
                <w:highlight w:val="none"/>
              </w:rPr>
            </w:pPr>
          </w:p>
        </w:tc>
      </w:tr>
      <w:tr w14:paraId="05D20A8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780" w:type="dxa"/>
            <w:vAlign w:val="center"/>
          </w:tcPr>
          <w:p w14:paraId="53F98BB9">
            <w:pPr>
              <w:spacing w:line="380" w:lineRule="exact"/>
              <w:jc w:val="center"/>
              <w:rPr>
                <w:b/>
                <w:bCs/>
                <w:color w:val="auto"/>
                <w:sz w:val="22"/>
                <w:szCs w:val="22"/>
                <w:highlight w:val="none"/>
              </w:rPr>
            </w:pPr>
          </w:p>
        </w:tc>
        <w:tc>
          <w:tcPr>
            <w:tcW w:w="2198" w:type="dxa"/>
            <w:vAlign w:val="center"/>
          </w:tcPr>
          <w:p w14:paraId="74448F21">
            <w:pPr>
              <w:spacing w:line="380" w:lineRule="exact"/>
              <w:jc w:val="center"/>
              <w:rPr>
                <w:b/>
                <w:bCs/>
                <w:color w:val="auto"/>
                <w:sz w:val="22"/>
                <w:szCs w:val="22"/>
                <w:highlight w:val="none"/>
              </w:rPr>
            </w:pPr>
          </w:p>
        </w:tc>
        <w:tc>
          <w:tcPr>
            <w:tcW w:w="1989" w:type="dxa"/>
            <w:vAlign w:val="center"/>
          </w:tcPr>
          <w:p w14:paraId="354F7FEA">
            <w:pPr>
              <w:spacing w:line="380" w:lineRule="exact"/>
              <w:jc w:val="center"/>
              <w:rPr>
                <w:b/>
                <w:bCs/>
                <w:color w:val="auto"/>
                <w:sz w:val="22"/>
                <w:szCs w:val="22"/>
                <w:highlight w:val="none"/>
              </w:rPr>
            </w:pPr>
          </w:p>
        </w:tc>
        <w:tc>
          <w:tcPr>
            <w:tcW w:w="719" w:type="dxa"/>
            <w:vAlign w:val="center"/>
          </w:tcPr>
          <w:p w14:paraId="5012C300">
            <w:pPr>
              <w:spacing w:line="380" w:lineRule="exact"/>
              <w:jc w:val="center"/>
              <w:rPr>
                <w:b/>
                <w:bCs/>
                <w:color w:val="auto"/>
                <w:sz w:val="22"/>
                <w:szCs w:val="22"/>
                <w:highlight w:val="none"/>
              </w:rPr>
            </w:pPr>
          </w:p>
        </w:tc>
        <w:tc>
          <w:tcPr>
            <w:tcW w:w="1125" w:type="dxa"/>
            <w:vAlign w:val="center"/>
          </w:tcPr>
          <w:p w14:paraId="53C99054">
            <w:pPr>
              <w:spacing w:line="380" w:lineRule="exact"/>
              <w:jc w:val="center"/>
              <w:rPr>
                <w:b/>
                <w:bCs/>
                <w:color w:val="auto"/>
                <w:sz w:val="22"/>
                <w:szCs w:val="22"/>
                <w:highlight w:val="none"/>
              </w:rPr>
            </w:pPr>
          </w:p>
        </w:tc>
        <w:tc>
          <w:tcPr>
            <w:tcW w:w="1136" w:type="dxa"/>
            <w:vAlign w:val="center"/>
          </w:tcPr>
          <w:p w14:paraId="556AF235">
            <w:pPr>
              <w:spacing w:line="380" w:lineRule="exact"/>
              <w:jc w:val="center"/>
              <w:rPr>
                <w:b/>
                <w:bCs/>
                <w:color w:val="auto"/>
                <w:sz w:val="22"/>
                <w:szCs w:val="22"/>
                <w:highlight w:val="none"/>
              </w:rPr>
            </w:pPr>
          </w:p>
        </w:tc>
        <w:tc>
          <w:tcPr>
            <w:tcW w:w="1901" w:type="dxa"/>
            <w:vAlign w:val="center"/>
          </w:tcPr>
          <w:p w14:paraId="7F93B0F8">
            <w:pPr>
              <w:spacing w:line="380" w:lineRule="exact"/>
              <w:jc w:val="center"/>
              <w:rPr>
                <w:b/>
                <w:bCs/>
                <w:color w:val="auto"/>
                <w:sz w:val="22"/>
                <w:szCs w:val="22"/>
                <w:highlight w:val="none"/>
              </w:rPr>
            </w:pPr>
          </w:p>
        </w:tc>
      </w:tr>
      <w:tr w14:paraId="4448771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780" w:type="dxa"/>
            <w:vAlign w:val="center"/>
          </w:tcPr>
          <w:p w14:paraId="36EB502E">
            <w:pPr>
              <w:spacing w:line="380" w:lineRule="exact"/>
              <w:jc w:val="center"/>
              <w:rPr>
                <w:b/>
                <w:bCs/>
                <w:color w:val="auto"/>
                <w:sz w:val="22"/>
                <w:szCs w:val="22"/>
                <w:highlight w:val="none"/>
              </w:rPr>
            </w:pPr>
          </w:p>
        </w:tc>
        <w:tc>
          <w:tcPr>
            <w:tcW w:w="2198" w:type="dxa"/>
            <w:vAlign w:val="center"/>
          </w:tcPr>
          <w:p w14:paraId="102C0AC1">
            <w:pPr>
              <w:spacing w:line="380" w:lineRule="exact"/>
              <w:jc w:val="center"/>
              <w:rPr>
                <w:b/>
                <w:bCs/>
                <w:color w:val="auto"/>
                <w:sz w:val="22"/>
                <w:szCs w:val="22"/>
                <w:highlight w:val="none"/>
              </w:rPr>
            </w:pPr>
          </w:p>
        </w:tc>
        <w:tc>
          <w:tcPr>
            <w:tcW w:w="1989" w:type="dxa"/>
            <w:vAlign w:val="center"/>
          </w:tcPr>
          <w:p w14:paraId="3992EC43">
            <w:pPr>
              <w:spacing w:line="380" w:lineRule="exact"/>
              <w:jc w:val="center"/>
              <w:rPr>
                <w:b/>
                <w:bCs/>
                <w:color w:val="auto"/>
                <w:sz w:val="22"/>
                <w:szCs w:val="22"/>
                <w:highlight w:val="none"/>
              </w:rPr>
            </w:pPr>
          </w:p>
        </w:tc>
        <w:tc>
          <w:tcPr>
            <w:tcW w:w="719" w:type="dxa"/>
            <w:vAlign w:val="center"/>
          </w:tcPr>
          <w:p w14:paraId="1CC685DA">
            <w:pPr>
              <w:spacing w:line="380" w:lineRule="exact"/>
              <w:jc w:val="center"/>
              <w:rPr>
                <w:b/>
                <w:bCs/>
                <w:color w:val="auto"/>
                <w:sz w:val="22"/>
                <w:szCs w:val="22"/>
                <w:highlight w:val="none"/>
              </w:rPr>
            </w:pPr>
          </w:p>
        </w:tc>
        <w:tc>
          <w:tcPr>
            <w:tcW w:w="1125" w:type="dxa"/>
            <w:vAlign w:val="center"/>
          </w:tcPr>
          <w:p w14:paraId="56B1404D">
            <w:pPr>
              <w:spacing w:line="380" w:lineRule="exact"/>
              <w:jc w:val="center"/>
              <w:rPr>
                <w:b/>
                <w:bCs/>
                <w:color w:val="auto"/>
                <w:sz w:val="22"/>
                <w:szCs w:val="22"/>
                <w:highlight w:val="none"/>
              </w:rPr>
            </w:pPr>
          </w:p>
        </w:tc>
        <w:tc>
          <w:tcPr>
            <w:tcW w:w="1136" w:type="dxa"/>
            <w:vAlign w:val="center"/>
          </w:tcPr>
          <w:p w14:paraId="6D003987">
            <w:pPr>
              <w:spacing w:line="380" w:lineRule="exact"/>
              <w:jc w:val="center"/>
              <w:rPr>
                <w:b/>
                <w:bCs/>
                <w:color w:val="auto"/>
                <w:sz w:val="22"/>
                <w:szCs w:val="22"/>
                <w:highlight w:val="none"/>
              </w:rPr>
            </w:pPr>
          </w:p>
        </w:tc>
        <w:tc>
          <w:tcPr>
            <w:tcW w:w="1901" w:type="dxa"/>
            <w:vAlign w:val="center"/>
          </w:tcPr>
          <w:p w14:paraId="18863286">
            <w:pPr>
              <w:spacing w:line="380" w:lineRule="exact"/>
              <w:jc w:val="center"/>
              <w:rPr>
                <w:b/>
                <w:bCs/>
                <w:color w:val="auto"/>
                <w:sz w:val="22"/>
                <w:szCs w:val="22"/>
                <w:highlight w:val="none"/>
              </w:rPr>
            </w:pPr>
          </w:p>
        </w:tc>
      </w:tr>
      <w:tr w14:paraId="3A3CDFA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780" w:type="dxa"/>
            <w:vAlign w:val="center"/>
          </w:tcPr>
          <w:p w14:paraId="31D996D4">
            <w:pPr>
              <w:spacing w:line="380" w:lineRule="exact"/>
              <w:jc w:val="center"/>
              <w:rPr>
                <w:b/>
                <w:bCs/>
                <w:color w:val="auto"/>
                <w:sz w:val="22"/>
                <w:szCs w:val="22"/>
                <w:highlight w:val="none"/>
              </w:rPr>
            </w:pPr>
          </w:p>
        </w:tc>
        <w:tc>
          <w:tcPr>
            <w:tcW w:w="2198" w:type="dxa"/>
            <w:vAlign w:val="center"/>
          </w:tcPr>
          <w:p w14:paraId="016E700A">
            <w:pPr>
              <w:spacing w:line="380" w:lineRule="exact"/>
              <w:jc w:val="center"/>
              <w:rPr>
                <w:b/>
                <w:bCs/>
                <w:color w:val="auto"/>
                <w:sz w:val="22"/>
                <w:szCs w:val="22"/>
                <w:highlight w:val="none"/>
              </w:rPr>
            </w:pPr>
          </w:p>
        </w:tc>
        <w:tc>
          <w:tcPr>
            <w:tcW w:w="1989" w:type="dxa"/>
            <w:vAlign w:val="center"/>
          </w:tcPr>
          <w:p w14:paraId="65396C0A">
            <w:pPr>
              <w:spacing w:line="380" w:lineRule="exact"/>
              <w:jc w:val="center"/>
              <w:rPr>
                <w:b/>
                <w:bCs/>
                <w:color w:val="auto"/>
                <w:sz w:val="22"/>
                <w:szCs w:val="22"/>
                <w:highlight w:val="none"/>
              </w:rPr>
            </w:pPr>
          </w:p>
        </w:tc>
        <w:tc>
          <w:tcPr>
            <w:tcW w:w="719" w:type="dxa"/>
            <w:vAlign w:val="center"/>
          </w:tcPr>
          <w:p w14:paraId="6544CADE">
            <w:pPr>
              <w:spacing w:line="380" w:lineRule="exact"/>
              <w:jc w:val="center"/>
              <w:rPr>
                <w:b/>
                <w:bCs/>
                <w:color w:val="auto"/>
                <w:sz w:val="22"/>
                <w:szCs w:val="22"/>
                <w:highlight w:val="none"/>
              </w:rPr>
            </w:pPr>
          </w:p>
        </w:tc>
        <w:tc>
          <w:tcPr>
            <w:tcW w:w="1125" w:type="dxa"/>
            <w:vAlign w:val="center"/>
          </w:tcPr>
          <w:p w14:paraId="6646C346">
            <w:pPr>
              <w:spacing w:line="380" w:lineRule="exact"/>
              <w:jc w:val="center"/>
              <w:rPr>
                <w:b/>
                <w:bCs/>
                <w:color w:val="auto"/>
                <w:sz w:val="22"/>
                <w:szCs w:val="22"/>
                <w:highlight w:val="none"/>
              </w:rPr>
            </w:pPr>
          </w:p>
        </w:tc>
        <w:tc>
          <w:tcPr>
            <w:tcW w:w="1136" w:type="dxa"/>
            <w:vAlign w:val="center"/>
          </w:tcPr>
          <w:p w14:paraId="1C0C0B12">
            <w:pPr>
              <w:spacing w:line="380" w:lineRule="exact"/>
              <w:jc w:val="center"/>
              <w:rPr>
                <w:b/>
                <w:bCs/>
                <w:color w:val="auto"/>
                <w:sz w:val="22"/>
                <w:szCs w:val="22"/>
                <w:highlight w:val="none"/>
              </w:rPr>
            </w:pPr>
          </w:p>
        </w:tc>
        <w:tc>
          <w:tcPr>
            <w:tcW w:w="1901" w:type="dxa"/>
            <w:vAlign w:val="center"/>
          </w:tcPr>
          <w:p w14:paraId="314E1089">
            <w:pPr>
              <w:spacing w:line="380" w:lineRule="exact"/>
              <w:jc w:val="center"/>
              <w:rPr>
                <w:b/>
                <w:bCs/>
                <w:color w:val="auto"/>
                <w:sz w:val="22"/>
                <w:szCs w:val="22"/>
                <w:highlight w:val="none"/>
              </w:rPr>
            </w:pPr>
          </w:p>
        </w:tc>
      </w:tr>
      <w:tr w14:paraId="5B4DB7B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780" w:type="dxa"/>
            <w:vAlign w:val="center"/>
          </w:tcPr>
          <w:p w14:paraId="42006DF5">
            <w:pPr>
              <w:spacing w:line="380" w:lineRule="exact"/>
              <w:jc w:val="center"/>
              <w:rPr>
                <w:b/>
                <w:bCs/>
                <w:color w:val="auto"/>
                <w:sz w:val="22"/>
                <w:szCs w:val="22"/>
                <w:highlight w:val="none"/>
              </w:rPr>
            </w:pPr>
          </w:p>
        </w:tc>
        <w:tc>
          <w:tcPr>
            <w:tcW w:w="2198" w:type="dxa"/>
            <w:vAlign w:val="center"/>
          </w:tcPr>
          <w:p w14:paraId="31369377">
            <w:pPr>
              <w:spacing w:line="380" w:lineRule="exact"/>
              <w:jc w:val="center"/>
              <w:rPr>
                <w:b/>
                <w:bCs/>
                <w:color w:val="auto"/>
                <w:sz w:val="22"/>
                <w:szCs w:val="22"/>
                <w:highlight w:val="none"/>
              </w:rPr>
            </w:pPr>
          </w:p>
        </w:tc>
        <w:tc>
          <w:tcPr>
            <w:tcW w:w="1989" w:type="dxa"/>
            <w:vAlign w:val="center"/>
          </w:tcPr>
          <w:p w14:paraId="77E43ACB">
            <w:pPr>
              <w:spacing w:line="380" w:lineRule="exact"/>
              <w:jc w:val="center"/>
              <w:rPr>
                <w:b/>
                <w:bCs/>
                <w:color w:val="auto"/>
                <w:sz w:val="22"/>
                <w:szCs w:val="22"/>
                <w:highlight w:val="none"/>
              </w:rPr>
            </w:pPr>
          </w:p>
        </w:tc>
        <w:tc>
          <w:tcPr>
            <w:tcW w:w="719" w:type="dxa"/>
            <w:vAlign w:val="center"/>
          </w:tcPr>
          <w:p w14:paraId="519AC3AD">
            <w:pPr>
              <w:spacing w:line="380" w:lineRule="exact"/>
              <w:jc w:val="center"/>
              <w:rPr>
                <w:b/>
                <w:bCs/>
                <w:color w:val="auto"/>
                <w:sz w:val="22"/>
                <w:szCs w:val="22"/>
                <w:highlight w:val="none"/>
              </w:rPr>
            </w:pPr>
          </w:p>
        </w:tc>
        <w:tc>
          <w:tcPr>
            <w:tcW w:w="1125" w:type="dxa"/>
            <w:vAlign w:val="center"/>
          </w:tcPr>
          <w:p w14:paraId="560010C1">
            <w:pPr>
              <w:spacing w:line="380" w:lineRule="exact"/>
              <w:jc w:val="center"/>
              <w:rPr>
                <w:b/>
                <w:bCs/>
                <w:color w:val="auto"/>
                <w:sz w:val="22"/>
                <w:szCs w:val="22"/>
                <w:highlight w:val="none"/>
              </w:rPr>
            </w:pPr>
          </w:p>
        </w:tc>
        <w:tc>
          <w:tcPr>
            <w:tcW w:w="1136" w:type="dxa"/>
            <w:vAlign w:val="center"/>
          </w:tcPr>
          <w:p w14:paraId="1D052D67">
            <w:pPr>
              <w:spacing w:line="380" w:lineRule="exact"/>
              <w:jc w:val="center"/>
              <w:rPr>
                <w:b/>
                <w:bCs/>
                <w:color w:val="auto"/>
                <w:sz w:val="22"/>
                <w:szCs w:val="22"/>
                <w:highlight w:val="none"/>
              </w:rPr>
            </w:pPr>
          </w:p>
        </w:tc>
        <w:tc>
          <w:tcPr>
            <w:tcW w:w="1901" w:type="dxa"/>
            <w:vAlign w:val="center"/>
          </w:tcPr>
          <w:p w14:paraId="502FAA5A">
            <w:pPr>
              <w:spacing w:line="380" w:lineRule="exact"/>
              <w:jc w:val="center"/>
              <w:rPr>
                <w:b/>
                <w:bCs/>
                <w:color w:val="auto"/>
                <w:sz w:val="22"/>
                <w:szCs w:val="22"/>
                <w:highlight w:val="none"/>
              </w:rPr>
            </w:pPr>
          </w:p>
        </w:tc>
      </w:tr>
      <w:tr w14:paraId="20878BB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780" w:type="dxa"/>
            <w:vAlign w:val="center"/>
          </w:tcPr>
          <w:p w14:paraId="3CD63DBA">
            <w:pPr>
              <w:spacing w:line="380" w:lineRule="exact"/>
              <w:jc w:val="center"/>
              <w:rPr>
                <w:b/>
                <w:bCs/>
                <w:color w:val="auto"/>
                <w:sz w:val="22"/>
                <w:szCs w:val="22"/>
                <w:highlight w:val="none"/>
              </w:rPr>
            </w:pPr>
          </w:p>
        </w:tc>
        <w:tc>
          <w:tcPr>
            <w:tcW w:w="2198" w:type="dxa"/>
            <w:vAlign w:val="center"/>
          </w:tcPr>
          <w:p w14:paraId="2D93B8C3">
            <w:pPr>
              <w:spacing w:line="380" w:lineRule="exact"/>
              <w:jc w:val="center"/>
              <w:rPr>
                <w:b/>
                <w:bCs/>
                <w:color w:val="auto"/>
                <w:sz w:val="22"/>
                <w:szCs w:val="22"/>
                <w:highlight w:val="none"/>
              </w:rPr>
            </w:pPr>
          </w:p>
        </w:tc>
        <w:tc>
          <w:tcPr>
            <w:tcW w:w="1989" w:type="dxa"/>
            <w:vAlign w:val="center"/>
          </w:tcPr>
          <w:p w14:paraId="269AAE0C">
            <w:pPr>
              <w:spacing w:line="380" w:lineRule="exact"/>
              <w:jc w:val="center"/>
              <w:rPr>
                <w:b/>
                <w:bCs/>
                <w:color w:val="auto"/>
                <w:sz w:val="22"/>
                <w:szCs w:val="22"/>
                <w:highlight w:val="none"/>
              </w:rPr>
            </w:pPr>
          </w:p>
        </w:tc>
        <w:tc>
          <w:tcPr>
            <w:tcW w:w="719" w:type="dxa"/>
            <w:vAlign w:val="center"/>
          </w:tcPr>
          <w:p w14:paraId="78BBBB30">
            <w:pPr>
              <w:spacing w:line="380" w:lineRule="exact"/>
              <w:jc w:val="center"/>
              <w:rPr>
                <w:b/>
                <w:bCs/>
                <w:color w:val="auto"/>
                <w:sz w:val="22"/>
                <w:szCs w:val="22"/>
                <w:highlight w:val="none"/>
              </w:rPr>
            </w:pPr>
          </w:p>
        </w:tc>
        <w:tc>
          <w:tcPr>
            <w:tcW w:w="1125" w:type="dxa"/>
            <w:vAlign w:val="center"/>
          </w:tcPr>
          <w:p w14:paraId="66950742">
            <w:pPr>
              <w:spacing w:line="380" w:lineRule="exact"/>
              <w:jc w:val="center"/>
              <w:rPr>
                <w:b/>
                <w:bCs/>
                <w:color w:val="auto"/>
                <w:sz w:val="22"/>
                <w:szCs w:val="22"/>
                <w:highlight w:val="none"/>
              </w:rPr>
            </w:pPr>
          </w:p>
        </w:tc>
        <w:tc>
          <w:tcPr>
            <w:tcW w:w="1136" w:type="dxa"/>
            <w:vAlign w:val="center"/>
          </w:tcPr>
          <w:p w14:paraId="2BB59F4C">
            <w:pPr>
              <w:spacing w:line="380" w:lineRule="exact"/>
              <w:jc w:val="center"/>
              <w:rPr>
                <w:b/>
                <w:bCs/>
                <w:color w:val="auto"/>
                <w:sz w:val="22"/>
                <w:szCs w:val="22"/>
                <w:highlight w:val="none"/>
              </w:rPr>
            </w:pPr>
          </w:p>
        </w:tc>
        <w:tc>
          <w:tcPr>
            <w:tcW w:w="1901" w:type="dxa"/>
            <w:vAlign w:val="center"/>
          </w:tcPr>
          <w:p w14:paraId="1A27B3D0">
            <w:pPr>
              <w:spacing w:line="380" w:lineRule="exact"/>
              <w:jc w:val="center"/>
              <w:rPr>
                <w:b/>
                <w:bCs/>
                <w:color w:val="auto"/>
                <w:sz w:val="22"/>
                <w:szCs w:val="22"/>
                <w:highlight w:val="none"/>
              </w:rPr>
            </w:pPr>
          </w:p>
        </w:tc>
      </w:tr>
      <w:tr w14:paraId="65151CE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780" w:type="dxa"/>
            <w:vAlign w:val="center"/>
          </w:tcPr>
          <w:p w14:paraId="52C2798C">
            <w:pPr>
              <w:spacing w:line="380" w:lineRule="exact"/>
              <w:jc w:val="center"/>
              <w:rPr>
                <w:b/>
                <w:bCs/>
                <w:color w:val="auto"/>
                <w:sz w:val="22"/>
                <w:szCs w:val="22"/>
                <w:highlight w:val="none"/>
              </w:rPr>
            </w:pPr>
          </w:p>
        </w:tc>
        <w:tc>
          <w:tcPr>
            <w:tcW w:w="2198" w:type="dxa"/>
            <w:vAlign w:val="center"/>
          </w:tcPr>
          <w:p w14:paraId="4FE57A0A">
            <w:pPr>
              <w:spacing w:line="380" w:lineRule="exact"/>
              <w:jc w:val="center"/>
              <w:rPr>
                <w:b/>
                <w:bCs/>
                <w:color w:val="auto"/>
                <w:sz w:val="22"/>
                <w:szCs w:val="22"/>
                <w:highlight w:val="none"/>
              </w:rPr>
            </w:pPr>
          </w:p>
        </w:tc>
        <w:tc>
          <w:tcPr>
            <w:tcW w:w="1989" w:type="dxa"/>
            <w:vAlign w:val="center"/>
          </w:tcPr>
          <w:p w14:paraId="5FAFD578">
            <w:pPr>
              <w:spacing w:line="380" w:lineRule="exact"/>
              <w:jc w:val="center"/>
              <w:rPr>
                <w:b/>
                <w:bCs/>
                <w:color w:val="auto"/>
                <w:sz w:val="22"/>
                <w:szCs w:val="22"/>
                <w:highlight w:val="none"/>
              </w:rPr>
            </w:pPr>
          </w:p>
        </w:tc>
        <w:tc>
          <w:tcPr>
            <w:tcW w:w="719" w:type="dxa"/>
            <w:vAlign w:val="center"/>
          </w:tcPr>
          <w:p w14:paraId="09B0BF11">
            <w:pPr>
              <w:spacing w:line="380" w:lineRule="exact"/>
              <w:jc w:val="center"/>
              <w:rPr>
                <w:b/>
                <w:bCs/>
                <w:color w:val="auto"/>
                <w:sz w:val="22"/>
                <w:szCs w:val="22"/>
                <w:highlight w:val="none"/>
              </w:rPr>
            </w:pPr>
          </w:p>
        </w:tc>
        <w:tc>
          <w:tcPr>
            <w:tcW w:w="1125" w:type="dxa"/>
            <w:vAlign w:val="center"/>
          </w:tcPr>
          <w:p w14:paraId="127BC1AC">
            <w:pPr>
              <w:spacing w:line="380" w:lineRule="exact"/>
              <w:jc w:val="center"/>
              <w:rPr>
                <w:b/>
                <w:bCs/>
                <w:color w:val="auto"/>
                <w:sz w:val="22"/>
                <w:szCs w:val="22"/>
                <w:highlight w:val="none"/>
              </w:rPr>
            </w:pPr>
          </w:p>
        </w:tc>
        <w:tc>
          <w:tcPr>
            <w:tcW w:w="1136" w:type="dxa"/>
            <w:vAlign w:val="center"/>
          </w:tcPr>
          <w:p w14:paraId="0CAFE02E">
            <w:pPr>
              <w:spacing w:line="380" w:lineRule="exact"/>
              <w:jc w:val="center"/>
              <w:rPr>
                <w:b/>
                <w:bCs/>
                <w:color w:val="auto"/>
                <w:sz w:val="22"/>
                <w:szCs w:val="22"/>
                <w:highlight w:val="none"/>
              </w:rPr>
            </w:pPr>
          </w:p>
        </w:tc>
        <w:tc>
          <w:tcPr>
            <w:tcW w:w="1901" w:type="dxa"/>
            <w:vAlign w:val="center"/>
          </w:tcPr>
          <w:p w14:paraId="022C680F">
            <w:pPr>
              <w:spacing w:line="380" w:lineRule="exact"/>
              <w:jc w:val="center"/>
              <w:rPr>
                <w:b/>
                <w:bCs/>
                <w:color w:val="auto"/>
                <w:sz w:val="22"/>
                <w:szCs w:val="22"/>
                <w:highlight w:val="none"/>
              </w:rPr>
            </w:pPr>
          </w:p>
        </w:tc>
      </w:tr>
      <w:tr w14:paraId="42E4FEE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780" w:type="dxa"/>
            <w:vAlign w:val="center"/>
          </w:tcPr>
          <w:p w14:paraId="22EA37BE">
            <w:pPr>
              <w:spacing w:line="380" w:lineRule="exact"/>
              <w:jc w:val="center"/>
              <w:rPr>
                <w:b/>
                <w:bCs/>
                <w:color w:val="auto"/>
                <w:sz w:val="22"/>
                <w:szCs w:val="22"/>
                <w:highlight w:val="none"/>
              </w:rPr>
            </w:pPr>
          </w:p>
        </w:tc>
        <w:tc>
          <w:tcPr>
            <w:tcW w:w="2198" w:type="dxa"/>
            <w:vAlign w:val="center"/>
          </w:tcPr>
          <w:p w14:paraId="4E1598E5">
            <w:pPr>
              <w:spacing w:line="380" w:lineRule="exact"/>
              <w:jc w:val="center"/>
              <w:rPr>
                <w:b/>
                <w:bCs/>
                <w:color w:val="auto"/>
                <w:sz w:val="22"/>
                <w:szCs w:val="22"/>
                <w:highlight w:val="none"/>
              </w:rPr>
            </w:pPr>
          </w:p>
        </w:tc>
        <w:tc>
          <w:tcPr>
            <w:tcW w:w="1989" w:type="dxa"/>
            <w:vAlign w:val="center"/>
          </w:tcPr>
          <w:p w14:paraId="2116F61A">
            <w:pPr>
              <w:spacing w:line="380" w:lineRule="exact"/>
              <w:jc w:val="center"/>
              <w:rPr>
                <w:b/>
                <w:bCs/>
                <w:color w:val="auto"/>
                <w:sz w:val="22"/>
                <w:szCs w:val="22"/>
                <w:highlight w:val="none"/>
              </w:rPr>
            </w:pPr>
          </w:p>
        </w:tc>
        <w:tc>
          <w:tcPr>
            <w:tcW w:w="719" w:type="dxa"/>
            <w:vAlign w:val="center"/>
          </w:tcPr>
          <w:p w14:paraId="64678230">
            <w:pPr>
              <w:spacing w:line="380" w:lineRule="exact"/>
              <w:jc w:val="center"/>
              <w:rPr>
                <w:b/>
                <w:bCs/>
                <w:color w:val="auto"/>
                <w:sz w:val="22"/>
                <w:szCs w:val="22"/>
                <w:highlight w:val="none"/>
              </w:rPr>
            </w:pPr>
          </w:p>
        </w:tc>
        <w:tc>
          <w:tcPr>
            <w:tcW w:w="1125" w:type="dxa"/>
            <w:vAlign w:val="center"/>
          </w:tcPr>
          <w:p w14:paraId="2FB680C9">
            <w:pPr>
              <w:spacing w:line="380" w:lineRule="exact"/>
              <w:jc w:val="center"/>
              <w:rPr>
                <w:b/>
                <w:bCs/>
                <w:color w:val="auto"/>
                <w:sz w:val="22"/>
                <w:szCs w:val="22"/>
                <w:highlight w:val="none"/>
              </w:rPr>
            </w:pPr>
          </w:p>
        </w:tc>
        <w:tc>
          <w:tcPr>
            <w:tcW w:w="1136" w:type="dxa"/>
            <w:vAlign w:val="center"/>
          </w:tcPr>
          <w:p w14:paraId="6C8E0E49">
            <w:pPr>
              <w:spacing w:line="380" w:lineRule="exact"/>
              <w:jc w:val="center"/>
              <w:rPr>
                <w:b/>
                <w:bCs/>
                <w:color w:val="auto"/>
                <w:sz w:val="22"/>
                <w:szCs w:val="22"/>
                <w:highlight w:val="none"/>
              </w:rPr>
            </w:pPr>
          </w:p>
        </w:tc>
        <w:tc>
          <w:tcPr>
            <w:tcW w:w="1901" w:type="dxa"/>
            <w:vAlign w:val="center"/>
          </w:tcPr>
          <w:p w14:paraId="1919C04E">
            <w:pPr>
              <w:spacing w:line="380" w:lineRule="exact"/>
              <w:jc w:val="center"/>
              <w:rPr>
                <w:b/>
                <w:bCs/>
                <w:color w:val="auto"/>
                <w:sz w:val="22"/>
                <w:szCs w:val="22"/>
                <w:highlight w:val="none"/>
              </w:rPr>
            </w:pPr>
          </w:p>
        </w:tc>
      </w:tr>
      <w:tr w14:paraId="5CBD02C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780" w:type="dxa"/>
            <w:vAlign w:val="center"/>
          </w:tcPr>
          <w:p w14:paraId="55877860">
            <w:pPr>
              <w:spacing w:line="380" w:lineRule="exact"/>
              <w:jc w:val="center"/>
              <w:rPr>
                <w:b/>
                <w:bCs/>
                <w:color w:val="auto"/>
                <w:sz w:val="22"/>
                <w:szCs w:val="22"/>
                <w:highlight w:val="none"/>
              </w:rPr>
            </w:pPr>
          </w:p>
        </w:tc>
        <w:tc>
          <w:tcPr>
            <w:tcW w:w="2198" w:type="dxa"/>
            <w:vAlign w:val="center"/>
          </w:tcPr>
          <w:p w14:paraId="70291C80">
            <w:pPr>
              <w:spacing w:line="380" w:lineRule="exact"/>
              <w:jc w:val="center"/>
              <w:rPr>
                <w:b/>
                <w:bCs/>
                <w:color w:val="auto"/>
                <w:sz w:val="22"/>
                <w:szCs w:val="22"/>
                <w:highlight w:val="none"/>
              </w:rPr>
            </w:pPr>
          </w:p>
        </w:tc>
        <w:tc>
          <w:tcPr>
            <w:tcW w:w="1989" w:type="dxa"/>
            <w:vAlign w:val="center"/>
          </w:tcPr>
          <w:p w14:paraId="0F0B23BD">
            <w:pPr>
              <w:spacing w:line="380" w:lineRule="exact"/>
              <w:jc w:val="center"/>
              <w:rPr>
                <w:b/>
                <w:bCs/>
                <w:color w:val="auto"/>
                <w:sz w:val="22"/>
                <w:szCs w:val="22"/>
                <w:highlight w:val="none"/>
              </w:rPr>
            </w:pPr>
          </w:p>
        </w:tc>
        <w:tc>
          <w:tcPr>
            <w:tcW w:w="719" w:type="dxa"/>
            <w:vAlign w:val="center"/>
          </w:tcPr>
          <w:p w14:paraId="40752449">
            <w:pPr>
              <w:spacing w:line="380" w:lineRule="exact"/>
              <w:jc w:val="center"/>
              <w:rPr>
                <w:b/>
                <w:bCs/>
                <w:color w:val="auto"/>
                <w:sz w:val="22"/>
                <w:szCs w:val="22"/>
                <w:highlight w:val="none"/>
              </w:rPr>
            </w:pPr>
          </w:p>
        </w:tc>
        <w:tc>
          <w:tcPr>
            <w:tcW w:w="1125" w:type="dxa"/>
            <w:vAlign w:val="center"/>
          </w:tcPr>
          <w:p w14:paraId="32B3BC9E">
            <w:pPr>
              <w:spacing w:line="380" w:lineRule="exact"/>
              <w:jc w:val="center"/>
              <w:rPr>
                <w:b/>
                <w:bCs/>
                <w:color w:val="auto"/>
                <w:sz w:val="22"/>
                <w:szCs w:val="22"/>
                <w:highlight w:val="none"/>
              </w:rPr>
            </w:pPr>
          </w:p>
        </w:tc>
        <w:tc>
          <w:tcPr>
            <w:tcW w:w="1136" w:type="dxa"/>
            <w:vAlign w:val="center"/>
          </w:tcPr>
          <w:p w14:paraId="2E577029">
            <w:pPr>
              <w:spacing w:line="380" w:lineRule="exact"/>
              <w:jc w:val="center"/>
              <w:rPr>
                <w:b/>
                <w:bCs/>
                <w:color w:val="auto"/>
                <w:sz w:val="22"/>
                <w:szCs w:val="22"/>
                <w:highlight w:val="none"/>
              </w:rPr>
            </w:pPr>
          </w:p>
        </w:tc>
        <w:tc>
          <w:tcPr>
            <w:tcW w:w="1901" w:type="dxa"/>
            <w:vAlign w:val="center"/>
          </w:tcPr>
          <w:p w14:paraId="498096F0">
            <w:pPr>
              <w:spacing w:line="380" w:lineRule="exact"/>
              <w:jc w:val="center"/>
              <w:rPr>
                <w:b/>
                <w:bCs/>
                <w:color w:val="auto"/>
                <w:sz w:val="22"/>
                <w:szCs w:val="22"/>
                <w:highlight w:val="none"/>
              </w:rPr>
            </w:pPr>
          </w:p>
        </w:tc>
      </w:tr>
      <w:tr w14:paraId="44E622E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53" w:hRule="atLeast"/>
        </w:trPr>
        <w:tc>
          <w:tcPr>
            <w:tcW w:w="780" w:type="dxa"/>
            <w:vAlign w:val="center"/>
          </w:tcPr>
          <w:p w14:paraId="6A15A9AE">
            <w:pPr>
              <w:spacing w:line="380" w:lineRule="exact"/>
              <w:jc w:val="center"/>
              <w:rPr>
                <w:b/>
                <w:bCs/>
                <w:color w:val="auto"/>
                <w:sz w:val="22"/>
                <w:szCs w:val="22"/>
                <w:highlight w:val="none"/>
              </w:rPr>
            </w:pPr>
          </w:p>
        </w:tc>
        <w:tc>
          <w:tcPr>
            <w:tcW w:w="2198" w:type="dxa"/>
            <w:vAlign w:val="center"/>
          </w:tcPr>
          <w:p w14:paraId="7A291F95">
            <w:pPr>
              <w:spacing w:line="380" w:lineRule="exact"/>
              <w:jc w:val="center"/>
              <w:rPr>
                <w:b/>
                <w:bCs/>
                <w:color w:val="auto"/>
                <w:sz w:val="22"/>
                <w:szCs w:val="22"/>
                <w:highlight w:val="none"/>
              </w:rPr>
            </w:pPr>
          </w:p>
        </w:tc>
        <w:tc>
          <w:tcPr>
            <w:tcW w:w="1989" w:type="dxa"/>
            <w:vAlign w:val="center"/>
          </w:tcPr>
          <w:p w14:paraId="79C9F6DC">
            <w:pPr>
              <w:spacing w:line="380" w:lineRule="exact"/>
              <w:jc w:val="center"/>
              <w:rPr>
                <w:b/>
                <w:bCs/>
                <w:color w:val="auto"/>
                <w:sz w:val="22"/>
                <w:szCs w:val="22"/>
                <w:highlight w:val="none"/>
              </w:rPr>
            </w:pPr>
          </w:p>
        </w:tc>
        <w:tc>
          <w:tcPr>
            <w:tcW w:w="719" w:type="dxa"/>
            <w:vAlign w:val="center"/>
          </w:tcPr>
          <w:p w14:paraId="651D7C4E">
            <w:pPr>
              <w:spacing w:line="380" w:lineRule="exact"/>
              <w:jc w:val="center"/>
              <w:rPr>
                <w:b/>
                <w:bCs/>
                <w:color w:val="auto"/>
                <w:sz w:val="22"/>
                <w:szCs w:val="22"/>
                <w:highlight w:val="none"/>
              </w:rPr>
            </w:pPr>
          </w:p>
        </w:tc>
        <w:tc>
          <w:tcPr>
            <w:tcW w:w="1125" w:type="dxa"/>
            <w:vAlign w:val="center"/>
          </w:tcPr>
          <w:p w14:paraId="290B1288">
            <w:pPr>
              <w:spacing w:line="380" w:lineRule="exact"/>
              <w:jc w:val="center"/>
              <w:rPr>
                <w:b/>
                <w:bCs/>
                <w:color w:val="auto"/>
                <w:sz w:val="22"/>
                <w:szCs w:val="22"/>
                <w:highlight w:val="none"/>
              </w:rPr>
            </w:pPr>
          </w:p>
        </w:tc>
        <w:tc>
          <w:tcPr>
            <w:tcW w:w="1136" w:type="dxa"/>
            <w:vAlign w:val="center"/>
          </w:tcPr>
          <w:p w14:paraId="50DD4DCF">
            <w:pPr>
              <w:spacing w:line="380" w:lineRule="exact"/>
              <w:jc w:val="center"/>
              <w:rPr>
                <w:b/>
                <w:bCs/>
                <w:color w:val="auto"/>
                <w:sz w:val="22"/>
                <w:szCs w:val="22"/>
                <w:highlight w:val="none"/>
              </w:rPr>
            </w:pPr>
          </w:p>
        </w:tc>
        <w:tc>
          <w:tcPr>
            <w:tcW w:w="1901" w:type="dxa"/>
            <w:vAlign w:val="center"/>
          </w:tcPr>
          <w:p w14:paraId="0A776FB4">
            <w:pPr>
              <w:spacing w:line="380" w:lineRule="exact"/>
              <w:jc w:val="center"/>
              <w:rPr>
                <w:b/>
                <w:bCs/>
                <w:color w:val="auto"/>
                <w:sz w:val="22"/>
                <w:szCs w:val="22"/>
                <w:highlight w:val="none"/>
              </w:rPr>
            </w:pPr>
          </w:p>
        </w:tc>
      </w:tr>
    </w:tbl>
    <w:p w14:paraId="7A06BE13">
      <w:pPr>
        <w:spacing w:line="440" w:lineRule="exact"/>
        <w:rPr>
          <w:b/>
          <w:bCs/>
          <w:color w:val="auto"/>
          <w:sz w:val="22"/>
          <w:szCs w:val="22"/>
          <w:highlight w:val="none"/>
        </w:rPr>
      </w:pPr>
      <w:r>
        <w:rPr>
          <w:b/>
          <w:bCs/>
          <w:color w:val="auto"/>
          <w:sz w:val="22"/>
          <w:szCs w:val="22"/>
          <w:highlight w:val="none"/>
        </w:rPr>
        <w:t>采购项目名称：                                          采购编号：</w:t>
      </w:r>
    </w:p>
    <w:p w14:paraId="6E910D01">
      <w:pPr>
        <w:spacing w:line="360" w:lineRule="auto"/>
        <w:rPr>
          <w:color w:val="auto"/>
          <w:sz w:val="22"/>
          <w:szCs w:val="22"/>
          <w:highlight w:val="none"/>
        </w:rPr>
      </w:pPr>
      <w:r>
        <w:rPr>
          <w:color w:val="auto"/>
          <w:sz w:val="22"/>
          <w:szCs w:val="22"/>
          <w:highlight w:val="none"/>
        </w:rPr>
        <w:t>注：</w:t>
      </w:r>
    </w:p>
    <w:p w14:paraId="4829EDE9">
      <w:pPr>
        <w:spacing w:line="360" w:lineRule="auto"/>
        <w:rPr>
          <w:color w:val="auto"/>
          <w:sz w:val="22"/>
          <w:szCs w:val="22"/>
          <w:highlight w:val="none"/>
        </w:rPr>
      </w:pPr>
      <w:r>
        <w:rPr>
          <w:color w:val="auto"/>
          <w:sz w:val="22"/>
          <w:szCs w:val="22"/>
          <w:highlight w:val="none"/>
        </w:rPr>
        <w:t>1. 此表仅提供了表格形式，投标人应根据需要准备足够数量的表格来填写。</w:t>
      </w:r>
    </w:p>
    <w:p w14:paraId="1FD6CC7B">
      <w:pPr>
        <w:tabs>
          <w:tab w:val="left" w:pos="780"/>
        </w:tabs>
        <w:spacing w:line="360" w:lineRule="auto"/>
        <w:rPr>
          <w:color w:val="auto"/>
          <w:sz w:val="22"/>
          <w:szCs w:val="22"/>
          <w:highlight w:val="none"/>
        </w:rPr>
      </w:pPr>
      <w:r>
        <w:rPr>
          <w:color w:val="auto"/>
          <w:sz w:val="22"/>
          <w:szCs w:val="22"/>
          <w:highlight w:val="none"/>
        </w:rPr>
        <w:t>2. 后附类似业绩证明材料（详见评分细则）。</w:t>
      </w:r>
    </w:p>
    <w:p w14:paraId="0EADCF59">
      <w:pPr>
        <w:spacing w:line="360" w:lineRule="auto"/>
        <w:rPr>
          <w:b/>
          <w:color w:val="auto"/>
          <w:sz w:val="22"/>
          <w:szCs w:val="22"/>
          <w:highlight w:val="none"/>
          <w:u w:val="thick"/>
        </w:rPr>
      </w:pPr>
      <w:r>
        <w:rPr>
          <w:b/>
          <w:color w:val="auto"/>
          <w:sz w:val="22"/>
          <w:szCs w:val="22"/>
          <w:highlight w:val="none"/>
          <w:u w:val="thick"/>
        </w:rPr>
        <w:t>3. 投标人不按此要求填写此项内容或案例无证明文件将视为无业绩，不纳入</w:t>
      </w:r>
      <w:r>
        <w:rPr>
          <w:rFonts w:hint="eastAsia"/>
          <w:b/>
          <w:color w:val="auto"/>
          <w:sz w:val="22"/>
          <w:szCs w:val="22"/>
          <w:highlight w:val="none"/>
          <w:u w:val="thick"/>
          <w:lang w:val="en-US" w:eastAsia="zh-CN"/>
        </w:rPr>
        <w:t>商务技术</w:t>
      </w:r>
      <w:r>
        <w:rPr>
          <w:b/>
          <w:color w:val="auto"/>
          <w:sz w:val="22"/>
          <w:szCs w:val="22"/>
          <w:highlight w:val="none"/>
          <w:u w:val="thick"/>
        </w:rPr>
        <w:t>评分范围</w:t>
      </w:r>
      <w:r>
        <w:rPr>
          <w:b/>
          <w:color w:val="auto"/>
          <w:sz w:val="22"/>
          <w:szCs w:val="22"/>
          <w:highlight w:val="none"/>
        </w:rPr>
        <w:t>。</w:t>
      </w:r>
    </w:p>
    <w:p w14:paraId="250151EE">
      <w:pPr>
        <w:spacing w:line="380" w:lineRule="exact"/>
        <w:ind w:firstLine="4400" w:firstLineChars="2000"/>
        <w:rPr>
          <w:color w:val="auto"/>
          <w:sz w:val="22"/>
          <w:szCs w:val="22"/>
          <w:highlight w:val="none"/>
        </w:rPr>
      </w:pPr>
    </w:p>
    <w:p w14:paraId="131B215E">
      <w:pPr>
        <w:spacing w:line="380" w:lineRule="exact"/>
        <w:rPr>
          <w:color w:val="auto"/>
          <w:sz w:val="22"/>
          <w:szCs w:val="22"/>
          <w:highlight w:val="none"/>
        </w:rPr>
      </w:pPr>
      <w:r>
        <w:rPr>
          <w:color w:val="auto"/>
          <w:sz w:val="22"/>
          <w:szCs w:val="22"/>
          <w:highlight w:val="none"/>
        </w:rPr>
        <w:t>供应商全称（盖章）：</w:t>
      </w:r>
    </w:p>
    <w:p w14:paraId="658F39FD">
      <w:pPr>
        <w:spacing w:line="380" w:lineRule="exact"/>
        <w:rPr>
          <w:color w:val="auto"/>
          <w:sz w:val="22"/>
          <w:szCs w:val="22"/>
          <w:highlight w:val="none"/>
        </w:rPr>
      </w:pPr>
      <w:r>
        <w:rPr>
          <w:color w:val="auto"/>
          <w:sz w:val="22"/>
          <w:szCs w:val="22"/>
          <w:highlight w:val="none"/>
        </w:rPr>
        <w:t>法定代表人或授权代表（</w:t>
      </w:r>
      <w:r>
        <w:rPr>
          <w:color w:val="auto"/>
          <w:szCs w:val="21"/>
          <w:highlight w:val="none"/>
        </w:rPr>
        <w:t>签字或盖章</w:t>
      </w:r>
      <w:r>
        <w:rPr>
          <w:color w:val="auto"/>
          <w:sz w:val="22"/>
          <w:szCs w:val="22"/>
          <w:highlight w:val="none"/>
        </w:rPr>
        <w:t>）：</w:t>
      </w:r>
    </w:p>
    <w:p w14:paraId="72565975">
      <w:pPr>
        <w:spacing w:line="380" w:lineRule="exact"/>
        <w:rPr>
          <w:color w:val="auto"/>
          <w:sz w:val="22"/>
          <w:szCs w:val="22"/>
          <w:highlight w:val="none"/>
        </w:rPr>
      </w:pPr>
      <w:r>
        <w:rPr>
          <w:color w:val="auto"/>
          <w:sz w:val="22"/>
          <w:szCs w:val="22"/>
          <w:highlight w:val="none"/>
        </w:rPr>
        <w:t xml:space="preserve">日期：  年   月   日  </w:t>
      </w:r>
    </w:p>
    <w:p w14:paraId="16B0107C">
      <w:pPr>
        <w:spacing w:line="380" w:lineRule="exact"/>
        <w:rPr>
          <w:color w:val="auto"/>
          <w:sz w:val="22"/>
          <w:szCs w:val="22"/>
          <w:highlight w:val="none"/>
        </w:rPr>
      </w:pPr>
      <w:r>
        <w:rPr>
          <w:color w:val="auto"/>
          <w:sz w:val="22"/>
          <w:szCs w:val="22"/>
          <w:highlight w:val="none"/>
        </w:rPr>
        <w:br w:type="page"/>
      </w:r>
    </w:p>
    <w:p w14:paraId="386DA3A6">
      <w:pPr>
        <w:tabs>
          <w:tab w:val="left" w:pos="540"/>
        </w:tabs>
        <w:spacing w:line="360" w:lineRule="auto"/>
        <w:jc w:val="center"/>
        <w:outlineLvl w:val="0"/>
        <w:rPr>
          <w:color w:val="auto"/>
          <w:sz w:val="22"/>
          <w:szCs w:val="22"/>
          <w:highlight w:val="none"/>
        </w:rPr>
      </w:pPr>
      <w:r>
        <w:rPr>
          <w:rStyle w:val="84"/>
          <w:rFonts w:ascii="Times New Roman" w:hAnsi="Times New Roman" w:eastAsia="宋体"/>
          <w:color w:val="auto"/>
          <w:sz w:val="32"/>
          <w:szCs w:val="32"/>
          <w:highlight w:val="none"/>
        </w:rPr>
        <w:t>第四部分   采购内容及要求</w:t>
      </w:r>
    </w:p>
    <w:p w14:paraId="24D87D9F">
      <w:pPr>
        <w:tabs>
          <w:tab w:val="left" w:pos="6651"/>
        </w:tabs>
        <w:spacing w:line="440" w:lineRule="exact"/>
        <w:rPr>
          <w:rFonts w:hint="eastAsia" w:ascii="宋体" w:hAnsi="宋体" w:eastAsia="宋体" w:cs="宋体"/>
          <w:b/>
          <w:bCs/>
          <w:color w:val="000000"/>
          <w:sz w:val="22"/>
          <w:szCs w:val="22"/>
        </w:rPr>
      </w:pPr>
      <w:bookmarkStart w:id="214" w:name="_Toc508967172"/>
      <w:r>
        <w:rPr>
          <w:rFonts w:hint="eastAsia" w:ascii="宋体" w:hAnsi="宋体" w:eastAsia="宋体" w:cs="宋体"/>
          <w:b/>
          <w:bCs/>
          <w:color w:val="000000"/>
          <w:sz w:val="22"/>
          <w:szCs w:val="22"/>
        </w:rPr>
        <w:t>一、项目概述</w:t>
      </w:r>
      <w:bookmarkEnd w:id="214"/>
    </w:p>
    <w:p w14:paraId="1EE2BB81">
      <w:pPr>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温州城市数据空间</w:t>
      </w:r>
      <w:r>
        <w:rPr>
          <w:rFonts w:hint="eastAsia" w:ascii="宋体" w:hAnsi="宋体" w:eastAsia="宋体" w:cs="宋体"/>
          <w:color w:val="000000"/>
          <w:sz w:val="22"/>
          <w:szCs w:val="22"/>
        </w:rPr>
        <w:t>项目，项目总预算约</w:t>
      </w:r>
      <w:r>
        <w:rPr>
          <w:rFonts w:hint="eastAsia" w:ascii="宋体" w:hAnsi="宋体" w:eastAsia="宋体" w:cs="宋体"/>
          <w:color w:val="000000"/>
          <w:sz w:val="22"/>
          <w:szCs w:val="22"/>
          <w:lang w:val="en-US" w:eastAsia="zh-CN"/>
        </w:rPr>
        <w:t>1.04</w:t>
      </w:r>
      <w:r>
        <w:rPr>
          <w:rFonts w:hint="eastAsia" w:ascii="宋体" w:hAnsi="宋体" w:eastAsia="宋体" w:cs="宋体"/>
          <w:color w:val="000000"/>
          <w:sz w:val="22"/>
          <w:szCs w:val="22"/>
        </w:rPr>
        <w:t>亿元，按照项目建设要求，对项目实施全过程监理服务。全过程监理服务范围包含但不仅限于应用软件开发、硬件设备和系统软件购置、安装调试、系统测试、系统培训、试运行和验收，系统移交及相关文档起草和管理等项目建设各个环节。</w:t>
      </w:r>
    </w:p>
    <w:p w14:paraId="6704A6ED">
      <w:pPr>
        <w:spacing w:line="460" w:lineRule="exact"/>
        <w:outlineLvl w:val="0"/>
        <w:rPr>
          <w:rFonts w:hint="eastAsia" w:ascii="宋体" w:hAnsi="宋体" w:eastAsia="宋体" w:cs="宋体"/>
          <w:b/>
          <w:kern w:val="32"/>
          <w:sz w:val="22"/>
          <w:szCs w:val="22"/>
        </w:rPr>
      </w:pPr>
      <w:r>
        <w:rPr>
          <w:rFonts w:hint="eastAsia" w:ascii="宋体" w:hAnsi="宋体" w:eastAsia="宋体" w:cs="宋体"/>
          <w:b/>
          <w:kern w:val="32"/>
          <w:sz w:val="22"/>
          <w:szCs w:val="22"/>
        </w:rPr>
        <w:t>二、监理服务依据</w:t>
      </w:r>
    </w:p>
    <w:p w14:paraId="1E602BE7">
      <w:pPr>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按照国家《GB/T 19668 信息技术服务监理》所规定的要求，协助采购人做好“四控、三管、一协调”（质量控制、进度控制、投资控制、变更控制、合同管理、信息管理、安全管理、组织协调）的监理工作。</w:t>
      </w:r>
    </w:p>
    <w:p w14:paraId="031336FE">
      <w:pPr>
        <w:pStyle w:val="8"/>
        <w:spacing w:after="0" w:line="460" w:lineRule="exact"/>
        <w:ind w:firstLine="440" w:firstLineChars="200"/>
        <w:rPr>
          <w:rFonts w:hint="eastAsia" w:ascii="宋体" w:hAnsi="宋体" w:eastAsia="宋体" w:cs="宋体"/>
          <w:b/>
          <w:bCs/>
          <w:sz w:val="22"/>
          <w:szCs w:val="22"/>
        </w:rPr>
      </w:pPr>
      <w:r>
        <w:rPr>
          <w:rFonts w:hint="eastAsia" w:ascii="宋体" w:hAnsi="宋体" w:eastAsia="宋体" w:cs="宋体"/>
          <w:bCs/>
          <w:sz w:val="22"/>
          <w:szCs w:val="22"/>
        </w:rPr>
        <w:t>《GB/T19668.1-2014信息技术服务监理第1部分：总则》；</w:t>
      </w:r>
    </w:p>
    <w:p w14:paraId="32CA57E6">
      <w:pPr>
        <w:pStyle w:val="8"/>
        <w:spacing w:after="0" w:line="460" w:lineRule="exact"/>
        <w:ind w:firstLine="440" w:firstLineChars="200"/>
        <w:rPr>
          <w:rFonts w:hint="eastAsia" w:ascii="宋体" w:hAnsi="宋体" w:eastAsia="宋体" w:cs="宋体"/>
          <w:b/>
          <w:bCs/>
          <w:sz w:val="22"/>
          <w:szCs w:val="22"/>
        </w:rPr>
      </w:pPr>
      <w:r>
        <w:rPr>
          <w:rFonts w:hint="eastAsia" w:ascii="宋体" w:hAnsi="宋体" w:eastAsia="宋体" w:cs="宋体"/>
          <w:bCs/>
          <w:sz w:val="22"/>
          <w:szCs w:val="22"/>
        </w:rPr>
        <w:t>《GB/T19668.2-2017</w:t>
      </w:r>
      <w:r>
        <w:rPr>
          <w:rFonts w:hint="eastAsia" w:ascii="宋体" w:hAnsi="宋体" w:eastAsia="宋体" w:cs="宋体"/>
          <w:bCs/>
          <w:spacing w:val="2"/>
          <w:sz w:val="22"/>
          <w:szCs w:val="22"/>
        </w:rPr>
        <w:t>信息技术服务</w:t>
      </w:r>
      <w:r>
        <w:rPr>
          <w:rFonts w:hint="eastAsia" w:ascii="宋体" w:hAnsi="宋体" w:eastAsia="宋体" w:cs="宋体"/>
          <w:bCs/>
          <w:sz w:val="22"/>
          <w:szCs w:val="22"/>
        </w:rPr>
        <w:t>监理第2</w:t>
      </w:r>
      <w:r>
        <w:rPr>
          <w:rFonts w:hint="eastAsia" w:ascii="宋体" w:hAnsi="宋体" w:eastAsia="宋体" w:cs="宋体"/>
          <w:bCs/>
          <w:spacing w:val="2"/>
          <w:sz w:val="22"/>
          <w:szCs w:val="22"/>
        </w:rPr>
        <w:t>部分：基础设施工程监</w:t>
      </w:r>
      <w:r>
        <w:rPr>
          <w:rFonts w:hint="eastAsia" w:ascii="宋体" w:hAnsi="宋体" w:eastAsia="宋体" w:cs="宋体"/>
          <w:bCs/>
          <w:sz w:val="22"/>
          <w:szCs w:val="22"/>
        </w:rPr>
        <w:t>理规范》；</w:t>
      </w:r>
    </w:p>
    <w:p w14:paraId="60A0E0DE">
      <w:pPr>
        <w:pStyle w:val="8"/>
        <w:spacing w:after="0" w:line="460" w:lineRule="exact"/>
        <w:ind w:firstLine="440" w:firstLineChars="200"/>
        <w:rPr>
          <w:rFonts w:hint="eastAsia" w:ascii="宋体" w:hAnsi="宋体" w:eastAsia="宋体" w:cs="宋体"/>
          <w:b/>
          <w:bCs/>
          <w:sz w:val="22"/>
          <w:szCs w:val="22"/>
        </w:rPr>
      </w:pPr>
      <w:r>
        <w:rPr>
          <w:rFonts w:hint="eastAsia" w:ascii="宋体" w:hAnsi="宋体" w:eastAsia="宋体" w:cs="宋体"/>
          <w:bCs/>
          <w:sz w:val="22"/>
          <w:szCs w:val="22"/>
        </w:rPr>
        <w:t>《GB/T19668.3-2017</w:t>
      </w:r>
      <w:r>
        <w:rPr>
          <w:rFonts w:hint="eastAsia" w:ascii="宋体" w:hAnsi="宋体" w:eastAsia="宋体" w:cs="宋体"/>
          <w:bCs/>
          <w:spacing w:val="2"/>
          <w:sz w:val="22"/>
          <w:szCs w:val="22"/>
        </w:rPr>
        <w:t>信息技术服务</w:t>
      </w:r>
      <w:r>
        <w:rPr>
          <w:rFonts w:hint="eastAsia" w:ascii="宋体" w:hAnsi="宋体" w:eastAsia="宋体" w:cs="宋体"/>
          <w:bCs/>
          <w:sz w:val="22"/>
          <w:szCs w:val="22"/>
        </w:rPr>
        <w:t>监理第3</w:t>
      </w:r>
      <w:r>
        <w:rPr>
          <w:rFonts w:hint="eastAsia" w:ascii="宋体" w:hAnsi="宋体" w:eastAsia="宋体" w:cs="宋体"/>
          <w:bCs/>
          <w:spacing w:val="2"/>
          <w:sz w:val="22"/>
          <w:szCs w:val="22"/>
        </w:rPr>
        <w:t>部分：运行维护监理规</w:t>
      </w:r>
      <w:r>
        <w:rPr>
          <w:rFonts w:hint="eastAsia" w:ascii="宋体" w:hAnsi="宋体" w:eastAsia="宋体" w:cs="宋体"/>
          <w:bCs/>
          <w:sz w:val="22"/>
          <w:szCs w:val="22"/>
        </w:rPr>
        <w:t>范》；</w:t>
      </w:r>
    </w:p>
    <w:p w14:paraId="3001FA09">
      <w:pPr>
        <w:pStyle w:val="8"/>
        <w:spacing w:after="0" w:line="460" w:lineRule="exact"/>
        <w:ind w:firstLine="440" w:firstLineChars="200"/>
        <w:rPr>
          <w:rFonts w:hint="eastAsia" w:ascii="宋体" w:hAnsi="宋体" w:eastAsia="宋体" w:cs="宋体"/>
          <w:b/>
          <w:bCs/>
          <w:sz w:val="22"/>
          <w:szCs w:val="22"/>
        </w:rPr>
      </w:pPr>
      <w:r>
        <w:rPr>
          <w:rFonts w:hint="eastAsia" w:ascii="宋体" w:hAnsi="宋体" w:eastAsia="宋体" w:cs="宋体"/>
          <w:bCs/>
          <w:sz w:val="22"/>
          <w:szCs w:val="22"/>
        </w:rPr>
        <w:t>《GB/T19668.4-2017</w:t>
      </w:r>
      <w:r>
        <w:rPr>
          <w:rFonts w:hint="eastAsia" w:ascii="宋体" w:hAnsi="宋体" w:eastAsia="宋体" w:cs="宋体"/>
          <w:bCs/>
          <w:spacing w:val="2"/>
          <w:sz w:val="22"/>
          <w:szCs w:val="22"/>
        </w:rPr>
        <w:t>信息技术服务</w:t>
      </w:r>
      <w:r>
        <w:rPr>
          <w:rFonts w:hint="eastAsia" w:ascii="宋体" w:hAnsi="宋体" w:eastAsia="宋体" w:cs="宋体"/>
          <w:bCs/>
          <w:sz w:val="22"/>
          <w:szCs w:val="22"/>
        </w:rPr>
        <w:t>监理第4</w:t>
      </w:r>
      <w:r>
        <w:rPr>
          <w:rFonts w:hint="eastAsia" w:ascii="宋体" w:hAnsi="宋体" w:eastAsia="宋体" w:cs="宋体"/>
          <w:bCs/>
          <w:spacing w:val="2"/>
          <w:sz w:val="22"/>
          <w:szCs w:val="22"/>
        </w:rPr>
        <w:t>部分：信息安全监理规</w:t>
      </w:r>
      <w:r>
        <w:rPr>
          <w:rFonts w:hint="eastAsia" w:ascii="宋体" w:hAnsi="宋体" w:eastAsia="宋体" w:cs="宋体"/>
          <w:bCs/>
          <w:sz w:val="22"/>
          <w:szCs w:val="22"/>
        </w:rPr>
        <w:t>范》；</w:t>
      </w:r>
    </w:p>
    <w:p w14:paraId="6F187F82">
      <w:pPr>
        <w:pStyle w:val="8"/>
        <w:spacing w:after="0" w:line="460" w:lineRule="exact"/>
        <w:ind w:firstLine="440" w:firstLineChars="200"/>
        <w:rPr>
          <w:rFonts w:hint="eastAsia" w:ascii="宋体" w:hAnsi="宋体" w:eastAsia="宋体" w:cs="宋体"/>
          <w:b/>
          <w:bCs/>
          <w:sz w:val="22"/>
          <w:szCs w:val="22"/>
        </w:rPr>
      </w:pPr>
      <w:r>
        <w:rPr>
          <w:rFonts w:hint="eastAsia" w:ascii="宋体" w:hAnsi="宋体" w:eastAsia="宋体" w:cs="宋体"/>
          <w:bCs/>
          <w:sz w:val="22"/>
          <w:szCs w:val="22"/>
        </w:rPr>
        <w:t>《GB/T19668.5-2018</w:t>
      </w:r>
      <w:r>
        <w:rPr>
          <w:rFonts w:hint="eastAsia" w:ascii="宋体" w:hAnsi="宋体" w:eastAsia="宋体" w:cs="宋体"/>
          <w:bCs/>
          <w:spacing w:val="2"/>
          <w:sz w:val="22"/>
          <w:szCs w:val="22"/>
        </w:rPr>
        <w:t>信息技术服务</w:t>
      </w:r>
      <w:r>
        <w:rPr>
          <w:rFonts w:hint="eastAsia" w:ascii="宋体" w:hAnsi="宋体" w:eastAsia="宋体" w:cs="宋体"/>
          <w:bCs/>
          <w:sz w:val="22"/>
          <w:szCs w:val="22"/>
        </w:rPr>
        <w:t>监理第5</w:t>
      </w:r>
      <w:r>
        <w:rPr>
          <w:rFonts w:hint="eastAsia" w:ascii="宋体" w:hAnsi="宋体" w:eastAsia="宋体" w:cs="宋体"/>
          <w:bCs/>
          <w:spacing w:val="2"/>
          <w:sz w:val="22"/>
          <w:szCs w:val="22"/>
        </w:rPr>
        <w:t>部分：软件工程监理规</w:t>
      </w:r>
      <w:r>
        <w:rPr>
          <w:rFonts w:hint="eastAsia" w:ascii="宋体" w:hAnsi="宋体" w:eastAsia="宋体" w:cs="宋体"/>
          <w:bCs/>
          <w:sz w:val="22"/>
          <w:szCs w:val="22"/>
        </w:rPr>
        <w:t>范》；</w:t>
      </w:r>
    </w:p>
    <w:p w14:paraId="0FE4AA4F">
      <w:pPr>
        <w:pStyle w:val="8"/>
        <w:spacing w:after="0" w:line="460" w:lineRule="exact"/>
        <w:ind w:firstLine="440" w:firstLineChars="200"/>
        <w:rPr>
          <w:rFonts w:hint="eastAsia" w:ascii="宋体" w:hAnsi="宋体" w:eastAsia="宋体" w:cs="宋体"/>
          <w:bCs/>
          <w:sz w:val="22"/>
          <w:szCs w:val="22"/>
        </w:rPr>
      </w:pPr>
      <w:r>
        <w:rPr>
          <w:rFonts w:hint="eastAsia" w:ascii="宋体" w:hAnsi="宋体" w:eastAsia="宋体" w:cs="宋体"/>
          <w:bCs/>
          <w:sz w:val="22"/>
          <w:szCs w:val="22"/>
        </w:rPr>
        <w:t>《GB/T19668.6-2019</w:t>
      </w:r>
      <w:r>
        <w:rPr>
          <w:rFonts w:hint="eastAsia" w:ascii="宋体" w:hAnsi="宋体" w:eastAsia="宋体" w:cs="宋体"/>
          <w:bCs/>
          <w:spacing w:val="2"/>
          <w:sz w:val="22"/>
          <w:szCs w:val="22"/>
        </w:rPr>
        <w:t>信息技术服务</w:t>
      </w:r>
      <w:r>
        <w:rPr>
          <w:rFonts w:hint="eastAsia" w:ascii="宋体" w:hAnsi="宋体" w:eastAsia="宋体" w:cs="宋体"/>
          <w:bCs/>
          <w:sz w:val="22"/>
          <w:szCs w:val="22"/>
        </w:rPr>
        <w:t>监理第6</w:t>
      </w:r>
      <w:r>
        <w:rPr>
          <w:rFonts w:hint="eastAsia" w:ascii="宋体" w:hAnsi="宋体" w:eastAsia="宋体" w:cs="宋体"/>
          <w:bCs/>
          <w:spacing w:val="2"/>
          <w:sz w:val="22"/>
          <w:szCs w:val="22"/>
        </w:rPr>
        <w:t>部分：数据中心工程监</w:t>
      </w:r>
      <w:r>
        <w:rPr>
          <w:rFonts w:hint="eastAsia" w:ascii="宋体" w:hAnsi="宋体" w:eastAsia="宋体" w:cs="宋体"/>
          <w:bCs/>
          <w:sz w:val="22"/>
          <w:szCs w:val="22"/>
        </w:rPr>
        <w:t>理规范》；</w:t>
      </w:r>
    </w:p>
    <w:p w14:paraId="7795A08D">
      <w:pPr>
        <w:tabs>
          <w:tab w:val="left" w:pos="6651"/>
        </w:tabs>
        <w:spacing w:line="440" w:lineRule="exact"/>
        <w:rPr>
          <w:rFonts w:hint="eastAsia" w:ascii="宋体" w:hAnsi="宋体" w:eastAsia="宋体" w:cs="宋体"/>
          <w:b/>
          <w:bCs/>
          <w:color w:val="000000"/>
          <w:sz w:val="22"/>
          <w:szCs w:val="22"/>
        </w:rPr>
      </w:pPr>
      <w:r>
        <w:rPr>
          <w:rFonts w:hint="eastAsia" w:ascii="宋体" w:hAnsi="宋体" w:eastAsia="宋体" w:cs="宋体"/>
          <w:b/>
          <w:bCs/>
          <w:color w:val="000000"/>
          <w:sz w:val="22"/>
          <w:szCs w:val="22"/>
        </w:rPr>
        <w:t>三、监理服务范围与周期</w:t>
      </w:r>
    </w:p>
    <w:p w14:paraId="2FB79783">
      <w:pPr>
        <w:tabs>
          <w:tab w:val="left" w:pos="6651"/>
        </w:tabs>
        <w:spacing w:line="440" w:lineRule="exact"/>
        <w:ind w:firstLine="565" w:firstLineChars="256"/>
        <w:rPr>
          <w:rFonts w:hint="eastAsia" w:ascii="宋体" w:hAnsi="宋体" w:eastAsia="宋体" w:cs="宋体"/>
          <w:b/>
          <w:bCs/>
          <w:color w:val="000000"/>
          <w:sz w:val="22"/>
          <w:szCs w:val="22"/>
        </w:rPr>
      </w:pPr>
      <w:r>
        <w:rPr>
          <w:rFonts w:hint="eastAsia" w:ascii="宋体" w:hAnsi="宋体" w:eastAsia="宋体" w:cs="宋体"/>
          <w:b/>
          <w:bCs/>
          <w:color w:val="000000"/>
          <w:sz w:val="22"/>
          <w:szCs w:val="22"/>
        </w:rPr>
        <w:t>1、监理服务范围</w:t>
      </w:r>
    </w:p>
    <w:p w14:paraId="2EDDB1CC">
      <w:pPr>
        <w:tabs>
          <w:tab w:val="left" w:pos="6651"/>
        </w:tabs>
        <w:spacing w:line="440" w:lineRule="exact"/>
        <w:ind w:firstLine="424" w:firstLineChars="193"/>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温州城市数据空间</w:t>
      </w:r>
      <w:r>
        <w:rPr>
          <w:rFonts w:hint="eastAsia" w:ascii="宋体" w:hAnsi="宋体" w:eastAsia="宋体" w:cs="宋体"/>
          <w:color w:val="000000"/>
          <w:sz w:val="22"/>
          <w:szCs w:val="22"/>
        </w:rPr>
        <w:t>项目建设，提供全过程监理服务。</w:t>
      </w:r>
    </w:p>
    <w:p w14:paraId="7E9992F6">
      <w:pPr>
        <w:tabs>
          <w:tab w:val="left" w:pos="6651"/>
        </w:tabs>
        <w:spacing w:line="440" w:lineRule="exact"/>
        <w:ind w:firstLine="552" w:firstLineChars="250"/>
        <w:rPr>
          <w:rFonts w:hint="eastAsia" w:ascii="宋体" w:hAnsi="宋体" w:eastAsia="宋体" w:cs="宋体"/>
          <w:b/>
          <w:bCs/>
          <w:color w:val="000000"/>
          <w:sz w:val="22"/>
          <w:szCs w:val="22"/>
        </w:rPr>
      </w:pPr>
      <w:r>
        <w:rPr>
          <w:rFonts w:hint="eastAsia" w:ascii="宋体" w:hAnsi="宋体" w:eastAsia="宋体" w:cs="宋体"/>
          <w:b/>
          <w:bCs/>
          <w:color w:val="000000"/>
          <w:sz w:val="22"/>
          <w:szCs w:val="22"/>
        </w:rPr>
        <w:t>2、监理服务期</w:t>
      </w:r>
    </w:p>
    <w:p w14:paraId="7BAB07A1">
      <w:pPr>
        <w:tabs>
          <w:tab w:val="left" w:pos="6651"/>
        </w:tabs>
        <w:spacing w:line="440" w:lineRule="exact"/>
        <w:ind w:firstLine="331" w:firstLineChars="150"/>
        <w:rPr>
          <w:rFonts w:hint="eastAsia" w:ascii="宋体" w:hAnsi="宋体" w:eastAsia="宋体" w:cs="宋体"/>
          <w:b/>
          <w:bCs/>
          <w:color w:val="000000"/>
          <w:sz w:val="22"/>
          <w:szCs w:val="22"/>
          <w:highlight w:val="none"/>
          <w:u w:val="single"/>
        </w:rPr>
      </w:pPr>
      <w:r>
        <w:rPr>
          <w:rFonts w:hint="eastAsia" w:ascii="宋体" w:hAnsi="宋体" w:eastAsia="宋体" w:cs="宋体"/>
          <w:b/>
          <w:bCs/>
          <w:color w:val="000000"/>
          <w:sz w:val="22"/>
          <w:szCs w:val="22"/>
          <w:u w:val="single"/>
        </w:rPr>
        <w:t>监理服务期至所监理项目建设结束并通</w:t>
      </w:r>
      <w:r>
        <w:rPr>
          <w:rFonts w:hint="eastAsia" w:ascii="宋体" w:hAnsi="宋体" w:eastAsia="宋体" w:cs="宋体"/>
          <w:b/>
          <w:bCs/>
          <w:color w:val="000000"/>
          <w:sz w:val="22"/>
          <w:szCs w:val="22"/>
          <w:highlight w:val="none"/>
          <w:u w:val="single"/>
        </w:rPr>
        <w:t>过终验（</w:t>
      </w:r>
      <w:r>
        <w:rPr>
          <w:rFonts w:hint="eastAsia" w:ascii="宋体" w:hAnsi="宋体" w:eastAsia="宋体" w:cs="宋体"/>
          <w:b/>
          <w:bCs/>
          <w:color w:val="000000"/>
          <w:sz w:val="22"/>
          <w:szCs w:val="22"/>
          <w:highlight w:val="none"/>
          <w:u w:val="single"/>
          <w:lang w:val="zh-CN"/>
        </w:rPr>
        <w:t>2025年11月-202</w:t>
      </w:r>
      <w:r>
        <w:rPr>
          <w:rFonts w:hint="eastAsia" w:ascii="宋体" w:hAnsi="宋体" w:eastAsia="宋体" w:cs="宋体"/>
          <w:b/>
          <w:bCs/>
          <w:color w:val="000000"/>
          <w:sz w:val="22"/>
          <w:szCs w:val="22"/>
          <w:highlight w:val="none"/>
          <w:u w:val="single"/>
          <w:lang w:val="en-US" w:eastAsia="zh-CN"/>
        </w:rPr>
        <w:t>7</w:t>
      </w:r>
      <w:r>
        <w:rPr>
          <w:rFonts w:hint="eastAsia" w:ascii="宋体" w:hAnsi="宋体" w:eastAsia="宋体" w:cs="宋体"/>
          <w:b/>
          <w:bCs/>
          <w:color w:val="000000"/>
          <w:sz w:val="22"/>
          <w:szCs w:val="22"/>
          <w:highlight w:val="none"/>
          <w:u w:val="single"/>
          <w:lang w:val="zh-CN"/>
        </w:rPr>
        <w:t>年</w:t>
      </w:r>
      <w:r>
        <w:rPr>
          <w:rFonts w:hint="eastAsia" w:ascii="宋体" w:hAnsi="宋体" w:eastAsia="宋体" w:cs="宋体"/>
          <w:b/>
          <w:bCs/>
          <w:color w:val="000000"/>
          <w:sz w:val="22"/>
          <w:szCs w:val="22"/>
          <w:highlight w:val="none"/>
          <w:u w:val="single"/>
          <w:lang w:val="en-US" w:eastAsia="zh-CN"/>
        </w:rPr>
        <w:t>8</w:t>
      </w:r>
      <w:r>
        <w:rPr>
          <w:rFonts w:hint="eastAsia" w:ascii="宋体" w:hAnsi="宋体" w:eastAsia="宋体" w:cs="宋体"/>
          <w:b/>
          <w:bCs/>
          <w:color w:val="000000"/>
          <w:sz w:val="22"/>
          <w:szCs w:val="22"/>
          <w:highlight w:val="none"/>
          <w:u w:val="single"/>
          <w:lang w:val="zh-CN"/>
        </w:rPr>
        <w:t>月</w:t>
      </w:r>
      <w:r>
        <w:rPr>
          <w:rFonts w:hint="eastAsia" w:ascii="宋体" w:hAnsi="宋体" w:eastAsia="宋体" w:cs="宋体"/>
          <w:b/>
          <w:bCs/>
          <w:color w:val="000000"/>
          <w:sz w:val="22"/>
          <w:szCs w:val="22"/>
          <w:highlight w:val="none"/>
          <w:u w:val="single"/>
        </w:rPr>
        <w:t>），</w:t>
      </w:r>
      <w:bookmarkStart w:id="215" w:name="OLE_LINK1"/>
      <w:r>
        <w:rPr>
          <w:rFonts w:hint="eastAsia" w:ascii="宋体" w:hAnsi="宋体" w:eastAsia="宋体" w:cs="宋体"/>
          <w:b/>
          <w:bCs/>
          <w:color w:val="000000"/>
          <w:sz w:val="22"/>
          <w:szCs w:val="22"/>
          <w:highlight w:val="none"/>
          <w:u w:val="single"/>
        </w:rPr>
        <w:t>以及包括项目后期协助审计等工作。</w:t>
      </w:r>
      <w:bookmarkEnd w:id="215"/>
    </w:p>
    <w:p w14:paraId="139FB526">
      <w:pPr>
        <w:spacing w:line="460" w:lineRule="exact"/>
        <w:outlineLvl w:val="0"/>
        <w:rPr>
          <w:rFonts w:hint="eastAsia" w:ascii="宋体" w:hAnsi="宋体" w:eastAsia="宋体" w:cs="宋体"/>
          <w:b/>
          <w:kern w:val="32"/>
          <w:sz w:val="22"/>
          <w:szCs w:val="22"/>
          <w:highlight w:val="none"/>
        </w:rPr>
      </w:pPr>
      <w:r>
        <w:rPr>
          <w:rFonts w:hint="eastAsia" w:ascii="宋体" w:hAnsi="宋体" w:eastAsia="宋体" w:cs="宋体"/>
          <w:b/>
          <w:kern w:val="32"/>
          <w:sz w:val="22"/>
          <w:szCs w:val="22"/>
          <w:highlight w:val="none"/>
        </w:rPr>
        <w:t>四、监理服务主要内容</w:t>
      </w:r>
    </w:p>
    <w:p w14:paraId="7F8BAB50">
      <w:pPr>
        <w:spacing w:line="460" w:lineRule="exact"/>
        <w:ind w:firstLine="385" w:firstLineChars="175"/>
        <w:rPr>
          <w:rFonts w:hint="eastAsia" w:ascii="宋体" w:hAnsi="宋体" w:eastAsia="宋体" w:cs="宋体"/>
          <w:sz w:val="22"/>
          <w:szCs w:val="22"/>
        </w:rPr>
      </w:pPr>
      <w:r>
        <w:rPr>
          <w:rFonts w:hint="eastAsia" w:ascii="宋体" w:hAnsi="宋体" w:eastAsia="宋体" w:cs="宋体"/>
          <w:sz w:val="22"/>
          <w:szCs w:val="22"/>
          <w:highlight w:val="none"/>
        </w:rPr>
        <w:t>按照项目建设目标和服务要求，遵循国家、省、市信息化项目建设监理的有关文件</w:t>
      </w:r>
      <w:r>
        <w:rPr>
          <w:rFonts w:hint="eastAsia" w:ascii="宋体" w:hAnsi="宋体" w:eastAsia="宋体" w:cs="宋体"/>
          <w:sz w:val="22"/>
          <w:szCs w:val="22"/>
        </w:rPr>
        <w:t>及规范，以“守法、诚信、公正、科学”的准则执业，维护采购人与承建单位的合法权益。</w:t>
      </w:r>
    </w:p>
    <w:p w14:paraId="109E2F74">
      <w:pPr>
        <w:spacing w:line="460" w:lineRule="exact"/>
        <w:ind w:firstLine="385" w:firstLineChars="175"/>
        <w:rPr>
          <w:rFonts w:hint="eastAsia" w:ascii="宋体" w:hAnsi="宋体" w:eastAsia="宋体" w:cs="宋体"/>
          <w:sz w:val="22"/>
          <w:szCs w:val="22"/>
        </w:rPr>
      </w:pPr>
      <w:r>
        <w:rPr>
          <w:rFonts w:hint="eastAsia" w:ascii="宋体" w:hAnsi="宋体" w:eastAsia="宋体" w:cs="宋体"/>
          <w:sz w:val="22"/>
          <w:szCs w:val="22"/>
        </w:rPr>
        <w:t>（1）督促项目供应商做好项目实施与验收工作；</w:t>
      </w:r>
    </w:p>
    <w:p w14:paraId="76DB54C8">
      <w:pPr>
        <w:spacing w:line="460" w:lineRule="exact"/>
        <w:ind w:firstLine="385" w:firstLineChars="175"/>
        <w:rPr>
          <w:rFonts w:hint="eastAsia" w:ascii="宋体" w:hAnsi="宋体" w:eastAsia="宋体" w:cs="宋体"/>
          <w:sz w:val="22"/>
          <w:szCs w:val="22"/>
        </w:rPr>
      </w:pPr>
      <w:r>
        <w:rPr>
          <w:rFonts w:hint="eastAsia" w:ascii="宋体" w:hAnsi="宋体" w:eastAsia="宋体" w:cs="宋体"/>
          <w:sz w:val="22"/>
          <w:szCs w:val="22"/>
        </w:rPr>
        <w:t>（2）督促项目供应商做好项目实施前的各项准备工作；</w:t>
      </w:r>
    </w:p>
    <w:p w14:paraId="56B48D6E">
      <w:pPr>
        <w:spacing w:line="460" w:lineRule="exact"/>
        <w:ind w:firstLine="385" w:firstLineChars="175"/>
        <w:rPr>
          <w:rFonts w:hint="eastAsia" w:ascii="宋体" w:hAnsi="宋体" w:eastAsia="宋体" w:cs="宋体"/>
          <w:sz w:val="22"/>
          <w:szCs w:val="22"/>
        </w:rPr>
      </w:pPr>
      <w:r>
        <w:rPr>
          <w:rFonts w:hint="eastAsia" w:ascii="宋体" w:hAnsi="宋体" w:eastAsia="宋体" w:cs="宋体"/>
          <w:sz w:val="22"/>
          <w:szCs w:val="22"/>
        </w:rPr>
        <w:t>（3）对项目各分项建设内容开展全过程实施监理；</w:t>
      </w:r>
    </w:p>
    <w:p w14:paraId="2A7D6A16">
      <w:pPr>
        <w:spacing w:line="460" w:lineRule="exact"/>
        <w:ind w:firstLine="385" w:firstLineChars="175"/>
        <w:rPr>
          <w:rFonts w:hint="eastAsia" w:ascii="宋体" w:hAnsi="宋体" w:eastAsia="宋体" w:cs="宋体"/>
          <w:sz w:val="22"/>
          <w:szCs w:val="22"/>
        </w:rPr>
      </w:pPr>
      <w:r>
        <w:rPr>
          <w:rFonts w:hint="eastAsia" w:ascii="宋体" w:hAnsi="宋体" w:eastAsia="宋体" w:cs="宋体"/>
          <w:sz w:val="22"/>
          <w:szCs w:val="22"/>
        </w:rPr>
        <w:t>（4）对项目各分项建设内容按合同规定及标准进行检验验收；</w:t>
      </w:r>
    </w:p>
    <w:p w14:paraId="4F749343">
      <w:pPr>
        <w:spacing w:line="460" w:lineRule="exact"/>
        <w:ind w:firstLine="385" w:firstLineChars="175"/>
        <w:rPr>
          <w:rFonts w:hint="eastAsia" w:ascii="宋体" w:hAnsi="宋体" w:eastAsia="宋体" w:cs="宋体"/>
          <w:sz w:val="22"/>
          <w:szCs w:val="22"/>
        </w:rPr>
      </w:pPr>
      <w:r>
        <w:rPr>
          <w:rFonts w:hint="eastAsia" w:ascii="宋体" w:hAnsi="宋体" w:eastAsia="宋体" w:cs="宋体"/>
          <w:sz w:val="22"/>
          <w:szCs w:val="22"/>
        </w:rPr>
        <w:t>（5）对根据实际情况，确需变更原项目内容的，提出审查意见，获批准后，监督执行；</w:t>
      </w:r>
    </w:p>
    <w:p w14:paraId="74DDD1FA">
      <w:pPr>
        <w:spacing w:line="460" w:lineRule="exact"/>
        <w:ind w:firstLine="385" w:firstLineChars="175"/>
        <w:rPr>
          <w:rFonts w:hint="eastAsia" w:ascii="宋体" w:hAnsi="宋体" w:eastAsia="宋体" w:cs="宋体"/>
          <w:sz w:val="22"/>
          <w:szCs w:val="22"/>
        </w:rPr>
      </w:pPr>
      <w:r>
        <w:rPr>
          <w:rFonts w:hint="eastAsia" w:ascii="宋体" w:hAnsi="宋体" w:eastAsia="宋体" w:cs="宋体"/>
          <w:sz w:val="22"/>
          <w:szCs w:val="22"/>
        </w:rPr>
        <w:t>（6）对项目各分项服务的资金使用情况进行监控，严格控制服务成本；</w:t>
      </w:r>
    </w:p>
    <w:p w14:paraId="321320D6">
      <w:pPr>
        <w:spacing w:line="460" w:lineRule="exact"/>
        <w:ind w:firstLine="385" w:firstLineChars="175"/>
        <w:rPr>
          <w:rFonts w:hint="eastAsia" w:ascii="宋体" w:hAnsi="宋体" w:eastAsia="宋体" w:cs="宋体"/>
          <w:sz w:val="22"/>
          <w:szCs w:val="22"/>
        </w:rPr>
      </w:pPr>
      <w:r>
        <w:rPr>
          <w:rFonts w:hint="eastAsia" w:ascii="宋体" w:hAnsi="宋体" w:eastAsia="宋体" w:cs="宋体"/>
          <w:sz w:val="22"/>
          <w:szCs w:val="22"/>
        </w:rPr>
        <w:t>（7）审查项目各分项服务竣工文件的齐全性、完整性、督促、检查竣工文档的移交；</w:t>
      </w:r>
    </w:p>
    <w:p w14:paraId="51D199AF">
      <w:pPr>
        <w:spacing w:line="460" w:lineRule="exact"/>
        <w:ind w:firstLine="385" w:firstLineChars="175"/>
        <w:rPr>
          <w:rFonts w:hint="eastAsia" w:ascii="宋体" w:hAnsi="宋体" w:eastAsia="宋体" w:cs="宋体"/>
          <w:sz w:val="22"/>
          <w:szCs w:val="22"/>
        </w:rPr>
      </w:pPr>
      <w:r>
        <w:rPr>
          <w:rFonts w:hint="eastAsia" w:ascii="宋体" w:hAnsi="宋体" w:eastAsia="宋体" w:cs="宋体"/>
          <w:sz w:val="22"/>
          <w:szCs w:val="22"/>
        </w:rPr>
        <w:t>（8）检查、督促项目各分项服务的进度和相关文档；</w:t>
      </w:r>
    </w:p>
    <w:p w14:paraId="579C12BA">
      <w:pPr>
        <w:spacing w:line="460" w:lineRule="exact"/>
        <w:ind w:firstLine="385" w:firstLineChars="175"/>
        <w:rPr>
          <w:rFonts w:hint="eastAsia" w:ascii="宋体" w:hAnsi="宋体" w:eastAsia="宋体" w:cs="宋体"/>
          <w:sz w:val="22"/>
          <w:szCs w:val="22"/>
        </w:rPr>
      </w:pPr>
      <w:r>
        <w:rPr>
          <w:rFonts w:hint="eastAsia" w:ascii="宋体" w:hAnsi="宋体" w:eastAsia="宋体" w:cs="宋体"/>
          <w:sz w:val="22"/>
          <w:szCs w:val="22"/>
        </w:rPr>
        <w:t>（9）协助采购人做好项目后期审计等工作。</w:t>
      </w:r>
    </w:p>
    <w:p w14:paraId="0A854923">
      <w:pPr>
        <w:spacing w:line="460" w:lineRule="exact"/>
        <w:outlineLvl w:val="0"/>
        <w:rPr>
          <w:rFonts w:hint="eastAsia" w:ascii="宋体" w:hAnsi="宋体" w:eastAsia="宋体" w:cs="宋体"/>
          <w:b/>
          <w:kern w:val="32"/>
          <w:sz w:val="22"/>
          <w:szCs w:val="22"/>
          <w:lang w:val="zh-CN"/>
        </w:rPr>
      </w:pPr>
      <w:r>
        <w:rPr>
          <w:rFonts w:hint="eastAsia" w:ascii="宋体" w:hAnsi="宋体" w:eastAsia="宋体" w:cs="宋体"/>
          <w:b/>
          <w:kern w:val="32"/>
          <w:sz w:val="22"/>
          <w:szCs w:val="22"/>
        </w:rPr>
        <w:t>五、</w:t>
      </w:r>
      <w:r>
        <w:rPr>
          <w:rFonts w:hint="eastAsia" w:ascii="宋体" w:hAnsi="宋体" w:eastAsia="宋体" w:cs="宋体"/>
          <w:b/>
          <w:kern w:val="32"/>
          <w:sz w:val="22"/>
          <w:szCs w:val="22"/>
          <w:lang w:val="zh-CN"/>
        </w:rPr>
        <w:t>监理服务要求</w:t>
      </w:r>
    </w:p>
    <w:p w14:paraId="361B442D">
      <w:pPr>
        <w:spacing w:line="460" w:lineRule="exact"/>
        <w:ind w:firstLine="385" w:firstLineChars="175"/>
        <w:rPr>
          <w:rFonts w:hint="eastAsia" w:ascii="宋体" w:hAnsi="宋体" w:eastAsia="宋体" w:cs="宋体"/>
          <w:sz w:val="22"/>
          <w:szCs w:val="22"/>
        </w:rPr>
      </w:pPr>
      <w:r>
        <w:rPr>
          <w:rFonts w:hint="eastAsia" w:ascii="宋体" w:hAnsi="宋体" w:eastAsia="宋体" w:cs="宋体"/>
          <w:sz w:val="22"/>
          <w:szCs w:val="22"/>
        </w:rPr>
        <w:t>为保障项目的顺利推进及验收，监理方对项目建设开展全过程监理服务，监理工作包括但不限于“四控、三管、一协调”要求，即质量控制、进度控制、投资控制和变更控制，安全管理、合同管理和文档管理以及组织协调。</w:t>
      </w:r>
    </w:p>
    <w:p w14:paraId="0696EF90">
      <w:pPr>
        <w:pStyle w:val="76"/>
        <w:numPr>
          <w:ilvl w:val="0"/>
          <w:numId w:val="17"/>
        </w:numPr>
        <w:spacing w:line="460" w:lineRule="exact"/>
        <w:ind w:left="0" w:firstLine="66" w:firstLineChars="0"/>
        <w:rPr>
          <w:rFonts w:hint="eastAsia" w:ascii="宋体" w:hAnsi="宋体" w:eastAsia="宋体" w:cs="宋体"/>
          <w:b/>
          <w:bCs/>
          <w:sz w:val="22"/>
          <w:szCs w:val="22"/>
        </w:rPr>
      </w:pPr>
      <w:r>
        <w:rPr>
          <w:rFonts w:hint="eastAsia" w:ascii="宋体" w:hAnsi="宋体" w:eastAsia="宋体" w:cs="宋体"/>
          <w:b/>
          <w:bCs/>
          <w:sz w:val="22"/>
          <w:szCs w:val="22"/>
        </w:rPr>
        <w:t>项目总体把关</w:t>
      </w:r>
    </w:p>
    <w:p w14:paraId="636E4F45">
      <w:pPr>
        <w:spacing w:line="460" w:lineRule="exact"/>
        <w:ind w:firstLine="385" w:firstLineChars="175"/>
        <w:rPr>
          <w:rFonts w:hint="eastAsia" w:ascii="宋体" w:hAnsi="宋体" w:eastAsia="宋体" w:cs="宋体"/>
          <w:sz w:val="22"/>
          <w:szCs w:val="22"/>
        </w:rPr>
      </w:pPr>
      <w:r>
        <w:rPr>
          <w:rFonts w:hint="eastAsia" w:ascii="宋体" w:hAnsi="宋体" w:eastAsia="宋体" w:cs="宋体"/>
          <w:sz w:val="22"/>
          <w:szCs w:val="22"/>
        </w:rPr>
        <w:t>要求供应商充分理解项目总体建设需求和内容，结合项目政策、规范、流程、绩效、审计等方面总体把关，从技术、质量、进度、合同管理等方面对项目建设进行统筹管理和协调，确保项目实施进程满足项目的要求。</w:t>
      </w:r>
    </w:p>
    <w:p w14:paraId="776381EF">
      <w:pPr>
        <w:pStyle w:val="76"/>
        <w:numPr>
          <w:ilvl w:val="0"/>
          <w:numId w:val="17"/>
        </w:numPr>
        <w:spacing w:line="460" w:lineRule="exact"/>
        <w:ind w:left="0" w:firstLine="66" w:firstLineChars="0"/>
        <w:rPr>
          <w:rFonts w:hint="eastAsia" w:ascii="宋体" w:hAnsi="宋体" w:eastAsia="宋体" w:cs="宋体"/>
          <w:b/>
          <w:bCs/>
          <w:sz w:val="22"/>
          <w:szCs w:val="22"/>
        </w:rPr>
      </w:pPr>
      <w:r>
        <w:rPr>
          <w:rFonts w:hint="eastAsia" w:ascii="宋体" w:hAnsi="宋体" w:eastAsia="宋体" w:cs="宋体"/>
          <w:b/>
          <w:bCs/>
          <w:sz w:val="22"/>
          <w:szCs w:val="22"/>
        </w:rPr>
        <w:t>项目质量控制</w:t>
      </w:r>
    </w:p>
    <w:p w14:paraId="635917D1">
      <w:pPr>
        <w:spacing w:line="460" w:lineRule="exact"/>
        <w:ind w:firstLine="385" w:firstLineChars="175"/>
        <w:rPr>
          <w:rFonts w:hint="eastAsia" w:ascii="宋体" w:hAnsi="宋体" w:eastAsia="宋体" w:cs="宋体"/>
          <w:sz w:val="22"/>
          <w:szCs w:val="22"/>
        </w:rPr>
      </w:pPr>
      <w:r>
        <w:rPr>
          <w:rFonts w:hint="eastAsia" w:ascii="宋体" w:hAnsi="宋体" w:eastAsia="宋体" w:cs="宋体"/>
          <w:sz w:val="22"/>
          <w:szCs w:val="22"/>
        </w:rPr>
        <w:t>（1）采取事前预防、事中控制、事后纠正的方式，依据国家法律、法规、标准以及项目合同、建设方案等文件控制项目质量；</w:t>
      </w:r>
    </w:p>
    <w:p w14:paraId="1EAE080A">
      <w:pPr>
        <w:spacing w:line="460" w:lineRule="exact"/>
        <w:ind w:firstLine="385" w:firstLineChars="175"/>
        <w:rPr>
          <w:rFonts w:hint="eastAsia" w:ascii="宋体" w:hAnsi="宋体" w:eastAsia="宋体" w:cs="宋体"/>
          <w:sz w:val="22"/>
          <w:szCs w:val="22"/>
        </w:rPr>
      </w:pPr>
      <w:r>
        <w:rPr>
          <w:rFonts w:hint="eastAsia" w:ascii="宋体" w:hAnsi="宋体" w:eastAsia="宋体" w:cs="宋体"/>
          <w:sz w:val="22"/>
          <w:szCs w:val="22"/>
        </w:rPr>
        <w:t>（2）协助采购人对项目实施方案审核和确认；</w:t>
      </w:r>
    </w:p>
    <w:p w14:paraId="167277B3">
      <w:pPr>
        <w:spacing w:line="460" w:lineRule="exact"/>
        <w:ind w:firstLine="385" w:firstLineChars="175"/>
        <w:rPr>
          <w:rFonts w:hint="eastAsia" w:ascii="宋体" w:hAnsi="宋体" w:eastAsia="宋体" w:cs="宋体"/>
          <w:sz w:val="22"/>
          <w:szCs w:val="22"/>
        </w:rPr>
      </w:pPr>
      <w:r>
        <w:rPr>
          <w:rFonts w:hint="eastAsia" w:ascii="宋体" w:hAnsi="宋体" w:eastAsia="宋体" w:cs="宋体"/>
          <w:sz w:val="22"/>
          <w:szCs w:val="22"/>
        </w:rPr>
        <w:t>（3）对系统集成进行总体质量控制，对采购的硬件设备的质量进行检验、测试和验收，对设备安装、系统软件的安装调试进行质量把关；</w:t>
      </w:r>
    </w:p>
    <w:p w14:paraId="2D5D385C">
      <w:pPr>
        <w:spacing w:line="460" w:lineRule="exact"/>
        <w:ind w:firstLine="385" w:firstLineChars="175"/>
        <w:rPr>
          <w:rFonts w:hint="eastAsia" w:ascii="宋体" w:hAnsi="宋体" w:eastAsia="宋体" w:cs="宋体"/>
          <w:sz w:val="22"/>
          <w:szCs w:val="22"/>
        </w:rPr>
      </w:pPr>
      <w:r>
        <w:rPr>
          <w:rFonts w:hint="eastAsia" w:ascii="宋体" w:hAnsi="宋体" w:eastAsia="宋体" w:cs="宋体"/>
          <w:sz w:val="22"/>
          <w:szCs w:val="22"/>
        </w:rPr>
        <w:t>（4）对采购的软件开发质量进行检验、测试和验收；在对项目建设详细了解的基础上，对各个分系统、子系统应用软件的详细需求分析、详细设计、系统安装调试、系统培训、系统试运行进行把关；</w:t>
      </w:r>
    </w:p>
    <w:p w14:paraId="4FF71059">
      <w:pPr>
        <w:spacing w:line="460" w:lineRule="exact"/>
        <w:ind w:firstLine="385" w:firstLineChars="175"/>
        <w:rPr>
          <w:rFonts w:hint="eastAsia" w:ascii="宋体" w:hAnsi="宋体" w:eastAsia="宋体" w:cs="宋体"/>
          <w:sz w:val="22"/>
          <w:szCs w:val="22"/>
        </w:rPr>
      </w:pPr>
      <w:r>
        <w:rPr>
          <w:rFonts w:hint="eastAsia" w:ascii="宋体" w:hAnsi="宋体" w:eastAsia="宋体" w:cs="宋体"/>
          <w:sz w:val="22"/>
          <w:szCs w:val="22"/>
        </w:rPr>
        <w:t>（5）对采购的各项服务实施过程进行全过程的质量控制；</w:t>
      </w:r>
    </w:p>
    <w:p w14:paraId="26EA9F73">
      <w:pPr>
        <w:spacing w:line="460" w:lineRule="exact"/>
        <w:ind w:firstLine="385" w:firstLineChars="175"/>
        <w:rPr>
          <w:rFonts w:hint="eastAsia" w:ascii="宋体" w:hAnsi="宋体" w:eastAsia="宋体" w:cs="宋体"/>
          <w:sz w:val="22"/>
          <w:szCs w:val="22"/>
        </w:rPr>
      </w:pPr>
      <w:r>
        <w:rPr>
          <w:rFonts w:hint="eastAsia" w:ascii="宋体" w:hAnsi="宋体" w:eastAsia="宋体" w:cs="宋体"/>
          <w:sz w:val="22"/>
          <w:szCs w:val="22"/>
        </w:rPr>
        <w:t>（5）根据项目各分项服务需求的特点，供应商须出具针对性的验收标准、验收方法；</w:t>
      </w:r>
    </w:p>
    <w:p w14:paraId="1DCD7418">
      <w:pPr>
        <w:pStyle w:val="76"/>
        <w:numPr>
          <w:ilvl w:val="0"/>
          <w:numId w:val="17"/>
        </w:numPr>
        <w:spacing w:line="460" w:lineRule="exact"/>
        <w:ind w:left="0" w:firstLine="66" w:firstLineChars="0"/>
        <w:rPr>
          <w:rFonts w:hint="eastAsia" w:ascii="宋体" w:hAnsi="宋体" w:eastAsia="宋体" w:cs="宋体"/>
          <w:b/>
          <w:bCs/>
          <w:sz w:val="22"/>
          <w:szCs w:val="22"/>
        </w:rPr>
      </w:pPr>
      <w:r>
        <w:rPr>
          <w:rFonts w:hint="eastAsia" w:ascii="宋体" w:hAnsi="宋体" w:eastAsia="宋体" w:cs="宋体"/>
          <w:b/>
          <w:bCs/>
          <w:sz w:val="22"/>
          <w:szCs w:val="22"/>
        </w:rPr>
        <w:t>项目进度控制</w:t>
      </w:r>
    </w:p>
    <w:p w14:paraId="37B96D34">
      <w:pPr>
        <w:spacing w:line="460" w:lineRule="exact"/>
        <w:ind w:firstLine="385" w:firstLineChars="175"/>
        <w:rPr>
          <w:rFonts w:hint="eastAsia" w:ascii="宋体" w:hAnsi="宋体" w:eastAsia="宋体" w:cs="宋体"/>
          <w:sz w:val="22"/>
          <w:szCs w:val="22"/>
        </w:rPr>
      </w:pPr>
      <w:r>
        <w:rPr>
          <w:rFonts w:hint="eastAsia" w:ascii="宋体" w:hAnsi="宋体" w:eastAsia="宋体" w:cs="宋体"/>
          <w:sz w:val="22"/>
          <w:szCs w:val="22"/>
        </w:rPr>
        <w:t>（1）审核项目各分项实施与服务的进度分解计划，确认分解计划可以保证总体计划目标，监督检查项目进度执行情况；</w:t>
      </w:r>
    </w:p>
    <w:p w14:paraId="795F3A80">
      <w:pPr>
        <w:spacing w:line="460" w:lineRule="exact"/>
        <w:ind w:firstLine="385" w:firstLineChars="175"/>
        <w:rPr>
          <w:rFonts w:hint="eastAsia" w:ascii="宋体" w:hAnsi="宋体" w:eastAsia="宋体" w:cs="宋体"/>
          <w:sz w:val="22"/>
          <w:szCs w:val="22"/>
        </w:rPr>
      </w:pPr>
      <w:r>
        <w:rPr>
          <w:rFonts w:hint="eastAsia" w:ascii="宋体" w:hAnsi="宋体" w:eastAsia="宋体" w:cs="宋体"/>
          <w:sz w:val="22"/>
          <w:szCs w:val="22"/>
        </w:rPr>
        <w:t>（2）根据项目各分项内容，实时跟踪项目实施进度，并要求供应商对进度计划进行动态调整，以确保项目各分项服务阶段和总体进度目标的实现；</w:t>
      </w:r>
    </w:p>
    <w:p w14:paraId="0D5E4400">
      <w:pPr>
        <w:spacing w:line="460" w:lineRule="exact"/>
        <w:ind w:firstLine="385" w:firstLineChars="175"/>
        <w:rPr>
          <w:rFonts w:hint="eastAsia" w:ascii="宋体" w:hAnsi="宋体" w:eastAsia="宋体" w:cs="宋体"/>
          <w:sz w:val="22"/>
          <w:szCs w:val="22"/>
        </w:rPr>
      </w:pPr>
      <w:r>
        <w:rPr>
          <w:rFonts w:hint="eastAsia" w:ascii="宋体" w:hAnsi="宋体" w:eastAsia="宋体" w:cs="宋体"/>
          <w:sz w:val="22"/>
          <w:szCs w:val="22"/>
        </w:rPr>
        <w:t>（3）当工期目标与一些重要服务工作执行严重偏离计划时，应及时指出，并提出对策建议，同时督促项目各分项供应商尽快采取措施。</w:t>
      </w:r>
    </w:p>
    <w:p w14:paraId="564A9F55">
      <w:pPr>
        <w:pStyle w:val="76"/>
        <w:numPr>
          <w:ilvl w:val="0"/>
          <w:numId w:val="17"/>
        </w:numPr>
        <w:spacing w:line="460" w:lineRule="exact"/>
        <w:ind w:left="0" w:firstLine="66" w:firstLineChars="0"/>
        <w:rPr>
          <w:rFonts w:hint="eastAsia" w:ascii="宋体" w:hAnsi="宋体" w:eastAsia="宋体" w:cs="宋体"/>
          <w:b/>
          <w:bCs/>
          <w:sz w:val="22"/>
          <w:szCs w:val="22"/>
        </w:rPr>
      </w:pPr>
      <w:r>
        <w:rPr>
          <w:rFonts w:hint="eastAsia" w:ascii="宋体" w:hAnsi="宋体" w:eastAsia="宋体" w:cs="宋体"/>
          <w:b/>
          <w:bCs/>
          <w:sz w:val="22"/>
          <w:szCs w:val="22"/>
        </w:rPr>
        <w:t>项目投资控制/变更控制</w:t>
      </w:r>
    </w:p>
    <w:p w14:paraId="4CD71068">
      <w:pPr>
        <w:spacing w:line="460" w:lineRule="exact"/>
        <w:ind w:firstLine="385" w:firstLineChars="175"/>
        <w:rPr>
          <w:rFonts w:hint="eastAsia" w:ascii="宋体" w:hAnsi="宋体" w:eastAsia="宋体" w:cs="宋体"/>
          <w:sz w:val="22"/>
          <w:szCs w:val="22"/>
        </w:rPr>
      </w:pPr>
      <w:r>
        <w:rPr>
          <w:rFonts w:hint="eastAsia" w:ascii="宋体" w:hAnsi="宋体" w:eastAsia="宋体" w:cs="宋体"/>
          <w:sz w:val="22"/>
          <w:szCs w:val="22"/>
        </w:rPr>
        <w:t>（1）具备信息化项目资金控制管理能力，通过对项目各分项建设内容的优化，确保投资控制在合理、性价比高的范围内；</w:t>
      </w:r>
    </w:p>
    <w:p w14:paraId="5BC56AD3">
      <w:pPr>
        <w:spacing w:line="460" w:lineRule="exact"/>
        <w:ind w:firstLine="385" w:firstLineChars="175"/>
        <w:rPr>
          <w:rFonts w:hint="eastAsia" w:ascii="宋体" w:hAnsi="宋体" w:eastAsia="宋体" w:cs="宋体"/>
          <w:sz w:val="22"/>
          <w:szCs w:val="22"/>
        </w:rPr>
      </w:pPr>
      <w:r>
        <w:rPr>
          <w:rFonts w:hint="eastAsia" w:ascii="宋体" w:hAnsi="宋体" w:eastAsia="宋体" w:cs="宋体"/>
          <w:sz w:val="22"/>
          <w:szCs w:val="22"/>
        </w:rPr>
        <w:t>（2）当发现资金使用严重偏离计划时，应及时指出，并提出对策建议，同时督促项目各分项供应商尽快采取措施；</w:t>
      </w:r>
    </w:p>
    <w:p w14:paraId="0D788EEE">
      <w:pPr>
        <w:spacing w:line="460" w:lineRule="exact"/>
        <w:ind w:firstLine="385" w:firstLineChars="175"/>
        <w:rPr>
          <w:rFonts w:hint="eastAsia" w:ascii="宋体" w:hAnsi="宋体" w:eastAsia="宋体" w:cs="宋体"/>
          <w:sz w:val="22"/>
          <w:szCs w:val="22"/>
        </w:rPr>
      </w:pPr>
      <w:r>
        <w:rPr>
          <w:rFonts w:hint="eastAsia" w:ascii="宋体" w:hAnsi="宋体" w:eastAsia="宋体" w:cs="宋体"/>
          <w:sz w:val="22"/>
          <w:szCs w:val="22"/>
        </w:rPr>
        <w:t>（3）严格控制和审查项目变更，核算成本和变化量，报采购人审批，审核各服务商的工作量清单和项目结算。</w:t>
      </w:r>
    </w:p>
    <w:p w14:paraId="31CD2089">
      <w:pPr>
        <w:spacing w:line="460" w:lineRule="exact"/>
        <w:ind w:firstLine="385" w:firstLineChars="175"/>
        <w:rPr>
          <w:rFonts w:hint="eastAsia" w:ascii="宋体" w:hAnsi="宋体" w:eastAsia="宋体" w:cs="宋体"/>
          <w:sz w:val="22"/>
          <w:szCs w:val="22"/>
        </w:rPr>
      </w:pPr>
      <w:r>
        <w:rPr>
          <w:rFonts w:hint="eastAsia" w:ascii="宋体" w:hAnsi="宋体" w:eastAsia="宋体" w:cs="宋体"/>
          <w:sz w:val="22"/>
          <w:szCs w:val="22"/>
        </w:rPr>
        <w:t>（4）对工程变更控制，明确界定项目变更的目标，防止变更范围的扩大化，加强变更风险以及变更效果的评估。</w:t>
      </w:r>
    </w:p>
    <w:p w14:paraId="57460076">
      <w:pPr>
        <w:spacing w:line="460" w:lineRule="exact"/>
        <w:ind w:firstLine="385" w:firstLineChars="175"/>
        <w:rPr>
          <w:rFonts w:hint="eastAsia" w:ascii="宋体" w:hAnsi="宋体" w:eastAsia="宋体" w:cs="宋体"/>
          <w:sz w:val="22"/>
          <w:szCs w:val="22"/>
        </w:rPr>
      </w:pPr>
      <w:r>
        <w:rPr>
          <w:rFonts w:hint="eastAsia" w:ascii="宋体" w:hAnsi="宋体" w:eastAsia="宋体" w:cs="宋体"/>
          <w:sz w:val="22"/>
          <w:szCs w:val="22"/>
        </w:rPr>
        <w:t>（5）对变更申请及时响应；任何变更都应在实施前进行评估，选择冲击最小的变更方案；</w:t>
      </w:r>
    </w:p>
    <w:p w14:paraId="11B8C659">
      <w:pPr>
        <w:spacing w:line="460" w:lineRule="exact"/>
        <w:ind w:firstLine="385" w:firstLineChars="175"/>
        <w:rPr>
          <w:rFonts w:hint="eastAsia" w:ascii="宋体" w:hAnsi="宋体" w:eastAsia="宋体" w:cs="宋体"/>
          <w:sz w:val="22"/>
          <w:szCs w:val="22"/>
        </w:rPr>
      </w:pPr>
      <w:r>
        <w:rPr>
          <w:rFonts w:hint="eastAsia" w:ascii="宋体" w:hAnsi="宋体" w:eastAsia="宋体" w:cs="宋体"/>
          <w:sz w:val="22"/>
          <w:szCs w:val="22"/>
        </w:rPr>
        <w:t>（6）任何变更都要得到三方（业主单位、监理单位和承建单位）的书面确认。</w:t>
      </w:r>
    </w:p>
    <w:p w14:paraId="3611D819">
      <w:pPr>
        <w:pStyle w:val="76"/>
        <w:numPr>
          <w:ilvl w:val="0"/>
          <w:numId w:val="17"/>
        </w:numPr>
        <w:spacing w:line="460" w:lineRule="exact"/>
        <w:ind w:left="0" w:firstLine="66" w:firstLineChars="0"/>
        <w:rPr>
          <w:rFonts w:hint="eastAsia" w:ascii="宋体" w:hAnsi="宋体" w:eastAsia="宋体" w:cs="宋体"/>
          <w:b/>
          <w:bCs/>
          <w:sz w:val="22"/>
          <w:szCs w:val="22"/>
        </w:rPr>
      </w:pPr>
      <w:r>
        <w:rPr>
          <w:rFonts w:hint="eastAsia" w:ascii="宋体" w:hAnsi="宋体" w:eastAsia="宋体" w:cs="宋体"/>
          <w:b/>
          <w:bCs/>
          <w:sz w:val="22"/>
          <w:szCs w:val="22"/>
        </w:rPr>
        <w:t>项目合同管理</w:t>
      </w:r>
    </w:p>
    <w:p w14:paraId="7AE7CBE2">
      <w:pPr>
        <w:spacing w:line="460" w:lineRule="exact"/>
        <w:ind w:firstLine="385" w:firstLineChars="175"/>
        <w:rPr>
          <w:rFonts w:hint="eastAsia" w:ascii="宋体" w:hAnsi="宋体" w:eastAsia="宋体" w:cs="宋体"/>
          <w:sz w:val="22"/>
          <w:szCs w:val="22"/>
        </w:rPr>
      </w:pPr>
      <w:r>
        <w:rPr>
          <w:rFonts w:hint="eastAsia" w:ascii="宋体" w:hAnsi="宋体" w:eastAsia="宋体" w:cs="宋体"/>
          <w:sz w:val="22"/>
          <w:szCs w:val="22"/>
        </w:rPr>
        <w:t>（1）跟踪检查合同的执行情况，确保项目各供应商按时履约；</w:t>
      </w:r>
    </w:p>
    <w:p w14:paraId="6878B738">
      <w:pPr>
        <w:spacing w:line="460" w:lineRule="exact"/>
        <w:ind w:firstLine="385" w:firstLineChars="175"/>
        <w:rPr>
          <w:rFonts w:hint="eastAsia" w:ascii="宋体" w:hAnsi="宋体" w:eastAsia="宋体" w:cs="宋体"/>
          <w:sz w:val="22"/>
          <w:szCs w:val="22"/>
        </w:rPr>
      </w:pPr>
      <w:r>
        <w:rPr>
          <w:rFonts w:hint="eastAsia" w:ascii="宋体" w:hAnsi="宋体" w:eastAsia="宋体" w:cs="宋体"/>
          <w:sz w:val="22"/>
          <w:szCs w:val="22"/>
        </w:rPr>
        <w:t>（2）协助采购人处理项目各分项合同实施过程出现的合同变更、违约、延期、分包、纠纷调解及仲裁等问题。</w:t>
      </w:r>
    </w:p>
    <w:p w14:paraId="398FD951">
      <w:pPr>
        <w:spacing w:line="460" w:lineRule="exact"/>
        <w:ind w:firstLine="385" w:firstLineChars="175"/>
        <w:rPr>
          <w:rFonts w:hint="eastAsia" w:ascii="宋体" w:hAnsi="宋体" w:eastAsia="宋体" w:cs="宋体"/>
          <w:sz w:val="22"/>
          <w:szCs w:val="22"/>
        </w:rPr>
      </w:pPr>
      <w:r>
        <w:rPr>
          <w:rFonts w:hint="eastAsia" w:ascii="宋体" w:hAnsi="宋体" w:eastAsia="宋体" w:cs="宋体"/>
          <w:sz w:val="22"/>
          <w:szCs w:val="22"/>
        </w:rPr>
        <w:t>（3）根据合同约定，审核承建单位提交的支付申请，签发付款凭证。</w:t>
      </w:r>
    </w:p>
    <w:p w14:paraId="131EB363">
      <w:pPr>
        <w:pStyle w:val="76"/>
        <w:numPr>
          <w:ilvl w:val="0"/>
          <w:numId w:val="17"/>
        </w:numPr>
        <w:spacing w:line="460" w:lineRule="exact"/>
        <w:ind w:left="0" w:firstLine="66" w:firstLineChars="0"/>
        <w:rPr>
          <w:rFonts w:hint="eastAsia" w:ascii="宋体" w:hAnsi="宋体" w:eastAsia="宋体" w:cs="宋体"/>
          <w:b/>
          <w:bCs/>
          <w:sz w:val="22"/>
          <w:szCs w:val="22"/>
        </w:rPr>
      </w:pPr>
      <w:r>
        <w:rPr>
          <w:rFonts w:hint="eastAsia" w:ascii="宋体" w:hAnsi="宋体" w:eastAsia="宋体" w:cs="宋体"/>
          <w:b/>
          <w:bCs/>
          <w:sz w:val="22"/>
          <w:szCs w:val="22"/>
        </w:rPr>
        <w:t>项目信息管理</w:t>
      </w:r>
    </w:p>
    <w:p w14:paraId="40635761">
      <w:pPr>
        <w:spacing w:line="460" w:lineRule="exact"/>
        <w:ind w:firstLine="385" w:firstLineChars="175"/>
        <w:rPr>
          <w:rFonts w:hint="eastAsia" w:ascii="宋体" w:hAnsi="宋体" w:eastAsia="宋体" w:cs="宋体"/>
          <w:sz w:val="22"/>
          <w:szCs w:val="22"/>
        </w:rPr>
      </w:pPr>
      <w:r>
        <w:rPr>
          <w:rFonts w:hint="eastAsia" w:ascii="宋体" w:hAnsi="宋体" w:eastAsia="宋体" w:cs="宋体"/>
          <w:sz w:val="22"/>
          <w:szCs w:val="22"/>
        </w:rPr>
        <w:t>（1）供应商须及时向采购人提交反映项目各分项合同进度动态和监理工作情况的文档；</w:t>
      </w:r>
    </w:p>
    <w:p w14:paraId="4ADD8DEB">
      <w:pPr>
        <w:spacing w:line="460" w:lineRule="exact"/>
        <w:ind w:firstLine="385" w:firstLineChars="175"/>
        <w:rPr>
          <w:rFonts w:hint="eastAsia" w:ascii="宋体" w:hAnsi="宋体" w:eastAsia="宋体" w:cs="宋体"/>
          <w:sz w:val="22"/>
          <w:szCs w:val="22"/>
        </w:rPr>
      </w:pPr>
      <w:r>
        <w:rPr>
          <w:rFonts w:hint="eastAsia" w:ascii="宋体" w:hAnsi="宋体" w:eastAsia="宋体" w:cs="宋体"/>
          <w:sz w:val="22"/>
          <w:szCs w:val="22"/>
        </w:rPr>
        <w:t>（2）建立全面、准确反映项目各分项合同进度状况的图表、文档，收集、管理项目各类文档和资料；</w:t>
      </w:r>
    </w:p>
    <w:p w14:paraId="24452B1E">
      <w:pPr>
        <w:spacing w:line="460" w:lineRule="exact"/>
        <w:ind w:firstLine="385" w:firstLineChars="175"/>
        <w:rPr>
          <w:rFonts w:hint="eastAsia" w:ascii="宋体" w:hAnsi="宋体" w:eastAsia="宋体" w:cs="宋体"/>
          <w:sz w:val="22"/>
          <w:szCs w:val="22"/>
        </w:rPr>
      </w:pPr>
      <w:r>
        <w:rPr>
          <w:rFonts w:hint="eastAsia" w:ascii="宋体" w:hAnsi="宋体" w:eastAsia="宋体" w:cs="宋体"/>
          <w:sz w:val="22"/>
          <w:szCs w:val="22"/>
        </w:rPr>
        <w:t>（3）督促、检查项目各供应商及时完成各阶段设备资料、技术资料的整理和归档工作；</w:t>
      </w:r>
    </w:p>
    <w:p w14:paraId="5D2C734D">
      <w:pPr>
        <w:spacing w:line="460" w:lineRule="exact"/>
        <w:ind w:firstLine="385" w:firstLineChars="175"/>
        <w:rPr>
          <w:rFonts w:hint="eastAsia" w:ascii="宋体" w:hAnsi="宋体" w:eastAsia="宋体" w:cs="宋体"/>
          <w:sz w:val="22"/>
          <w:szCs w:val="22"/>
        </w:rPr>
      </w:pPr>
      <w:r>
        <w:rPr>
          <w:rFonts w:hint="eastAsia" w:ascii="宋体" w:hAnsi="宋体" w:eastAsia="宋体" w:cs="宋体"/>
          <w:sz w:val="22"/>
          <w:szCs w:val="22"/>
        </w:rPr>
        <w:t>（4）转发采购人发出的一切指示、通知和工作联系单。</w:t>
      </w:r>
    </w:p>
    <w:p w14:paraId="1F9CBFB0">
      <w:pPr>
        <w:spacing w:line="460" w:lineRule="exact"/>
        <w:ind w:firstLine="385" w:firstLineChars="175"/>
        <w:rPr>
          <w:rFonts w:hint="eastAsia" w:ascii="宋体" w:hAnsi="宋体" w:eastAsia="宋体" w:cs="宋体"/>
          <w:sz w:val="22"/>
          <w:szCs w:val="22"/>
        </w:rPr>
      </w:pPr>
      <w:r>
        <w:rPr>
          <w:rFonts w:hint="eastAsia" w:ascii="宋体" w:hAnsi="宋体" w:eastAsia="宋体" w:cs="宋体"/>
          <w:sz w:val="22"/>
          <w:szCs w:val="22"/>
        </w:rPr>
        <w:t>（5）根据项目各分项合同独立进行文档管理，形成完整的文档体系，及时协助采购人整理项目各分项服务过程文档，项目完成后向采购人进行项目各分项服务文档移交。</w:t>
      </w:r>
    </w:p>
    <w:p w14:paraId="16794084">
      <w:pPr>
        <w:pStyle w:val="76"/>
        <w:numPr>
          <w:ilvl w:val="0"/>
          <w:numId w:val="17"/>
        </w:numPr>
        <w:spacing w:line="460" w:lineRule="exact"/>
        <w:ind w:left="0" w:firstLine="66" w:firstLineChars="0"/>
        <w:rPr>
          <w:rFonts w:hint="eastAsia" w:ascii="宋体" w:hAnsi="宋体" w:eastAsia="宋体" w:cs="宋体"/>
          <w:b/>
          <w:bCs/>
          <w:sz w:val="22"/>
          <w:szCs w:val="22"/>
        </w:rPr>
      </w:pPr>
      <w:r>
        <w:rPr>
          <w:rFonts w:hint="eastAsia" w:ascii="宋体" w:hAnsi="宋体" w:eastAsia="宋体" w:cs="宋体"/>
          <w:b/>
          <w:bCs/>
          <w:sz w:val="22"/>
          <w:szCs w:val="22"/>
        </w:rPr>
        <w:t>信息安全管理</w:t>
      </w:r>
    </w:p>
    <w:p w14:paraId="2CCEEA2C">
      <w:pPr>
        <w:pStyle w:val="8"/>
        <w:spacing w:after="0" w:line="460" w:lineRule="exact"/>
        <w:ind w:firstLine="480"/>
        <w:rPr>
          <w:rFonts w:hint="eastAsia" w:ascii="宋体" w:hAnsi="宋体" w:eastAsia="宋体" w:cs="宋体"/>
          <w:b/>
          <w:bCs/>
          <w:sz w:val="22"/>
          <w:szCs w:val="22"/>
        </w:rPr>
      </w:pPr>
      <w:r>
        <w:rPr>
          <w:rFonts w:hint="eastAsia" w:ascii="宋体" w:hAnsi="宋体" w:eastAsia="宋体" w:cs="宋体"/>
          <w:bCs/>
          <w:sz w:val="22"/>
          <w:szCs w:val="22"/>
        </w:rPr>
        <w:t>（1）监督检查各服务商提供的安全服务是否符合政府信息系统安全监管和安全保障要求；</w:t>
      </w:r>
    </w:p>
    <w:p w14:paraId="362405B6">
      <w:pPr>
        <w:pStyle w:val="8"/>
        <w:spacing w:after="0" w:line="460" w:lineRule="exact"/>
        <w:ind w:firstLine="480"/>
        <w:rPr>
          <w:rFonts w:hint="eastAsia" w:ascii="宋体" w:hAnsi="宋体" w:eastAsia="宋体" w:cs="宋体"/>
          <w:b/>
          <w:bCs/>
          <w:sz w:val="22"/>
          <w:szCs w:val="22"/>
        </w:rPr>
      </w:pPr>
      <w:r>
        <w:rPr>
          <w:rFonts w:hint="eastAsia" w:ascii="宋体" w:hAnsi="宋体" w:eastAsia="宋体" w:cs="宋体"/>
          <w:bCs/>
          <w:sz w:val="22"/>
          <w:szCs w:val="22"/>
        </w:rPr>
        <w:t>（2）监督检查各服务商是否满足提供大运维大安全体系服务的目标要求；</w:t>
      </w:r>
    </w:p>
    <w:p w14:paraId="3EFA18A0">
      <w:pPr>
        <w:pStyle w:val="8"/>
        <w:spacing w:after="0" w:line="460" w:lineRule="exact"/>
        <w:ind w:firstLine="480"/>
        <w:rPr>
          <w:rFonts w:hint="eastAsia" w:ascii="宋体" w:hAnsi="宋体" w:eastAsia="宋体" w:cs="宋体"/>
          <w:b/>
          <w:bCs/>
          <w:sz w:val="22"/>
          <w:szCs w:val="22"/>
        </w:rPr>
      </w:pPr>
      <w:r>
        <w:rPr>
          <w:rFonts w:hint="eastAsia" w:ascii="宋体" w:hAnsi="宋体" w:eastAsia="宋体" w:cs="宋体"/>
          <w:bCs/>
          <w:sz w:val="22"/>
          <w:szCs w:val="22"/>
        </w:rPr>
        <w:t>（3）督促各服务商建立完善的信息安全管理制度，数据备份制度；</w:t>
      </w:r>
    </w:p>
    <w:p w14:paraId="0914303E">
      <w:pPr>
        <w:pStyle w:val="8"/>
        <w:spacing w:after="0" w:line="460" w:lineRule="exact"/>
        <w:ind w:firstLine="480"/>
        <w:rPr>
          <w:rFonts w:hint="eastAsia" w:ascii="宋体" w:hAnsi="宋体" w:eastAsia="宋体" w:cs="宋体"/>
          <w:b/>
          <w:bCs/>
          <w:sz w:val="22"/>
          <w:szCs w:val="22"/>
        </w:rPr>
      </w:pPr>
      <w:r>
        <w:rPr>
          <w:rFonts w:hint="eastAsia" w:ascii="宋体" w:hAnsi="宋体" w:eastAsia="宋体" w:cs="宋体"/>
          <w:bCs/>
          <w:sz w:val="22"/>
          <w:szCs w:val="22"/>
        </w:rPr>
        <w:t>（4）组织信息安全事故的调查与处理；</w:t>
      </w:r>
    </w:p>
    <w:p w14:paraId="0027AAE6">
      <w:pPr>
        <w:pStyle w:val="8"/>
        <w:spacing w:after="0" w:line="460" w:lineRule="exact"/>
        <w:ind w:firstLine="480"/>
        <w:rPr>
          <w:rFonts w:hint="eastAsia" w:ascii="宋体" w:hAnsi="宋体" w:eastAsia="宋体" w:cs="宋体"/>
          <w:b/>
          <w:bCs/>
          <w:sz w:val="22"/>
          <w:szCs w:val="22"/>
        </w:rPr>
      </w:pPr>
      <w:r>
        <w:rPr>
          <w:rFonts w:hint="eastAsia" w:ascii="宋体" w:hAnsi="宋体" w:eastAsia="宋体" w:cs="宋体"/>
          <w:bCs/>
          <w:sz w:val="22"/>
          <w:szCs w:val="22"/>
        </w:rPr>
        <w:t>（5）运用相关标准，提高项目整体的信息安全水平。</w:t>
      </w:r>
    </w:p>
    <w:p w14:paraId="0F308266">
      <w:pPr>
        <w:pStyle w:val="8"/>
        <w:spacing w:after="0" w:line="460" w:lineRule="exact"/>
        <w:ind w:firstLine="480"/>
        <w:rPr>
          <w:rFonts w:hint="eastAsia" w:ascii="宋体" w:hAnsi="宋体" w:eastAsia="宋体" w:cs="宋体"/>
          <w:bCs/>
          <w:sz w:val="22"/>
          <w:szCs w:val="22"/>
        </w:rPr>
      </w:pPr>
      <w:r>
        <w:rPr>
          <w:rFonts w:hint="eastAsia" w:ascii="宋体" w:hAnsi="宋体" w:eastAsia="宋体" w:cs="宋体"/>
          <w:bCs/>
          <w:sz w:val="22"/>
          <w:szCs w:val="22"/>
        </w:rPr>
        <w:t>（6）监督各服务商定期开展大运维大安全体系的安全检查工作，对发现的安全风险督促相关单位及时整改。</w:t>
      </w:r>
    </w:p>
    <w:p w14:paraId="5E9B2B15">
      <w:pPr>
        <w:pStyle w:val="8"/>
        <w:spacing w:after="0" w:line="460" w:lineRule="exact"/>
        <w:ind w:firstLine="480"/>
        <w:rPr>
          <w:rFonts w:hint="eastAsia" w:ascii="宋体" w:hAnsi="宋体" w:eastAsia="宋体" w:cs="宋体"/>
          <w:b/>
          <w:bCs/>
          <w:sz w:val="22"/>
          <w:szCs w:val="22"/>
        </w:rPr>
      </w:pPr>
    </w:p>
    <w:p w14:paraId="325ACFBE">
      <w:pPr>
        <w:pStyle w:val="76"/>
        <w:numPr>
          <w:ilvl w:val="0"/>
          <w:numId w:val="17"/>
        </w:numPr>
        <w:spacing w:line="460" w:lineRule="exact"/>
        <w:ind w:left="0" w:firstLine="66" w:firstLineChars="0"/>
        <w:rPr>
          <w:rFonts w:hint="eastAsia" w:ascii="宋体" w:hAnsi="宋体" w:eastAsia="宋体" w:cs="宋体"/>
          <w:b/>
          <w:bCs/>
          <w:sz w:val="22"/>
          <w:szCs w:val="22"/>
        </w:rPr>
      </w:pPr>
      <w:r>
        <w:rPr>
          <w:rFonts w:hint="eastAsia" w:ascii="宋体" w:hAnsi="宋体" w:eastAsia="宋体" w:cs="宋体"/>
          <w:b/>
          <w:bCs/>
          <w:sz w:val="22"/>
          <w:szCs w:val="22"/>
        </w:rPr>
        <w:t>项目组织协调</w:t>
      </w:r>
    </w:p>
    <w:p w14:paraId="748B64F4">
      <w:pPr>
        <w:spacing w:line="460" w:lineRule="exact"/>
        <w:ind w:firstLine="385" w:firstLineChars="175"/>
        <w:rPr>
          <w:rFonts w:hint="eastAsia" w:ascii="宋体" w:hAnsi="宋体" w:eastAsia="宋体" w:cs="宋体"/>
          <w:sz w:val="22"/>
          <w:szCs w:val="22"/>
        </w:rPr>
      </w:pPr>
      <w:r>
        <w:rPr>
          <w:rFonts w:hint="eastAsia" w:ascii="宋体" w:hAnsi="宋体" w:eastAsia="宋体" w:cs="宋体"/>
          <w:sz w:val="22"/>
          <w:szCs w:val="22"/>
        </w:rPr>
        <w:t>（1）根据项目各分项合同，监督各方履行职责，协调各方的工作关系；</w:t>
      </w:r>
    </w:p>
    <w:p w14:paraId="06C6AD08">
      <w:pPr>
        <w:pStyle w:val="8"/>
        <w:spacing w:after="0" w:line="460" w:lineRule="exact"/>
        <w:ind w:firstLine="480"/>
        <w:rPr>
          <w:rFonts w:hint="eastAsia" w:ascii="宋体" w:hAnsi="宋体" w:eastAsia="宋体" w:cs="宋体"/>
          <w:b/>
          <w:bCs/>
          <w:sz w:val="22"/>
          <w:szCs w:val="22"/>
        </w:rPr>
      </w:pPr>
      <w:r>
        <w:rPr>
          <w:rFonts w:hint="eastAsia" w:ascii="宋体" w:hAnsi="宋体" w:eastAsia="宋体" w:cs="宋体"/>
          <w:bCs/>
          <w:sz w:val="22"/>
          <w:szCs w:val="22"/>
        </w:rPr>
        <w:t>（2）建立畅通的沟通渠道，采取有效措施使项目各分项服务信息在有关各</w:t>
      </w:r>
      <w:r>
        <w:rPr>
          <w:rFonts w:hint="eastAsia" w:ascii="宋体" w:hAnsi="宋体" w:eastAsia="宋体" w:cs="宋体"/>
          <w:bCs/>
          <w:spacing w:val="-3"/>
          <w:sz w:val="22"/>
          <w:szCs w:val="22"/>
        </w:rPr>
        <w:t>方之间保持顺畅流通，积极协调各方之间的关系，推动服务实施过程中问题的解</w:t>
      </w:r>
      <w:r>
        <w:rPr>
          <w:rFonts w:hint="eastAsia" w:ascii="宋体" w:hAnsi="宋体" w:eastAsia="宋体" w:cs="宋体"/>
          <w:bCs/>
          <w:sz w:val="22"/>
          <w:szCs w:val="22"/>
        </w:rPr>
        <w:t>决。</w:t>
      </w:r>
    </w:p>
    <w:p w14:paraId="3361E077">
      <w:pPr>
        <w:pStyle w:val="8"/>
        <w:spacing w:after="0" w:line="460" w:lineRule="exact"/>
        <w:ind w:firstLine="480"/>
        <w:rPr>
          <w:rFonts w:hint="eastAsia" w:ascii="宋体" w:hAnsi="宋体" w:eastAsia="宋体" w:cs="宋体"/>
          <w:b/>
          <w:bCs/>
          <w:sz w:val="22"/>
          <w:szCs w:val="22"/>
        </w:rPr>
      </w:pPr>
      <w:r>
        <w:rPr>
          <w:rFonts w:hint="eastAsia" w:ascii="宋体" w:hAnsi="宋体" w:eastAsia="宋体" w:cs="宋体"/>
          <w:bCs/>
          <w:sz w:val="22"/>
          <w:szCs w:val="22"/>
        </w:rPr>
        <w:t>（3）为保证监理工作的开展和服务实施协调，供应商可组织必要的会议来保证并出具会议纪要：</w:t>
      </w:r>
    </w:p>
    <w:p w14:paraId="0F5961C2">
      <w:pPr>
        <w:pStyle w:val="8"/>
        <w:spacing w:after="0" w:line="460" w:lineRule="exact"/>
        <w:ind w:firstLine="480"/>
        <w:rPr>
          <w:rFonts w:hint="eastAsia" w:ascii="宋体" w:hAnsi="宋体" w:eastAsia="宋体" w:cs="宋体"/>
          <w:bCs/>
          <w:sz w:val="22"/>
          <w:szCs w:val="22"/>
        </w:rPr>
      </w:pPr>
      <w:r>
        <w:rPr>
          <w:rFonts w:hint="eastAsia" w:ascii="宋体" w:hAnsi="宋体" w:eastAsia="宋体" w:cs="宋体"/>
          <w:bCs/>
          <w:sz w:val="22"/>
          <w:szCs w:val="22"/>
        </w:rPr>
        <w:t>（4）供应商应建立完整的项目例会的管理制度，确定项目例会的启动流程和参加对象，制订项目例会的结果跟踪制度。</w:t>
      </w:r>
    </w:p>
    <w:p w14:paraId="35A5F419">
      <w:pPr>
        <w:tabs>
          <w:tab w:val="left" w:pos="6651"/>
        </w:tabs>
        <w:spacing w:line="440" w:lineRule="exact"/>
        <w:ind w:firstLine="330" w:firstLineChars="150"/>
        <w:rPr>
          <w:rFonts w:hint="eastAsia" w:ascii="宋体" w:hAnsi="宋体" w:eastAsia="宋体" w:cs="宋体"/>
          <w:color w:val="000000"/>
          <w:sz w:val="22"/>
          <w:szCs w:val="22"/>
        </w:rPr>
      </w:pPr>
      <w:r>
        <w:rPr>
          <w:rFonts w:hint="eastAsia" w:ascii="宋体" w:hAnsi="宋体" w:eastAsia="宋体" w:cs="宋体"/>
          <w:color w:val="000000"/>
          <w:sz w:val="22"/>
          <w:szCs w:val="22"/>
        </w:rPr>
        <w:t>（5）供应商应通过必要的会议制度来实施协调工作，主要会议包括不限于：</w:t>
      </w:r>
    </w:p>
    <w:p w14:paraId="23B25CCF">
      <w:pPr>
        <w:pStyle w:val="8"/>
        <w:numPr>
          <w:ilvl w:val="0"/>
          <w:numId w:val="18"/>
        </w:numPr>
        <w:spacing w:after="0" w:line="460" w:lineRule="exact"/>
        <w:rPr>
          <w:rFonts w:hint="eastAsia" w:ascii="宋体" w:hAnsi="宋体" w:eastAsia="宋体" w:cs="宋体"/>
          <w:bCs/>
          <w:sz w:val="22"/>
          <w:szCs w:val="22"/>
        </w:rPr>
      </w:pPr>
      <w:r>
        <w:rPr>
          <w:rFonts w:hint="eastAsia" w:ascii="宋体" w:hAnsi="宋体" w:eastAsia="宋体" w:cs="宋体"/>
          <w:bCs/>
          <w:sz w:val="22"/>
          <w:szCs w:val="22"/>
        </w:rPr>
        <w:t>第一次现场会</w:t>
      </w:r>
    </w:p>
    <w:p w14:paraId="05893380">
      <w:pPr>
        <w:pStyle w:val="8"/>
        <w:numPr>
          <w:ilvl w:val="0"/>
          <w:numId w:val="18"/>
        </w:numPr>
        <w:spacing w:after="0" w:line="460" w:lineRule="exact"/>
        <w:rPr>
          <w:rFonts w:hint="eastAsia" w:ascii="宋体" w:hAnsi="宋体" w:eastAsia="宋体" w:cs="宋体"/>
          <w:bCs/>
          <w:sz w:val="22"/>
          <w:szCs w:val="22"/>
        </w:rPr>
      </w:pPr>
      <w:r>
        <w:rPr>
          <w:rFonts w:hint="eastAsia" w:ascii="宋体" w:hAnsi="宋体" w:eastAsia="宋体" w:cs="宋体"/>
          <w:bCs/>
          <w:sz w:val="22"/>
          <w:szCs w:val="22"/>
        </w:rPr>
        <w:t>监理交底会</w:t>
      </w:r>
    </w:p>
    <w:p w14:paraId="05AE1E89">
      <w:pPr>
        <w:pStyle w:val="8"/>
        <w:numPr>
          <w:ilvl w:val="0"/>
          <w:numId w:val="18"/>
        </w:numPr>
        <w:spacing w:after="0" w:line="460" w:lineRule="exact"/>
        <w:rPr>
          <w:rFonts w:hint="eastAsia" w:ascii="宋体" w:hAnsi="宋体" w:eastAsia="宋体" w:cs="宋体"/>
          <w:bCs/>
          <w:sz w:val="22"/>
          <w:szCs w:val="22"/>
        </w:rPr>
      </w:pPr>
      <w:r>
        <w:rPr>
          <w:rFonts w:hint="eastAsia" w:ascii="宋体" w:hAnsi="宋体" w:eastAsia="宋体" w:cs="宋体"/>
          <w:bCs/>
          <w:sz w:val="22"/>
          <w:szCs w:val="22"/>
        </w:rPr>
        <w:t>周例会及业主单位组织的例会</w:t>
      </w:r>
    </w:p>
    <w:p w14:paraId="0672DDB5">
      <w:pPr>
        <w:pStyle w:val="8"/>
        <w:numPr>
          <w:ilvl w:val="0"/>
          <w:numId w:val="18"/>
        </w:numPr>
        <w:spacing w:after="0" w:line="460" w:lineRule="exact"/>
        <w:rPr>
          <w:rFonts w:hint="eastAsia" w:ascii="宋体" w:hAnsi="宋体" w:eastAsia="宋体" w:cs="宋体"/>
          <w:bCs/>
          <w:sz w:val="22"/>
          <w:szCs w:val="22"/>
        </w:rPr>
      </w:pPr>
      <w:r>
        <w:rPr>
          <w:rFonts w:hint="eastAsia" w:ascii="宋体" w:hAnsi="宋体" w:eastAsia="宋体" w:cs="宋体"/>
          <w:bCs/>
          <w:sz w:val="22"/>
          <w:szCs w:val="22"/>
        </w:rPr>
        <w:t>监理协调会</w:t>
      </w:r>
    </w:p>
    <w:p w14:paraId="5F31D03C">
      <w:pPr>
        <w:pStyle w:val="8"/>
        <w:numPr>
          <w:ilvl w:val="0"/>
          <w:numId w:val="18"/>
        </w:numPr>
        <w:spacing w:after="0" w:line="460" w:lineRule="exact"/>
        <w:rPr>
          <w:rFonts w:hint="eastAsia" w:ascii="宋体" w:hAnsi="宋体" w:eastAsia="宋体" w:cs="宋体"/>
          <w:bCs/>
          <w:sz w:val="22"/>
          <w:szCs w:val="22"/>
        </w:rPr>
      </w:pPr>
      <w:r>
        <w:rPr>
          <w:rFonts w:hint="eastAsia" w:ascii="宋体" w:hAnsi="宋体" w:eastAsia="宋体" w:cs="宋体"/>
          <w:bCs/>
          <w:sz w:val="22"/>
          <w:szCs w:val="22"/>
        </w:rPr>
        <w:t>专题讨论会</w:t>
      </w:r>
    </w:p>
    <w:p w14:paraId="2013C6D0">
      <w:pPr>
        <w:pStyle w:val="8"/>
        <w:numPr>
          <w:ilvl w:val="0"/>
          <w:numId w:val="18"/>
        </w:numPr>
        <w:spacing w:after="0" w:line="460" w:lineRule="exact"/>
        <w:rPr>
          <w:rFonts w:hint="eastAsia" w:ascii="宋体" w:hAnsi="宋体" w:eastAsia="宋体" w:cs="宋体"/>
          <w:bCs/>
          <w:sz w:val="22"/>
          <w:szCs w:val="22"/>
        </w:rPr>
      </w:pPr>
      <w:r>
        <w:rPr>
          <w:rFonts w:hint="eastAsia" w:ascii="宋体" w:hAnsi="宋体" w:eastAsia="宋体" w:cs="宋体"/>
          <w:bCs/>
          <w:sz w:val="22"/>
          <w:szCs w:val="22"/>
        </w:rPr>
        <w:t>专家论证会</w:t>
      </w:r>
    </w:p>
    <w:p w14:paraId="215025EC">
      <w:pPr>
        <w:pStyle w:val="8"/>
        <w:numPr>
          <w:ilvl w:val="0"/>
          <w:numId w:val="18"/>
        </w:numPr>
        <w:spacing w:after="0" w:line="460" w:lineRule="exact"/>
        <w:rPr>
          <w:rFonts w:hint="eastAsia" w:ascii="宋体" w:hAnsi="宋体" w:eastAsia="宋体" w:cs="宋体"/>
          <w:bCs/>
          <w:sz w:val="22"/>
          <w:szCs w:val="22"/>
        </w:rPr>
      </w:pPr>
      <w:r>
        <w:rPr>
          <w:rFonts w:hint="eastAsia" w:ascii="宋体" w:hAnsi="宋体" w:eastAsia="宋体" w:cs="宋体"/>
          <w:bCs/>
          <w:sz w:val="22"/>
          <w:szCs w:val="22"/>
        </w:rPr>
        <w:t>阶段工作总结会</w:t>
      </w:r>
    </w:p>
    <w:p w14:paraId="0E34DD10">
      <w:pPr>
        <w:pStyle w:val="8"/>
        <w:numPr>
          <w:ilvl w:val="0"/>
          <w:numId w:val="18"/>
        </w:numPr>
        <w:spacing w:after="0" w:line="460" w:lineRule="exact"/>
        <w:rPr>
          <w:rFonts w:hint="eastAsia" w:ascii="宋体" w:hAnsi="宋体" w:eastAsia="宋体" w:cs="宋体"/>
          <w:bCs/>
          <w:sz w:val="22"/>
          <w:szCs w:val="22"/>
        </w:rPr>
      </w:pPr>
      <w:r>
        <w:rPr>
          <w:rFonts w:hint="eastAsia" w:ascii="宋体" w:hAnsi="宋体" w:eastAsia="宋体" w:cs="宋体"/>
          <w:bCs/>
          <w:sz w:val="22"/>
          <w:szCs w:val="22"/>
        </w:rPr>
        <w:t>问题通报会</w:t>
      </w:r>
    </w:p>
    <w:p w14:paraId="0F4877A4">
      <w:pPr>
        <w:pStyle w:val="8"/>
        <w:numPr>
          <w:ilvl w:val="0"/>
          <w:numId w:val="18"/>
        </w:numPr>
        <w:spacing w:after="0" w:line="460" w:lineRule="exact"/>
        <w:rPr>
          <w:rFonts w:hint="eastAsia" w:ascii="宋体" w:hAnsi="宋体" w:eastAsia="宋体" w:cs="宋体"/>
          <w:bCs/>
          <w:sz w:val="22"/>
          <w:szCs w:val="22"/>
        </w:rPr>
      </w:pPr>
      <w:r>
        <w:rPr>
          <w:rFonts w:hint="eastAsia" w:ascii="宋体" w:hAnsi="宋体" w:eastAsia="宋体" w:cs="宋体"/>
          <w:bCs/>
          <w:sz w:val="22"/>
          <w:szCs w:val="22"/>
        </w:rPr>
        <w:t>分项的阶段验收及最终验收会</w:t>
      </w:r>
    </w:p>
    <w:p w14:paraId="0CFC5E8B">
      <w:pPr>
        <w:spacing w:line="460" w:lineRule="exact"/>
        <w:outlineLvl w:val="0"/>
        <w:rPr>
          <w:rFonts w:hint="eastAsia" w:ascii="宋体" w:hAnsi="宋体" w:eastAsia="宋体" w:cs="宋体"/>
          <w:b/>
          <w:kern w:val="32"/>
          <w:sz w:val="22"/>
          <w:szCs w:val="22"/>
          <w:lang w:val="zh-CN"/>
        </w:rPr>
      </w:pPr>
      <w:r>
        <w:rPr>
          <w:rFonts w:hint="eastAsia" w:ascii="宋体" w:hAnsi="宋体" w:eastAsia="宋体" w:cs="宋体"/>
          <w:b/>
          <w:kern w:val="32"/>
          <w:sz w:val="22"/>
          <w:szCs w:val="22"/>
        </w:rPr>
        <w:t>六、</w:t>
      </w:r>
      <w:r>
        <w:rPr>
          <w:rFonts w:hint="eastAsia" w:ascii="宋体" w:hAnsi="宋体" w:eastAsia="宋体" w:cs="宋体"/>
          <w:b/>
          <w:kern w:val="32"/>
          <w:sz w:val="22"/>
          <w:szCs w:val="22"/>
          <w:lang w:val="zh-CN"/>
        </w:rPr>
        <w:t>监理组织人员要求</w:t>
      </w:r>
    </w:p>
    <w:p w14:paraId="41F7DEF1">
      <w:pPr>
        <w:spacing w:line="360" w:lineRule="auto"/>
        <w:ind w:firstLine="440" w:firstLineChars="200"/>
        <w:rPr>
          <w:rFonts w:hint="eastAsia" w:ascii="宋体" w:hAnsi="宋体" w:eastAsia="宋体" w:cs="宋体"/>
          <w:color w:val="000000"/>
          <w:sz w:val="22"/>
          <w:szCs w:val="22"/>
          <w:highlight w:val="none"/>
        </w:rPr>
      </w:pPr>
      <w:r>
        <w:rPr>
          <w:rFonts w:hint="eastAsia" w:ascii="宋体" w:hAnsi="宋体" w:eastAsia="宋体" w:cs="宋体"/>
          <w:color w:val="000000"/>
          <w:sz w:val="22"/>
          <w:szCs w:val="22"/>
        </w:rPr>
        <w:t>1.供应商须针对本项目</w:t>
      </w:r>
      <w:r>
        <w:rPr>
          <w:rFonts w:hint="eastAsia" w:ascii="宋体" w:hAnsi="宋体" w:eastAsia="宋体" w:cs="宋体"/>
          <w:color w:val="000000"/>
          <w:sz w:val="22"/>
          <w:szCs w:val="22"/>
          <w:highlight w:val="none"/>
        </w:rPr>
        <w:t>专门成立不少于</w:t>
      </w:r>
      <w:r>
        <w:rPr>
          <w:rFonts w:hint="eastAsia" w:ascii="宋体" w:hAnsi="宋体" w:eastAsia="宋体" w:cs="宋体"/>
          <w:color w:val="000000"/>
          <w:sz w:val="22"/>
          <w:szCs w:val="22"/>
          <w:highlight w:val="none"/>
          <w:lang w:val="en-US" w:eastAsia="zh-CN"/>
        </w:rPr>
        <w:t>5</w:t>
      </w:r>
      <w:r>
        <w:rPr>
          <w:rFonts w:hint="eastAsia" w:ascii="宋体" w:hAnsi="宋体" w:eastAsia="宋体" w:cs="宋体"/>
          <w:color w:val="000000"/>
          <w:sz w:val="22"/>
          <w:szCs w:val="22"/>
          <w:highlight w:val="none"/>
        </w:rPr>
        <w:t>人监理工作组，监理工作组应包括总监理工程师1名，总监理工程师代表1名，监理工程师若干名。</w:t>
      </w:r>
      <w:r>
        <w:rPr>
          <w:rFonts w:hint="eastAsia" w:ascii="宋体" w:hAnsi="宋体" w:eastAsia="宋体" w:cs="宋体"/>
          <w:b/>
          <w:bCs/>
          <w:color w:val="000000"/>
          <w:sz w:val="22"/>
          <w:szCs w:val="22"/>
          <w:highlight w:val="none"/>
          <w:u w:val="single"/>
        </w:rPr>
        <w:t>项目建设期间需常驻监理工程师不少于</w:t>
      </w:r>
      <w:r>
        <w:rPr>
          <w:rFonts w:hint="eastAsia" w:ascii="宋体" w:hAnsi="宋体" w:cs="宋体"/>
          <w:b/>
          <w:bCs/>
          <w:color w:val="000000"/>
          <w:sz w:val="22"/>
          <w:szCs w:val="22"/>
          <w:highlight w:val="none"/>
          <w:u w:val="single"/>
          <w:lang w:val="en-US" w:eastAsia="zh-CN"/>
        </w:rPr>
        <w:t>2</w:t>
      </w:r>
      <w:r>
        <w:rPr>
          <w:rFonts w:hint="eastAsia" w:ascii="宋体" w:hAnsi="宋体" w:eastAsia="宋体" w:cs="宋体"/>
          <w:b/>
          <w:bCs/>
          <w:color w:val="000000"/>
          <w:sz w:val="22"/>
          <w:szCs w:val="22"/>
          <w:highlight w:val="none"/>
          <w:u w:val="single"/>
        </w:rPr>
        <w:t>名（</w:t>
      </w:r>
      <w:r>
        <w:rPr>
          <w:rFonts w:hint="eastAsia" w:ascii="宋体" w:hAnsi="宋体" w:eastAsia="宋体" w:cs="宋体"/>
          <w:b/>
          <w:bCs/>
          <w:color w:val="000000"/>
          <w:sz w:val="22"/>
          <w:szCs w:val="22"/>
          <w:highlight w:val="none"/>
          <w:u w:val="single"/>
          <w:lang w:val="en-US" w:eastAsia="zh-CN"/>
        </w:rPr>
        <w:t>驻场时间</w:t>
      </w:r>
      <w:r>
        <w:rPr>
          <w:rFonts w:hint="eastAsia" w:ascii="宋体" w:hAnsi="宋体" w:eastAsia="宋体" w:cs="宋体"/>
          <w:b/>
          <w:bCs/>
          <w:color w:val="000000"/>
          <w:sz w:val="22"/>
          <w:szCs w:val="22"/>
          <w:highlight w:val="none"/>
          <w:u w:val="single"/>
        </w:rPr>
        <w:t>暂定为：</w:t>
      </w:r>
      <w:r>
        <w:rPr>
          <w:rFonts w:hint="eastAsia" w:ascii="宋体" w:hAnsi="宋体" w:eastAsia="宋体" w:cs="宋体"/>
          <w:b/>
          <w:bCs/>
          <w:color w:val="000000"/>
          <w:sz w:val="22"/>
          <w:szCs w:val="22"/>
          <w:highlight w:val="none"/>
          <w:u w:val="single"/>
          <w:lang w:val="zh-CN"/>
        </w:rPr>
        <w:t>2025年11月-202</w:t>
      </w:r>
      <w:r>
        <w:rPr>
          <w:rFonts w:hint="eastAsia" w:ascii="宋体" w:hAnsi="宋体" w:eastAsia="宋体" w:cs="宋体"/>
          <w:b/>
          <w:bCs/>
          <w:color w:val="000000"/>
          <w:sz w:val="22"/>
          <w:szCs w:val="22"/>
          <w:highlight w:val="none"/>
          <w:u w:val="single"/>
          <w:lang w:val="en-US" w:eastAsia="zh-CN"/>
        </w:rPr>
        <w:t>7</w:t>
      </w:r>
      <w:r>
        <w:rPr>
          <w:rFonts w:hint="eastAsia" w:ascii="宋体" w:hAnsi="宋体" w:eastAsia="宋体" w:cs="宋体"/>
          <w:b/>
          <w:bCs/>
          <w:color w:val="000000"/>
          <w:sz w:val="22"/>
          <w:szCs w:val="22"/>
          <w:highlight w:val="none"/>
          <w:u w:val="single"/>
          <w:lang w:val="zh-CN"/>
        </w:rPr>
        <w:t>年</w:t>
      </w:r>
      <w:r>
        <w:rPr>
          <w:rFonts w:hint="eastAsia" w:ascii="宋体" w:hAnsi="宋体" w:eastAsia="宋体" w:cs="宋体"/>
          <w:b/>
          <w:bCs/>
          <w:color w:val="000000"/>
          <w:sz w:val="22"/>
          <w:szCs w:val="22"/>
          <w:highlight w:val="none"/>
          <w:u w:val="single"/>
          <w:lang w:val="en-US" w:eastAsia="zh-CN"/>
        </w:rPr>
        <w:t>4</w:t>
      </w:r>
      <w:r>
        <w:rPr>
          <w:rFonts w:hint="eastAsia" w:ascii="宋体" w:hAnsi="宋体" w:eastAsia="宋体" w:cs="宋体"/>
          <w:b/>
          <w:bCs/>
          <w:color w:val="000000"/>
          <w:sz w:val="22"/>
          <w:szCs w:val="22"/>
          <w:highlight w:val="none"/>
          <w:u w:val="single"/>
          <w:lang w:val="zh-CN"/>
        </w:rPr>
        <w:t>月</w:t>
      </w:r>
      <w:r>
        <w:rPr>
          <w:rFonts w:hint="eastAsia" w:ascii="宋体" w:hAnsi="宋体" w:eastAsia="宋体" w:cs="宋体"/>
          <w:b/>
          <w:bCs/>
          <w:color w:val="000000"/>
          <w:sz w:val="22"/>
          <w:szCs w:val="22"/>
          <w:highlight w:val="none"/>
          <w:u w:val="single"/>
        </w:rPr>
        <w:t>），且需承诺根据工程进度增派人员，直到项目通过验收。</w:t>
      </w:r>
      <w:r>
        <w:rPr>
          <w:rFonts w:hint="eastAsia" w:ascii="宋体" w:hAnsi="宋体" w:eastAsia="宋体" w:cs="宋体"/>
          <w:color w:val="000000"/>
          <w:sz w:val="22"/>
          <w:szCs w:val="22"/>
          <w:highlight w:val="none"/>
        </w:rPr>
        <w:t>每位成员具有项目经验，并明确工作分工。所有监理人员均须身体健康，以保证项目监理工作有效开展。监理人员必须具有人力资源和社会保障部门颁发的信息系统监理师证书。</w:t>
      </w:r>
    </w:p>
    <w:p w14:paraId="74CF1266">
      <w:pPr>
        <w:spacing w:line="360" w:lineRule="auto"/>
        <w:ind w:firstLine="440" w:firstLineChars="200"/>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2.项目负责人在实施工程期间不得擅自离开温州，确需离开的需向采购单位请假。监理人员不得随意更换，如要更换须书面报采购单位同意。</w:t>
      </w:r>
    </w:p>
    <w:p w14:paraId="396632B9">
      <w:pPr>
        <w:tabs>
          <w:tab w:val="left" w:pos="6651"/>
        </w:tabs>
        <w:spacing w:line="460" w:lineRule="exact"/>
        <w:ind w:firstLine="330" w:firstLineChars="150"/>
        <w:rPr>
          <w:rFonts w:hint="eastAsia" w:ascii="宋体" w:hAnsi="宋体" w:eastAsia="宋体" w:cs="宋体"/>
          <w:color w:val="000000"/>
          <w:sz w:val="22"/>
          <w:szCs w:val="22"/>
        </w:rPr>
      </w:pPr>
      <w:r>
        <w:rPr>
          <w:rFonts w:hint="eastAsia" w:ascii="宋体" w:hAnsi="宋体" w:eastAsia="宋体" w:cs="宋体"/>
          <w:color w:val="000000"/>
          <w:sz w:val="22"/>
          <w:szCs w:val="22"/>
        </w:rPr>
        <w:t>3.监理人员应遵守以下执业规定：</w:t>
      </w:r>
    </w:p>
    <w:p w14:paraId="5BEEE45B">
      <w:pPr>
        <w:pStyle w:val="76"/>
        <w:numPr>
          <w:ilvl w:val="0"/>
          <w:numId w:val="19"/>
        </w:numPr>
        <w:spacing w:line="460" w:lineRule="exact"/>
        <w:ind w:left="703" w:firstLineChars="0"/>
        <w:rPr>
          <w:rFonts w:hint="eastAsia" w:ascii="宋体" w:hAnsi="宋体" w:eastAsia="宋体" w:cs="宋体"/>
          <w:color w:val="000000"/>
          <w:sz w:val="22"/>
          <w:szCs w:val="22"/>
        </w:rPr>
      </w:pPr>
      <w:r>
        <w:rPr>
          <w:rFonts w:hint="eastAsia" w:ascii="宋体" w:hAnsi="宋体" w:eastAsia="宋体" w:cs="宋体"/>
          <w:color w:val="000000"/>
          <w:sz w:val="22"/>
          <w:szCs w:val="22"/>
        </w:rPr>
        <w:t>以“守法、诚信、公正、科学”的准则执业，维护采购方与承建方的合法权益；</w:t>
      </w:r>
    </w:p>
    <w:p w14:paraId="70B42627">
      <w:pPr>
        <w:pStyle w:val="76"/>
        <w:numPr>
          <w:ilvl w:val="0"/>
          <w:numId w:val="19"/>
        </w:numPr>
        <w:spacing w:line="460" w:lineRule="exact"/>
        <w:ind w:left="703" w:firstLineChars="0"/>
        <w:rPr>
          <w:rFonts w:hint="eastAsia" w:ascii="宋体" w:hAnsi="宋体" w:eastAsia="宋体" w:cs="宋体"/>
          <w:color w:val="000000"/>
          <w:sz w:val="22"/>
          <w:szCs w:val="22"/>
        </w:rPr>
      </w:pPr>
      <w:r>
        <w:rPr>
          <w:rFonts w:hint="eastAsia" w:ascii="宋体" w:hAnsi="宋体" w:eastAsia="宋体" w:cs="宋体"/>
          <w:color w:val="000000"/>
          <w:sz w:val="22"/>
          <w:szCs w:val="22"/>
        </w:rPr>
        <w:t>遵守并执行有关项目建设的法律、法规、规范、标准和制度；</w:t>
      </w:r>
    </w:p>
    <w:p w14:paraId="272AF1C4">
      <w:pPr>
        <w:pStyle w:val="76"/>
        <w:numPr>
          <w:ilvl w:val="0"/>
          <w:numId w:val="19"/>
        </w:numPr>
        <w:spacing w:line="460" w:lineRule="exact"/>
        <w:ind w:left="703" w:firstLineChars="0"/>
        <w:rPr>
          <w:rFonts w:hint="eastAsia" w:ascii="宋体" w:hAnsi="宋体" w:eastAsia="宋体" w:cs="宋体"/>
          <w:color w:val="000000"/>
          <w:sz w:val="22"/>
          <w:szCs w:val="22"/>
        </w:rPr>
      </w:pPr>
      <w:r>
        <w:rPr>
          <w:rFonts w:hint="eastAsia" w:ascii="宋体" w:hAnsi="宋体" w:eastAsia="宋体" w:cs="宋体"/>
          <w:color w:val="000000"/>
          <w:sz w:val="22"/>
          <w:szCs w:val="22"/>
        </w:rPr>
        <w:t>认真履行监理合同规定的义务和职责；</w:t>
      </w:r>
    </w:p>
    <w:p w14:paraId="57A612E9">
      <w:pPr>
        <w:pStyle w:val="76"/>
        <w:numPr>
          <w:ilvl w:val="0"/>
          <w:numId w:val="19"/>
        </w:numPr>
        <w:spacing w:line="460" w:lineRule="exact"/>
        <w:ind w:left="703" w:firstLineChars="0"/>
        <w:rPr>
          <w:rFonts w:hint="eastAsia" w:ascii="宋体" w:hAnsi="宋体" w:eastAsia="宋体" w:cs="宋体"/>
          <w:color w:val="000000"/>
          <w:sz w:val="22"/>
          <w:szCs w:val="22"/>
        </w:rPr>
      </w:pPr>
      <w:r>
        <w:rPr>
          <w:rFonts w:hint="eastAsia" w:ascii="宋体" w:hAnsi="宋体" w:eastAsia="宋体" w:cs="宋体"/>
          <w:color w:val="000000"/>
          <w:sz w:val="22"/>
          <w:szCs w:val="22"/>
        </w:rPr>
        <w:t>不收受采购单位与承建单位的礼品或礼金；</w:t>
      </w:r>
    </w:p>
    <w:p w14:paraId="59FA98A2">
      <w:pPr>
        <w:pStyle w:val="76"/>
        <w:numPr>
          <w:ilvl w:val="0"/>
          <w:numId w:val="19"/>
        </w:numPr>
        <w:spacing w:line="460" w:lineRule="exact"/>
        <w:ind w:left="703" w:firstLineChars="0"/>
        <w:rPr>
          <w:rFonts w:hint="eastAsia" w:ascii="宋体" w:hAnsi="宋体" w:eastAsia="宋体" w:cs="宋体"/>
          <w:color w:val="000000"/>
          <w:sz w:val="22"/>
          <w:szCs w:val="22"/>
        </w:rPr>
      </w:pPr>
      <w:r>
        <w:rPr>
          <w:rFonts w:hint="eastAsia" w:ascii="宋体" w:hAnsi="宋体" w:eastAsia="宋体" w:cs="宋体"/>
          <w:color w:val="000000"/>
          <w:sz w:val="22"/>
          <w:szCs w:val="22"/>
        </w:rPr>
        <w:t>不泄漏采购单位与承建单位的合同条款、业务资料、商业秘密以及其他需要保密的事项；</w:t>
      </w:r>
    </w:p>
    <w:p w14:paraId="3CBA2A63">
      <w:pPr>
        <w:pStyle w:val="76"/>
        <w:numPr>
          <w:ilvl w:val="0"/>
          <w:numId w:val="19"/>
        </w:numPr>
        <w:spacing w:line="460" w:lineRule="exact"/>
        <w:ind w:left="703" w:firstLineChars="0"/>
        <w:rPr>
          <w:rFonts w:hint="eastAsia" w:ascii="宋体" w:hAnsi="宋体" w:eastAsia="宋体" w:cs="宋体"/>
          <w:color w:val="000000"/>
          <w:sz w:val="22"/>
          <w:szCs w:val="22"/>
        </w:rPr>
      </w:pPr>
      <w:r>
        <w:rPr>
          <w:rFonts w:hint="eastAsia" w:ascii="宋体" w:hAnsi="宋体" w:eastAsia="宋体" w:cs="宋体"/>
          <w:color w:val="000000"/>
          <w:sz w:val="22"/>
          <w:szCs w:val="22"/>
        </w:rPr>
        <w:t>坚持依据相关规则与规定，公正、独立地协调和处理与监理工作相关的争议问题。</w:t>
      </w:r>
    </w:p>
    <w:p w14:paraId="34B4D6CE">
      <w:pPr>
        <w:spacing w:line="460" w:lineRule="exact"/>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4.监理过程中，监理组人员应按科学、认真的工作态度开展监理工作，并承担建设单位与承建单位的信息保密义务。</w:t>
      </w:r>
    </w:p>
    <w:p w14:paraId="65BA4770">
      <w:pPr>
        <w:spacing w:line="460" w:lineRule="exact"/>
        <w:outlineLvl w:val="0"/>
        <w:rPr>
          <w:rFonts w:hint="eastAsia" w:ascii="宋体" w:hAnsi="宋体" w:eastAsia="宋体" w:cs="宋体"/>
          <w:b/>
          <w:kern w:val="32"/>
          <w:sz w:val="22"/>
          <w:szCs w:val="22"/>
          <w:lang w:val="zh-CN"/>
        </w:rPr>
      </w:pPr>
      <w:r>
        <w:rPr>
          <w:rFonts w:hint="eastAsia" w:ascii="宋体" w:hAnsi="宋体" w:eastAsia="宋体" w:cs="宋体"/>
          <w:b/>
          <w:kern w:val="32"/>
          <w:sz w:val="22"/>
          <w:szCs w:val="22"/>
        </w:rPr>
        <w:t>七、</w:t>
      </w:r>
      <w:r>
        <w:rPr>
          <w:rFonts w:hint="eastAsia" w:ascii="宋体" w:hAnsi="宋体" w:eastAsia="宋体" w:cs="宋体"/>
          <w:b/>
          <w:kern w:val="32"/>
          <w:sz w:val="22"/>
          <w:szCs w:val="22"/>
          <w:lang w:val="zh-CN"/>
        </w:rPr>
        <w:t>其他要求</w:t>
      </w:r>
    </w:p>
    <w:p w14:paraId="44DADD8E">
      <w:pPr>
        <w:spacing w:line="4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监理单位的服务人员均应与采购人签订保密承诺书。在执行服务过程中应严格按照保密承诺书相关要求执行。</w:t>
      </w:r>
    </w:p>
    <w:p w14:paraId="559B60F3">
      <w:pPr>
        <w:spacing w:line="460" w:lineRule="exact"/>
        <w:ind w:firstLine="220" w:firstLineChars="100"/>
        <w:rPr>
          <w:rFonts w:hint="eastAsia" w:ascii="宋体" w:hAnsi="宋体" w:eastAsia="宋体" w:cs="宋体"/>
          <w:sz w:val="22"/>
          <w:szCs w:val="22"/>
        </w:rPr>
      </w:pPr>
      <w:r>
        <w:rPr>
          <w:rFonts w:hint="eastAsia" w:ascii="宋体" w:hAnsi="宋体" w:eastAsia="宋体" w:cs="宋体"/>
          <w:sz w:val="22"/>
          <w:szCs w:val="22"/>
        </w:rPr>
        <w:t>（1）成交人需与采购人签订保密承诺书，所有参与项目监理的人员均需签订保密承诺书，约定在实施过程中的保密条款。在项目监理过程中所生产的与项目建设相关的数据的所有权以及使用权均属于采购人，成交人不能以任何理由泄露、截留、使用（商业或非商业用途）本项目所产生的相关数据，成交人未经本项目采购人的许可，不可在此数据基础上做任何处置。</w:t>
      </w:r>
    </w:p>
    <w:p w14:paraId="3E531D1F">
      <w:pPr>
        <w:spacing w:line="460" w:lineRule="exact"/>
        <w:ind w:firstLine="220" w:firstLineChars="100"/>
        <w:rPr>
          <w:rFonts w:hint="eastAsia" w:ascii="宋体" w:hAnsi="宋体" w:eastAsia="宋体" w:cs="宋体"/>
          <w:sz w:val="22"/>
          <w:szCs w:val="22"/>
        </w:rPr>
      </w:pPr>
      <w:r>
        <w:rPr>
          <w:rFonts w:hint="eastAsia" w:ascii="宋体" w:hAnsi="宋体" w:eastAsia="宋体" w:cs="宋体"/>
          <w:sz w:val="22"/>
          <w:szCs w:val="22"/>
        </w:rPr>
        <w:t>（2）成交人在项目监理过程中，可能涉及到使用涉密数据或接触涉密相关文件、资料、软硬件的，需制定涉密管理办法，规定涉密数据、涉密设备、涉密介质、涉密人员的管理。</w:t>
      </w:r>
    </w:p>
    <w:p w14:paraId="672F74AB">
      <w:pPr>
        <w:rPr>
          <w:rFonts w:hint="eastAsia" w:ascii="宋体" w:hAnsi="宋体" w:eastAsia="宋体" w:cs="宋体"/>
          <w:sz w:val="22"/>
          <w:szCs w:val="22"/>
        </w:rPr>
      </w:pPr>
      <w:r>
        <w:rPr>
          <w:rFonts w:hint="eastAsia" w:ascii="宋体" w:hAnsi="宋体" w:eastAsia="宋体" w:cs="宋体"/>
          <w:sz w:val="22"/>
          <w:szCs w:val="22"/>
        </w:rPr>
        <w:t>（3）双方在采购和履行合同过程中所获悉的对方或有关方的信息、资料、数据均属于保密的内容，双方均有保密义务，除非该信息、资料、数据已经合法公开。</w:t>
      </w:r>
    </w:p>
    <w:p w14:paraId="4C349C38">
      <w:pPr>
        <w:pStyle w:val="2"/>
        <w:spacing w:line="360" w:lineRule="auto"/>
        <w:rPr>
          <w:rStyle w:val="39"/>
          <w:rFonts w:ascii="Times New Roman" w:hAnsi="Times New Roman" w:eastAsia="宋体"/>
          <w:b/>
          <w:bCs/>
          <w:color w:val="auto"/>
          <w:highlight w:val="none"/>
        </w:rPr>
        <w:sectPr>
          <w:headerReference r:id="rId10" w:type="default"/>
          <w:footerReference r:id="rId11" w:type="default"/>
          <w:pgSz w:w="11906" w:h="16838"/>
          <w:pgMar w:top="1134" w:right="1134" w:bottom="1134" w:left="1134" w:header="851" w:footer="851" w:gutter="0"/>
          <w:pgBorders>
            <w:top w:val="none" w:sz="0" w:space="0"/>
            <w:left w:val="none" w:sz="0" w:space="0"/>
            <w:bottom w:val="none" w:sz="0" w:space="0"/>
            <w:right w:val="none" w:sz="0" w:space="0"/>
          </w:pgBorders>
          <w:cols w:space="720" w:num="1"/>
          <w:docGrid w:linePitch="312" w:charSpace="0"/>
        </w:sectPr>
      </w:pPr>
    </w:p>
    <w:p w14:paraId="3B7E9AFF">
      <w:pPr>
        <w:pStyle w:val="2"/>
        <w:spacing w:line="360" w:lineRule="auto"/>
        <w:rPr>
          <w:rFonts w:ascii="Times New Roman" w:eastAsia="宋体"/>
          <w:color w:val="auto"/>
          <w:sz w:val="36"/>
          <w:szCs w:val="36"/>
          <w:highlight w:val="none"/>
        </w:rPr>
      </w:pPr>
      <w:r>
        <w:rPr>
          <w:rStyle w:val="39"/>
          <w:rFonts w:ascii="Times New Roman" w:hAnsi="Times New Roman" w:eastAsia="宋体"/>
          <w:b/>
          <w:bCs/>
          <w:color w:val="auto"/>
          <w:highlight w:val="none"/>
        </w:rPr>
        <w:t>第五部分   评标原则及方法</w:t>
      </w:r>
    </w:p>
    <w:p w14:paraId="0D087F37">
      <w:pPr>
        <w:spacing w:line="360" w:lineRule="auto"/>
        <w:ind w:left="439" w:leftChars="209"/>
        <w:rPr>
          <w:b/>
          <w:color w:val="auto"/>
          <w:sz w:val="22"/>
          <w:szCs w:val="22"/>
          <w:highlight w:val="none"/>
        </w:rPr>
      </w:pPr>
      <w:r>
        <w:rPr>
          <w:b/>
          <w:color w:val="auto"/>
          <w:sz w:val="22"/>
          <w:szCs w:val="22"/>
          <w:highlight w:val="none"/>
        </w:rPr>
        <w:t>根据《温州市市属国有企业采购管理办法》等相关法规特制定以下评标办法。</w:t>
      </w:r>
    </w:p>
    <w:p w14:paraId="521A6D83">
      <w:pPr>
        <w:numPr>
          <w:ilvl w:val="0"/>
          <w:numId w:val="20"/>
        </w:numPr>
        <w:wordWrap w:val="0"/>
        <w:spacing w:line="360" w:lineRule="auto"/>
        <w:outlineLvl w:val="1"/>
        <w:rPr>
          <w:b/>
          <w:bCs/>
          <w:color w:val="auto"/>
          <w:sz w:val="22"/>
          <w:szCs w:val="22"/>
          <w:highlight w:val="none"/>
        </w:rPr>
      </w:pPr>
      <w:r>
        <w:rPr>
          <w:b/>
          <w:bCs/>
          <w:color w:val="auto"/>
          <w:sz w:val="22"/>
          <w:szCs w:val="22"/>
          <w:highlight w:val="none"/>
        </w:rPr>
        <w:t>总  则</w:t>
      </w:r>
    </w:p>
    <w:p w14:paraId="5213B868">
      <w:pPr>
        <w:spacing w:line="360" w:lineRule="auto"/>
        <w:ind w:firstLine="440" w:firstLineChars="200"/>
        <w:rPr>
          <w:color w:val="auto"/>
          <w:sz w:val="22"/>
          <w:szCs w:val="22"/>
          <w:highlight w:val="none"/>
        </w:rPr>
      </w:pPr>
      <w:r>
        <w:rPr>
          <w:color w:val="auto"/>
          <w:sz w:val="22"/>
          <w:szCs w:val="22"/>
          <w:highlight w:val="none"/>
        </w:rPr>
        <w:t>评标工作遵循公平、公正、科学、择优原则和诚实、信誉、效率的服务原则。本着科学、严谨的态度，认真进行评标。择优选用，推进技术进步，确保编制质量、完成时间，节约投资，最大限度的保护当事人权益，严格按照采购文件的商务、技术要求，对投标文件进行综合评定，提出优选方案，编写评标报告。对落标单位，评标委员会不作任何落标解释。</w:t>
      </w:r>
      <w:r>
        <w:rPr>
          <w:b/>
          <w:color w:val="auto"/>
          <w:sz w:val="22"/>
          <w:szCs w:val="22"/>
          <w:highlight w:val="none"/>
        </w:rPr>
        <w:t>投标人不得以任何方式干扰招投标工作的进行，一经发现其投标文件将作无效标处理。</w:t>
      </w:r>
    </w:p>
    <w:p w14:paraId="1DBCC78C">
      <w:pPr>
        <w:numPr>
          <w:ilvl w:val="0"/>
          <w:numId w:val="20"/>
        </w:numPr>
        <w:wordWrap w:val="0"/>
        <w:spacing w:line="360" w:lineRule="auto"/>
        <w:outlineLvl w:val="1"/>
        <w:rPr>
          <w:b/>
          <w:bCs/>
          <w:color w:val="auto"/>
          <w:sz w:val="22"/>
          <w:szCs w:val="22"/>
          <w:highlight w:val="none"/>
        </w:rPr>
      </w:pPr>
      <w:r>
        <w:rPr>
          <w:b/>
          <w:bCs/>
          <w:color w:val="auto"/>
          <w:sz w:val="22"/>
          <w:szCs w:val="22"/>
          <w:highlight w:val="none"/>
        </w:rPr>
        <w:t>评标组织</w:t>
      </w:r>
    </w:p>
    <w:p w14:paraId="24545F36">
      <w:pPr>
        <w:spacing w:line="360" w:lineRule="auto"/>
        <w:ind w:left="439" w:leftChars="209"/>
        <w:rPr>
          <w:color w:val="auto"/>
          <w:sz w:val="22"/>
          <w:szCs w:val="22"/>
          <w:highlight w:val="none"/>
        </w:rPr>
      </w:pPr>
      <w:r>
        <w:rPr>
          <w:color w:val="auto"/>
          <w:sz w:val="22"/>
          <w:szCs w:val="22"/>
          <w:highlight w:val="none"/>
        </w:rPr>
        <w:t>评标工作由采购人依法组建的评标委员会负责，评标全过程由有关部门指导监督。</w:t>
      </w:r>
    </w:p>
    <w:p w14:paraId="7D77AD67">
      <w:pPr>
        <w:numPr>
          <w:ilvl w:val="0"/>
          <w:numId w:val="20"/>
        </w:numPr>
        <w:wordWrap w:val="0"/>
        <w:spacing w:line="360" w:lineRule="auto"/>
        <w:outlineLvl w:val="1"/>
        <w:rPr>
          <w:b/>
          <w:bCs/>
          <w:color w:val="auto"/>
          <w:sz w:val="22"/>
          <w:szCs w:val="22"/>
          <w:highlight w:val="none"/>
        </w:rPr>
      </w:pPr>
      <w:r>
        <w:rPr>
          <w:b/>
          <w:bCs/>
          <w:color w:val="auto"/>
          <w:sz w:val="22"/>
          <w:szCs w:val="22"/>
          <w:highlight w:val="none"/>
        </w:rPr>
        <w:t>评标程序</w:t>
      </w:r>
    </w:p>
    <w:p w14:paraId="67627D4E">
      <w:pPr>
        <w:spacing w:line="360" w:lineRule="auto"/>
        <w:ind w:left="359" w:hanging="358" w:hangingChars="163"/>
        <w:rPr>
          <w:color w:val="auto"/>
          <w:sz w:val="22"/>
          <w:szCs w:val="22"/>
          <w:highlight w:val="none"/>
        </w:rPr>
      </w:pPr>
      <w:r>
        <w:rPr>
          <w:color w:val="auto"/>
          <w:sz w:val="22"/>
          <w:szCs w:val="22"/>
          <w:highlight w:val="none"/>
        </w:rPr>
        <w:t>1.评标委员会对各投标人的投标资格进行审查；然后对合格投标人的</w:t>
      </w:r>
      <w:r>
        <w:rPr>
          <w:rFonts w:hint="eastAsia"/>
          <w:color w:val="auto"/>
          <w:sz w:val="22"/>
          <w:szCs w:val="22"/>
          <w:highlight w:val="none"/>
          <w:lang w:eastAsia="zh-CN"/>
        </w:rPr>
        <w:t>商务技术文件</w:t>
      </w:r>
      <w:r>
        <w:rPr>
          <w:color w:val="auto"/>
          <w:sz w:val="22"/>
          <w:szCs w:val="22"/>
          <w:highlight w:val="none"/>
        </w:rPr>
        <w:t>进行评审；</w:t>
      </w:r>
      <w:r>
        <w:rPr>
          <w:rFonts w:hint="eastAsia"/>
          <w:color w:val="auto"/>
          <w:sz w:val="22"/>
          <w:szCs w:val="22"/>
          <w:highlight w:val="none"/>
          <w:lang w:eastAsia="zh-CN"/>
        </w:rPr>
        <w:t>商务技术文件</w:t>
      </w:r>
      <w:r>
        <w:rPr>
          <w:color w:val="auto"/>
          <w:sz w:val="22"/>
          <w:szCs w:val="22"/>
          <w:highlight w:val="none"/>
        </w:rPr>
        <w:t>评审结束后，对</w:t>
      </w:r>
      <w:r>
        <w:rPr>
          <w:rFonts w:hint="eastAsia"/>
          <w:color w:val="auto"/>
          <w:sz w:val="22"/>
          <w:szCs w:val="22"/>
          <w:highlight w:val="none"/>
          <w:lang w:eastAsia="zh-CN"/>
        </w:rPr>
        <w:t>报价文件</w:t>
      </w:r>
      <w:r>
        <w:rPr>
          <w:color w:val="auto"/>
          <w:sz w:val="22"/>
          <w:szCs w:val="22"/>
          <w:highlight w:val="none"/>
        </w:rPr>
        <w:t>进行评审，最终根据综合评审结果，提交评审报告。</w:t>
      </w:r>
    </w:p>
    <w:p w14:paraId="21A274F6">
      <w:pPr>
        <w:spacing w:line="360" w:lineRule="auto"/>
        <w:rPr>
          <w:b/>
          <w:color w:val="auto"/>
          <w:sz w:val="22"/>
          <w:szCs w:val="22"/>
          <w:highlight w:val="none"/>
        </w:rPr>
      </w:pPr>
      <w:r>
        <w:rPr>
          <w:color w:val="auto"/>
          <w:sz w:val="22"/>
          <w:szCs w:val="22"/>
          <w:highlight w:val="none"/>
        </w:rPr>
        <w:t>2.</w:t>
      </w:r>
      <w:r>
        <w:rPr>
          <w:b/>
          <w:color w:val="auto"/>
          <w:sz w:val="22"/>
          <w:szCs w:val="22"/>
          <w:highlight w:val="none"/>
        </w:rPr>
        <w:t>根据《温州市市属国有企业采购管理办法》相关条款规定，投标文件递交截止时间止及评审期间，出现有效投标人不足3家的情况，按流标处理，重新组织采购。</w:t>
      </w:r>
    </w:p>
    <w:p w14:paraId="59FEC46E">
      <w:pPr>
        <w:numPr>
          <w:ilvl w:val="0"/>
          <w:numId w:val="20"/>
        </w:numPr>
        <w:wordWrap w:val="0"/>
        <w:spacing w:line="360" w:lineRule="auto"/>
        <w:outlineLvl w:val="1"/>
        <w:rPr>
          <w:b/>
          <w:bCs/>
          <w:color w:val="auto"/>
          <w:sz w:val="22"/>
          <w:szCs w:val="22"/>
          <w:highlight w:val="none"/>
        </w:rPr>
      </w:pPr>
      <w:r>
        <w:rPr>
          <w:b/>
          <w:bCs/>
          <w:color w:val="auto"/>
          <w:sz w:val="22"/>
          <w:szCs w:val="22"/>
          <w:highlight w:val="none"/>
        </w:rPr>
        <w:t xml:space="preserve">评标办法 </w:t>
      </w:r>
    </w:p>
    <w:p w14:paraId="60AE211D">
      <w:pPr>
        <w:spacing w:line="360" w:lineRule="auto"/>
        <w:ind w:firstLine="440" w:firstLineChars="200"/>
        <w:rPr>
          <w:b/>
          <w:color w:val="auto"/>
          <w:sz w:val="22"/>
          <w:szCs w:val="22"/>
          <w:highlight w:val="none"/>
        </w:rPr>
      </w:pPr>
      <w:r>
        <w:rPr>
          <w:color w:val="auto"/>
          <w:sz w:val="22"/>
          <w:szCs w:val="22"/>
          <w:highlight w:val="none"/>
        </w:rPr>
        <w:t>本次采购采用百分制综合评分法，即投标人最大限度地满足采购文件实质性要求的基础上，按照采购文件的各项因素进行综合评审后，以评标总得分最高的投标人和次高的投标人作为第一和第二排序的中标候选人的评标方法。根据采购要求，</w:t>
      </w:r>
      <w:r>
        <w:rPr>
          <w:rFonts w:hint="eastAsia"/>
          <w:b/>
          <w:color w:val="auto"/>
          <w:sz w:val="22"/>
          <w:szCs w:val="22"/>
          <w:highlight w:val="none"/>
        </w:rPr>
        <w:t>总分为</w:t>
      </w:r>
      <w:r>
        <w:rPr>
          <w:b/>
          <w:color w:val="auto"/>
          <w:sz w:val="22"/>
          <w:szCs w:val="22"/>
          <w:highlight w:val="none"/>
        </w:rPr>
        <w:t>100</w:t>
      </w:r>
      <w:r>
        <w:rPr>
          <w:rFonts w:hint="eastAsia"/>
          <w:b/>
          <w:color w:val="auto"/>
          <w:sz w:val="22"/>
          <w:szCs w:val="22"/>
          <w:highlight w:val="none"/>
        </w:rPr>
        <w:t>分，其中商务技术分</w:t>
      </w:r>
      <w:r>
        <w:rPr>
          <w:rFonts w:hint="eastAsia"/>
          <w:b/>
          <w:color w:val="auto"/>
          <w:sz w:val="22"/>
          <w:szCs w:val="22"/>
          <w:highlight w:val="none"/>
          <w:lang w:val="en-US" w:eastAsia="zh-CN"/>
        </w:rPr>
        <w:t>8</w:t>
      </w:r>
      <w:r>
        <w:rPr>
          <w:rFonts w:hint="eastAsia"/>
          <w:b/>
          <w:color w:val="auto"/>
          <w:sz w:val="22"/>
          <w:szCs w:val="22"/>
          <w:highlight w:val="none"/>
          <w:lang w:eastAsia="zh-CN"/>
        </w:rPr>
        <w:t>0</w:t>
      </w:r>
      <w:r>
        <w:rPr>
          <w:rFonts w:hint="eastAsia"/>
          <w:b/>
          <w:color w:val="auto"/>
          <w:sz w:val="22"/>
          <w:szCs w:val="22"/>
          <w:highlight w:val="none"/>
        </w:rPr>
        <w:t>分，报价分</w:t>
      </w:r>
      <w:r>
        <w:rPr>
          <w:rFonts w:hint="eastAsia"/>
          <w:b/>
          <w:color w:val="auto"/>
          <w:sz w:val="22"/>
          <w:szCs w:val="22"/>
          <w:highlight w:val="none"/>
          <w:lang w:val="en-US" w:eastAsia="zh-CN"/>
        </w:rPr>
        <w:t>2</w:t>
      </w:r>
      <w:r>
        <w:rPr>
          <w:rFonts w:hint="eastAsia"/>
          <w:b/>
          <w:color w:val="auto"/>
          <w:sz w:val="22"/>
          <w:szCs w:val="22"/>
          <w:highlight w:val="none"/>
          <w:lang w:eastAsia="zh-CN"/>
        </w:rPr>
        <w:t>0</w:t>
      </w:r>
      <w:r>
        <w:rPr>
          <w:rFonts w:hint="eastAsia"/>
          <w:b/>
          <w:color w:val="auto"/>
          <w:sz w:val="22"/>
          <w:szCs w:val="22"/>
          <w:highlight w:val="none"/>
        </w:rPr>
        <w:t>分。</w:t>
      </w:r>
    </w:p>
    <w:p w14:paraId="2C035C12">
      <w:pPr>
        <w:numPr>
          <w:ilvl w:val="0"/>
          <w:numId w:val="20"/>
        </w:numPr>
        <w:wordWrap w:val="0"/>
        <w:spacing w:line="360" w:lineRule="auto"/>
        <w:outlineLvl w:val="1"/>
        <w:rPr>
          <w:b/>
          <w:bCs/>
          <w:color w:val="auto"/>
          <w:sz w:val="22"/>
          <w:szCs w:val="22"/>
          <w:highlight w:val="none"/>
        </w:rPr>
      </w:pPr>
      <w:r>
        <w:rPr>
          <w:b/>
          <w:bCs/>
          <w:color w:val="auto"/>
          <w:sz w:val="22"/>
          <w:szCs w:val="22"/>
          <w:highlight w:val="none"/>
        </w:rPr>
        <w:t>评分细则</w:t>
      </w:r>
    </w:p>
    <w:p w14:paraId="75F26332">
      <w:pPr>
        <w:spacing w:line="360" w:lineRule="auto"/>
        <w:rPr>
          <w:b/>
          <w:color w:val="auto"/>
          <w:sz w:val="22"/>
          <w:szCs w:val="22"/>
          <w:highlight w:val="none"/>
        </w:rPr>
      </w:pPr>
      <w:r>
        <w:rPr>
          <w:b/>
          <w:color w:val="auto"/>
          <w:sz w:val="22"/>
          <w:szCs w:val="22"/>
          <w:highlight w:val="none"/>
        </w:rPr>
        <w:t>1.技术商务标评分（</w:t>
      </w:r>
      <w:r>
        <w:rPr>
          <w:rFonts w:hint="eastAsia"/>
          <w:b/>
          <w:color w:val="auto"/>
          <w:sz w:val="22"/>
          <w:szCs w:val="22"/>
          <w:highlight w:val="none"/>
          <w:lang w:val="en-US" w:eastAsia="zh-CN"/>
        </w:rPr>
        <w:t>8</w:t>
      </w:r>
      <w:r>
        <w:rPr>
          <w:rFonts w:hint="eastAsia"/>
          <w:b/>
          <w:color w:val="auto"/>
          <w:sz w:val="22"/>
          <w:szCs w:val="22"/>
          <w:highlight w:val="none"/>
          <w:lang w:eastAsia="zh-CN"/>
        </w:rPr>
        <w:t>0</w:t>
      </w:r>
      <w:r>
        <w:rPr>
          <w:b/>
          <w:color w:val="auto"/>
          <w:sz w:val="22"/>
          <w:szCs w:val="22"/>
          <w:highlight w:val="none"/>
        </w:rPr>
        <w:t>分）</w:t>
      </w:r>
    </w:p>
    <w:p w14:paraId="20A8B13E">
      <w:pPr>
        <w:spacing w:line="360" w:lineRule="auto"/>
        <w:ind w:firstLine="440" w:firstLineChars="200"/>
        <w:rPr>
          <w:color w:val="auto"/>
          <w:highlight w:val="none"/>
        </w:rPr>
      </w:pPr>
      <w:r>
        <w:rPr>
          <w:color w:val="auto"/>
          <w:sz w:val="22"/>
          <w:szCs w:val="22"/>
          <w:highlight w:val="none"/>
        </w:rPr>
        <w:t>各评委成员按下列评分项目进行评判，每人一张评分表，并记名。投标文件各项评分内容由评标委员会成员各自评分。各评标委员会成员对各投标人的各项评分内容进行评审、独立打分，评标委员会成员对投标人的各项评分内容评分的合计分的算术平均值为该投标人技术资信的最终得分。</w:t>
      </w:r>
    </w:p>
    <w:tbl>
      <w:tblPr>
        <w:tblStyle w:val="29"/>
        <w:tblW w:w="4926"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1200"/>
        <w:gridCol w:w="6629"/>
        <w:gridCol w:w="1240"/>
      </w:tblGrid>
      <w:tr w14:paraId="7E9044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9" w:type="pct"/>
            <w:tcBorders>
              <w:tl2br w:val="nil"/>
              <w:tr2bl w:val="nil"/>
            </w:tcBorders>
            <w:noWrap w:val="0"/>
            <w:vAlign w:val="center"/>
          </w:tcPr>
          <w:p w14:paraId="5164DA12">
            <w:pPr>
              <w:pStyle w:val="8"/>
              <w:adjustRightInd w:val="0"/>
              <w:snapToGrid w:val="0"/>
              <w:spacing w:before="60" w:after="60" w:line="240" w:lineRule="auto"/>
              <w:jc w:val="center"/>
              <w:rPr>
                <w:rFonts w:ascii="宋体" w:hAnsi="宋体"/>
                <w:b/>
                <w:sz w:val="22"/>
              </w:rPr>
            </w:pPr>
            <w:r>
              <w:rPr>
                <w:rFonts w:hint="eastAsia" w:ascii="宋体" w:hAnsi="宋体"/>
                <w:b/>
                <w:sz w:val="22"/>
              </w:rPr>
              <w:t>序号</w:t>
            </w:r>
          </w:p>
        </w:tc>
        <w:tc>
          <w:tcPr>
            <w:tcW w:w="4031" w:type="pct"/>
            <w:gridSpan w:val="2"/>
            <w:tcBorders>
              <w:tl2br w:val="nil"/>
              <w:tr2bl w:val="nil"/>
            </w:tcBorders>
            <w:noWrap w:val="0"/>
            <w:vAlign w:val="center"/>
          </w:tcPr>
          <w:p w14:paraId="246CBE7E">
            <w:pPr>
              <w:pStyle w:val="8"/>
              <w:adjustRightInd w:val="0"/>
              <w:snapToGrid w:val="0"/>
              <w:spacing w:before="60" w:after="60" w:line="240" w:lineRule="auto"/>
              <w:ind w:firstLine="442"/>
              <w:jc w:val="center"/>
              <w:rPr>
                <w:rFonts w:ascii="宋体" w:hAnsi="宋体"/>
                <w:b/>
                <w:sz w:val="22"/>
              </w:rPr>
            </w:pPr>
            <w:r>
              <w:rPr>
                <w:rFonts w:hint="eastAsia" w:ascii="宋体" w:hAnsi="宋体"/>
                <w:b/>
                <w:sz w:val="22"/>
              </w:rPr>
              <w:t>评分内容</w:t>
            </w:r>
          </w:p>
        </w:tc>
        <w:tc>
          <w:tcPr>
            <w:tcW w:w="638" w:type="pct"/>
            <w:tcBorders>
              <w:tl2br w:val="nil"/>
              <w:tr2bl w:val="nil"/>
            </w:tcBorders>
            <w:noWrap w:val="0"/>
            <w:vAlign w:val="center"/>
          </w:tcPr>
          <w:p w14:paraId="3AFB5C1D">
            <w:pPr>
              <w:pStyle w:val="8"/>
              <w:adjustRightInd w:val="0"/>
              <w:snapToGrid w:val="0"/>
              <w:spacing w:before="60" w:after="60" w:line="240" w:lineRule="auto"/>
              <w:jc w:val="center"/>
              <w:rPr>
                <w:rFonts w:ascii="宋体" w:hAnsi="宋体"/>
                <w:bCs/>
                <w:sz w:val="22"/>
              </w:rPr>
            </w:pPr>
            <w:r>
              <w:rPr>
                <w:rFonts w:hint="eastAsia" w:ascii="宋体" w:hAnsi="宋体"/>
                <w:bCs/>
                <w:sz w:val="22"/>
              </w:rPr>
              <w:t>分值范围</w:t>
            </w:r>
          </w:p>
        </w:tc>
      </w:tr>
      <w:tr w14:paraId="3F3BB7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9" w:type="pct"/>
            <w:vMerge w:val="restart"/>
            <w:tcBorders>
              <w:tl2br w:val="nil"/>
              <w:tr2bl w:val="nil"/>
            </w:tcBorders>
            <w:noWrap w:val="0"/>
            <w:vAlign w:val="center"/>
          </w:tcPr>
          <w:p w14:paraId="2BEAB885">
            <w:pPr>
              <w:pStyle w:val="14"/>
              <w:widowControl w:val="0"/>
              <w:snapToGrid w:val="0"/>
              <w:spacing w:before="60" w:after="60" w:line="240" w:lineRule="auto"/>
              <w:ind w:firstLine="0"/>
              <w:jc w:val="center"/>
              <w:rPr>
                <w:rFonts w:hAnsi="宋体"/>
                <w:sz w:val="22"/>
                <w:szCs w:val="22"/>
              </w:rPr>
            </w:pPr>
            <w:r>
              <w:rPr>
                <w:rFonts w:hint="eastAsia" w:hAnsi="宋体"/>
                <w:sz w:val="22"/>
                <w:szCs w:val="22"/>
              </w:rPr>
              <w:t>1</w:t>
            </w:r>
          </w:p>
        </w:tc>
        <w:tc>
          <w:tcPr>
            <w:tcW w:w="618" w:type="pct"/>
            <w:vMerge w:val="restart"/>
            <w:tcBorders>
              <w:tl2br w:val="nil"/>
              <w:tr2bl w:val="nil"/>
            </w:tcBorders>
            <w:noWrap w:val="0"/>
            <w:vAlign w:val="center"/>
          </w:tcPr>
          <w:p w14:paraId="524688B7">
            <w:pPr>
              <w:pStyle w:val="14"/>
              <w:snapToGrid w:val="0"/>
              <w:spacing w:before="60" w:after="60" w:line="240" w:lineRule="auto"/>
              <w:ind w:firstLine="0"/>
              <w:jc w:val="center"/>
              <w:rPr>
                <w:rFonts w:hAnsi="宋体"/>
                <w:bCs/>
                <w:kern w:val="2"/>
                <w:sz w:val="22"/>
                <w:szCs w:val="22"/>
              </w:rPr>
            </w:pPr>
            <w:r>
              <w:rPr>
                <w:rFonts w:hint="eastAsia" w:hAnsi="宋体"/>
                <w:bCs/>
                <w:kern w:val="2"/>
                <w:sz w:val="22"/>
                <w:szCs w:val="22"/>
              </w:rPr>
              <w:t>监理技术方案</w:t>
            </w:r>
          </w:p>
          <w:p w14:paraId="19C0AFCF">
            <w:pPr>
              <w:pStyle w:val="14"/>
              <w:snapToGrid w:val="0"/>
              <w:spacing w:before="60" w:after="60" w:line="240" w:lineRule="auto"/>
              <w:ind w:firstLine="0"/>
              <w:jc w:val="center"/>
              <w:rPr>
                <w:rFonts w:hAnsi="宋体"/>
                <w:sz w:val="22"/>
                <w:szCs w:val="22"/>
              </w:rPr>
            </w:pPr>
            <w:r>
              <w:rPr>
                <w:rFonts w:hint="eastAsia" w:hAnsi="宋体"/>
                <w:bCs/>
                <w:kern w:val="2"/>
                <w:sz w:val="22"/>
                <w:szCs w:val="22"/>
              </w:rPr>
              <w:t>（</w:t>
            </w:r>
            <w:r>
              <w:rPr>
                <w:rFonts w:hint="eastAsia" w:hAnsi="宋体"/>
                <w:bCs/>
                <w:kern w:val="2"/>
                <w:sz w:val="22"/>
                <w:szCs w:val="22"/>
                <w:lang w:val="en-US" w:eastAsia="zh-CN"/>
              </w:rPr>
              <w:t>51</w:t>
            </w:r>
            <w:r>
              <w:rPr>
                <w:rFonts w:hint="eastAsia" w:hAnsi="宋体"/>
                <w:bCs/>
                <w:kern w:val="2"/>
                <w:sz w:val="22"/>
                <w:szCs w:val="22"/>
              </w:rPr>
              <w:t>分）</w:t>
            </w:r>
          </w:p>
        </w:tc>
        <w:tc>
          <w:tcPr>
            <w:tcW w:w="3412" w:type="pct"/>
            <w:tcBorders>
              <w:tl2br w:val="nil"/>
              <w:tr2bl w:val="nil"/>
            </w:tcBorders>
            <w:noWrap w:val="0"/>
            <w:vAlign w:val="center"/>
          </w:tcPr>
          <w:p w14:paraId="5C2241D5">
            <w:pPr>
              <w:spacing w:before="60" w:after="60" w:line="240" w:lineRule="auto"/>
              <w:jc w:val="left"/>
              <w:rPr>
                <w:rFonts w:ascii="宋体" w:hAnsi="宋体"/>
                <w:snapToGrid w:val="0"/>
                <w:sz w:val="22"/>
              </w:rPr>
            </w:pPr>
            <w:r>
              <w:rPr>
                <w:rFonts w:hint="eastAsia" w:ascii="宋体" w:hAnsi="宋体"/>
                <w:sz w:val="22"/>
              </w:rPr>
              <w:t>根据项目的业务情况、信息化建设现状及对本建设项目的深刻理解及熟悉程度打分（横向比较评定）。</w:t>
            </w:r>
          </w:p>
        </w:tc>
        <w:tc>
          <w:tcPr>
            <w:tcW w:w="638" w:type="pct"/>
            <w:tcBorders>
              <w:tl2br w:val="nil"/>
              <w:tr2bl w:val="nil"/>
            </w:tcBorders>
            <w:noWrap w:val="0"/>
            <w:vAlign w:val="center"/>
          </w:tcPr>
          <w:p w14:paraId="04582219">
            <w:pPr>
              <w:pStyle w:val="12"/>
              <w:autoSpaceDE/>
              <w:autoSpaceDN/>
              <w:snapToGrid w:val="0"/>
              <w:spacing w:before="60" w:after="60" w:line="240" w:lineRule="auto"/>
              <w:jc w:val="center"/>
              <w:rPr>
                <w:rFonts w:hAnsi="宋体" w:eastAsia="宋体"/>
                <w:b w:val="0"/>
                <w:color w:val="auto"/>
                <w:sz w:val="22"/>
                <w:lang w:val="zh-CN"/>
              </w:rPr>
            </w:pPr>
            <w:r>
              <w:rPr>
                <w:rFonts w:hint="eastAsia" w:hAnsi="宋体" w:eastAsia="宋体"/>
                <w:b w:val="0"/>
                <w:color w:val="auto"/>
                <w:sz w:val="22"/>
                <w:lang w:val="zh-CN"/>
              </w:rPr>
              <w:t>0-</w:t>
            </w:r>
            <w:r>
              <w:rPr>
                <w:rFonts w:hint="eastAsia" w:hAnsi="宋体" w:eastAsia="宋体"/>
                <w:b w:val="0"/>
                <w:color w:val="auto"/>
                <w:sz w:val="22"/>
                <w:lang w:val="en-US" w:eastAsia="zh-CN"/>
              </w:rPr>
              <w:t>6</w:t>
            </w:r>
            <w:r>
              <w:rPr>
                <w:rFonts w:hint="eastAsia" w:hAnsi="宋体" w:eastAsia="宋体"/>
                <w:b w:val="0"/>
                <w:color w:val="auto"/>
                <w:sz w:val="22"/>
                <w:lang w:val="zh-CN"/>
              </w:rPr>
              <w:t>分</w:t>
            </w:r>
          </w:p>
        </w:tc>
      </w:tr>
      <w:tr w14:paraId="5E1CFA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9" w:type="pct"/>
            <w:vMerge w:val="continue"/>
            <w:tcBorders>
              <w:tl2br w:val="nil"/>
              <w:tr2bl w:val="nil"/>
            </w:tcBorders>
            <w:noWrap w:val="0"/>
            <w:vAlign w:val="center"/>
          </w:tcPr>
          <w:p w14:paraId="3A0BA353">
            <w:pPr>
              <w:pStyle w:val="14"/>
              <w:snapToGrid w:val="0"/>
              <w:spacing w:before="60" w:after="60" w:line="240" w:lineRule="auto"/>
              <w:jc w:val="center"/>
              <w:rPr>
                <w:rFonts w:hAnsi="宋体"/>
                <w:sz w:val="22"/>
                <w:szCs w:val="22"/>
              </w:rPr>
            </w:pPr>
          </w:p>
        </w:tc>
        <w:tc>
          <w:tcPr>
            <w:tcW w:w="618" w:type="pct"/>
            <w:vMerge w:val="continue"/>
            <w:tcBorders>
              <w:tl2br w:val="nil"/>
              <w:tr2bl w:val="nil"/>
            </w:tcBorders>
            <w:noWrap w:val="0"/>
            <w:vAlign w:val="center"/>
          </w:tcPr>
          <w:p w14:paraId="61B5A8DA">
            <w:pPr>
              <w:pStyle w:val="14"/>
              <w:snapToGrid w:val="0"/>
              <w:spacing w:before="60" w:after="60" w:line="240" w:lineRule="auto"/>
              <w:jc w:val="center"/>
              <w:rPr>
                <w:rFonts w:hAnsi="宋体"/>
                <w:sz w:val="22"/>
                <w:szCs w:val="22"/>
              </w:rPr>
            </w:pPr>
          </w:p>
        </w:tc>
        <w:tc>
          <w:tcPr>
            <w:tcW w:w="3412" w:type="pct"/>
            <w:tcBorders>
              <w:tl2br w:val="nil"/>
              <w:tr2bl w:val="nil"/>
            </w:tcBorders>
            <w:noWrap w:val="0"/>
            <w:vAlign w:val="center"/>
          </w:tcPr>
          <w:p w14:paraId="27DE2791">
            <w:pPr>
              <w:spacing w:before="60" w:after="60" w:line="240" w:lineRule="auto"/>
              <w:jc w:val="left"/>
              <w:rPr>
                <w:rFonts w:ascii="宋体" w:hAnsi="宋体"/>
                <w:snapToGrid w:val="0"/>
                <w:sz w:val="22"/>
              </w:rPr>
            </w:pPr>
            <w:r>
              <w:rPr>
                <w:rFonts w:hint="eastAsia" w:ascii="宋体" w:hAnsi="宋体"/>
                <w:snapToGrid w:val="0"/>
                <w:sz w:val="22"/>
              </w:rPr>
              <w:t>质量控制的目标、内容、方法及措施。</w:t>
            </w:r>
          </w:p>
        </w:tc>
        <w:tc>
          <w:tcPr>
            <w:tcW w:w="638" w:type="pct"/>
            <w:tcBorders>
              <w:tl2br w:val="nil"/>
              <w:tr2bl w:val="nil"/>
            </w:tcBorders>
            <w:noWrap w:val="0"/>
            <w:vAlign w:val="center"/>
          </w:tcPr>
          <w:p w14:paraId="0577A0C1">
            <w:pPr>
              <w:pStyle w:val="12"/>
              <w:autoSpaceDE/>
              <w:autoSpaceDN/>
              <w:snapToGrid w:val="0"/>
              <w:spacing w:before="60" w:after="60" w:line="240" w:lineRule="auto"/>
              <w:jc w:val="center"/>
              <w:rPr>
                <w:rFonts w:hAnsi="宋体" w:eastAsia="宋体"/>
                <w:b w:val="0"/>
                <w:color w:val="auto"/>
                <w:sz w:val="22"/>
                <w:lang w:val="zh-CN"/>
              </w:rPr>
            </w:pPr>
            <w:r>
              <w:rPr>
                <w:rFonts w:hint="eastAsia" w:hAnsi="宋体" w:eastAsia="宋体"/>
                <w:b w:val="0"/>
                <w:color w:val="auto"/>
                <w:sz w:val="22"/>
                <w:lang w:val="zh-CN"/>
              </w:rPr>
              <w:t>0-</w:t>
            </w:r>
            <w:r>
              <w:rPr>
                <w:rFonts w:hint="eastAsia" w:hAnsi="宋体" w:eastAsia="宋体"/>
                <w:b w:val="0"/>
                <w:color w:val="auto"/>
                <w:sz w:val="22"/>
                <w:lang w:val="en-US" w:eastAsia="zh-CN"/>
              </w:rPr>
              <w:t>6</w:t>
            </w:r>
            <w:r>
              <w:rPr>
                <w:rFonts w:hint="eastAsia" w:hAnsi="宋体" w:eastAsia="宋体"/>
                <w:b w:val="0"/>
                <w:color w:val="auto"/>
                <w:sz w:val="22"/>
                <w:lang w:val="zh-CN"/>
              </w:rPr>
              <w:t>分</w:t>
            </w:r>
          </w:p>
        </w:tc>
      </w:tr>
      <w:tr w14:paraId="347B10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9" w:type="pct"/>
            <w:vMerge w:val="continue"/>
            <w:tcBorders>
              <w:tl2br w:val="nil"/>
              <w:tr2bl w:val="nil"/>
            </w:tcBorders>
            <w:noWrap w:val="0"/>
            <w:vAlign w:val="center"/>
          </w:tcPr>
          <w:p w14:paraId="5F285CC7">
            <w:pPr>
              <w:pStyle w:val="14"/>
              <w:snapToGrid w:val="0"/>
              <w:spacing w:before="60" w:after="60" w:line="240" w:lineRule="auto"/>
              <w:jc w:val="center"/>
              <w:rPr>
                <w:rFonts w:hAnsi="宋体"/>
                <w:sz w:val="22"/>
                <w:szCs w:val="22"/>
              </w:rPr>
            </w:pPr>
          </w:p>
        </w:tc>
        <w:tc>
          <w:tcPr>
            <w:tcW w:w="618" w:type="pct"/>
            <w:vMerge w:val="continue"/>
            <w:tcBorders>
              <w:tl2br w:val="nil"/>
              <w:tr2bl w:val="nil"/>
            </w:tcBorders>
            <w:noWrap w:val="0"/>
            <w:vAlign w:val="center"/>
          </w:tcPr>
          <w:p w14:paraId="141F9338">
            <w:pPr>
              <w:pStyle w:val="14"/>
              <w:snapToGrid w:val="0"/>
              <w:spacing w:before="60" w:after="60" w:line="240" w:lineRule="auto"/>
              <w:jc w:val="center"/>
              <w:rPr>
                <w:rFonts w:hAnsi="宋体"/>
                <w:sz w:val="22"/>
                <w:szCs w:val="22"/>
              </w:rPr>
            </w:pPr>
          </w:p>
        </w:tc>
        <w:tc>
          <w:tcPr>
            <w:tcW w:w="3412" w:type="pct"/>
            <w:tcBorders>
              <w:tl2br w:val="nil"/>
              <w:tr2bl w:val="nil"/>
            </w:tcBorders>
            <w:noWrap w:val="0"/>
            <w:vAlign w:val="center"/>
          </w:tcPr>
          <w:p w14:paraId="74EA56D0">
            <w:pPr>
              <w:spacing w:before="60" w:after="60" w:line="240" w:lineRule="auto"/>
              <w:jc w:val="left"/>
              <w:rPr>
                <w:rFonts w:ascii="宋体" w:hAnsi="宋体"/>
                <w:snapToGrid w:val="0"/>
                <w:sz w:val="22"/>
              </w:rPr>
            </w:pPr>
            <w:r>
              <w:rPr>
                <w:rFonts w:hint="eastAsia" w:ascii="宋体" w:hAnsi="宋体"/>
                <w:snapToGrid w:val="0"/>
                <w:sz w:val="22"/>
              </w:rPr>
              <w:t>进度控制的目标及内容、方法及措施。</w:t>
            </w:r>
          </w:p>
        </w:tc>
        <w:tc>
          <w:tcPr>
            <w:tcW w:w="638" w:type="pct"/>
            <w:tcBorders>
              <w:tl2br w:val="nil"/>
              <w:tr2bl w:val="nil"/>
            </w:tcBorders>
            <w:noWrap w:val="0"/>
            <w:vAlign w:val="center"/>
          </w:tcPr>
          <w:p w14:paraId="65124527">
            <w:pPr>
              <w:pStyle w:val="12"/>
              <w:autoSpaceDE/>
              <w:autoSpaceDN/>
              <w:snapToGrid w:val="0"/>
              <w:spacing w:before="60" w:after="60" w:line="240" w:lineRule="auto"/>
              <w:jc w:val="center"/>
              <w:rPr>
                <w:rFonts w:hAnsi="宋体" w:eastAsia="宋体"/>
                <w:b w:val="0"/>
                <w:color w:val="auto"/>
                <w:sz w:val="22"/>
                <w:lang w:val="zh-CN"/>
              </w:rPr>
            </w:pPr>
            <w:r>
              <w:rPr>
                <w:rFonts w:hint="eastAsia" w:hAnsi="宋体" w:eastAsia="宋体"/>
                <w:b w:val="0"/>
                <w:color w:val="auto"/>
                <w:sz w:val="22"/>
                <w:lang w:val="zh-CN"/>
              </w:rPr>
              <w:t>0-</w:t>
            </w:r>
            <w:r>
              <w:rPr>
                <w:rFonts w:hint="eastAsia" w:hAnsi="宋体" w:eastAsia="宋体"/>
                <w:b w:val="0"/>
                <w:color w:val="auto"/>
                <w:sz w:val="22"/>
                <w:lang w:val="en-US" w:eastAsia="zh-CN"/>
              </w:rPr>
              <w:t>6</w:t>
            </w:r>
            <w:r>
              <w:rPr>
                <w:rFonts w:hint="eastAsia" w:hAnsi="宋体" w:eastAsia="宋体"/>
                <w:b w:val="0"/>
                <w:color w:val="auto"/>
                <w:sz w:val="22"/>
                <w:lang w:val="zh-CN"/>
              </w:rPr>
              <w:t>分</w:t>
            </w:r>
          </w:p>
        </w:tc>
      </w:tr>
      <w:tr w14:paraId="1F109F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9" w:type="pct"/>
            <w:vMerge w:val="continue"/>
            <w:tcBorders>
              <w:tl2br w:val="nil"/>
              <w:tr2bl w:val="nil"/>
            </w:tcBorders>
            <w:noWrap w:val="0"/>
            <w:vAlign w:val="center"/>
          </w:tcPr>
          <w:p w14:paraId="20980476">
            <w:pPr>
              <w:pStyle w:val="14"/>
              <w:snapToGrid w:val="0"/>
              <w:spacing w:before="60" w:after="60" w:line="240" w:lineRule="auto"/>
              <w:jc w:val="center"/>
              <w:rPr>
                <w:rFonts w:hAnsi="宋体"/>
                <w:sz w:val="22"/>
                <w:szCs w:val="22"/>
              </w:rPr>
            </w:pPr>
          </w:p>
        </w:tc>
        <w:tc>
          <w:tcPr>
            <w:tcW w:w="618" w:type="pct"/>
            <w:vMerge w:val="continue"/>
            <w:tcBorders>
              <w:tl2br w:val="nil"/>
              <w:tr2bl w:val="nil"/>
            </w:tcBorders>
            <w:noWrap w:val="0"/>
            <w:vAlign w:val="center"/>
          </w:tcPr>
          <w:p w14:paraId="1831024A">
            <w:pPr>
              <w:pStyle w:val="14"/>
              <w:snapToGrid w:val="0"/>
              <w:spacing w:before="60" w:after="60" w:line="240" w:lineRule="auto"/>
              <w:jc w:val="center"/>
              <w:rPr>
                <w:rFonts w:hAnsi="宋体"/>
                <w:sz w:val="22"/>
                <w:szCs w:val="22"/>
              </w:rPr>
            </w:pPr>
          </w:p>
        </w:tc>
        <w:tc>
          <w:tcPr>
            <w:tcW w:w="3412" w:type="pct"/>
            <w:tcBorders>
              <w:tl2br w:val="nil"/>
              <w:tr2bl w:val="nil"/>
            </w:tcBorders>
            <w:noWrap w:val="0"/>
            <w:vAlign w:val="center"/>
          </w:tcPr>
          <w:p w14:paraId="3F33D6EF">
            <w:pPr>
              <w:spacing w:before="60" w:after="60" w:line="240" w:lineRule="auto"/>
              <w:jc w:val="left"/>
              <w:rPr>
                <w:rFonts w:ascii="宋体" w:hAnsi="宋体"/>
                <w:snapToGrid w:val="0"/>
                <w:sz w:val="22"/>
              </w:rPr>
            </w:pPr>
            <w:r>
              <w:rPr>
                <w:rFonts w:hint="eastAsia" w:ascii="宋体" w:hAnsi="宋体"/>
                <w:snapToGrid w:val="0"/>
                <w:sz w:val="22"/>
              </w:rPr>
              <w:t>投资控制的目标、方法及措施。</w:t>
            </w:r>
          </w:p>
        </w:tc>
        <w:tc>
          <w:tcPr>
            <w:tcW w:w="638" w:type="pct"/>
            <w:tcBorders>
              <w:tl2br w:val="nil"/>
              <w:tr2bl w:val="nil"/>
            </w:tcBorders>
            <w:noWrap w:val="0"/>
            <w:vAlign w:val="center"/>
          </w:tcPr>
          <w:p w14:paraId="30AC7F55">
            <w:pPr>
              <w:pStyle w:val="12"/>
              <w:autoSpaceDE/>
              <w:autoSpaceDN/>
              <w:snapToGrid w:val="0"/>
              <w:spacing w:before="60" w:after="60" w:line="240" w:lineRule="auto"/>
              <w:jc w:val="center"/>
              <w:rPr>
                <w:rFonts w:hAnsi="宋体" w:eastAsia="宋体"/>
                <w:b w:val="0"/>
                <w:color w:val="auto"/>
                <w:sz w:val="22"/>
                <w:lang w:val="zh-CN"/>
              </w:rPr>
            </w:pPr>
            <w:r>
              <w:rPr>
                <w:rFonts w:hint="eastAsia" w:hAnsi="宋体" w:eastAsia="宋体"/>
                <w:b w:val="0"/>
                <w:color w:val="auto"/>
                <w:sz w:val="22"/>
                <w:lang w:val="zh-CN"/>
              </w:rPr>
              <w:t>0-</w:t>
            </w:r>
            <w:r>
              <w:rPr>
                <w:rFonts w:hint="eastAsia" w:hAnsi="宋体" w:eastAsia="宋体"/>
                <w:b w:val="0"/>
                <w:color w:val="auto"/>
                <w:sz w:val="22"/>
                <w:lang w:val="en-US" w:eastAsia="zh-CN"/>
              </w:rPr>
              <w:t>6</w:t>
            </w:r>
            <w:r>
              <w:rPr>
                <w:rFonts w:hint="eastAsia" w:hAnsi="宋体" w:eastAsia="宋体"/>
                <w:b w:val="0"/>
                <w:color w:val="auto"/>
                <w:sz w:val="22"/>
                <w:lang w:val="zh-CN"/>
              </w:rPr>
              <w:t>分</w:t>
            </w:r>
          </w:p>
        </w:tc>
      </w:tr>
      <w:tr w14:paraId="46CCDD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9" w:type="pct"/>
            <w:vMerge w:val="continue"/>
            <w:tcBorders>
              <w:tl2br w:val="nil"/>
              <w:tr2bl w:val="nil"/>
            </w:tcBorders>
            <w:noWrap w:val="0"/>
            <w:vAlign w:val="center"/>
          </w:tcPr>
          <w:p w14:paraId="039A3539">
            <w:pPr>
              <w:pStyle w:val="14"/>
              <w:snapToGrid w:val="0"/>
              <w:spacing w:before="60" w:after="60" w:line="240" w:lineRule="auto"/>
              <w:jc w:val="center"/>
              <w:rPr>
                <w:rFonts w:hAnsi="宋体"/>
                <w:sz w:val="22"/>
                <w:szCs w:val="22"/>
              </w:rPr>
            </w:pPr>
          </w:p>
        </w:tc>
        <w:tc>
          <w:tcPr>
            <w:tcW w:w="618" w:type="pct"/>
            <w:vMerge w:val="continue"/>
            <w:tcBorders>
              <w:tl2br w:val="nil"/>
              <w:tr2bl w:val="nil"/>
            </w:tcBorders>
            <w:noWrap w:val="0"/>
            <w:vAlign w:val="center"/>
          </w:tcPr>
          <w:p w14:paraId="5E7AB1DF">
            <w:pPr>
              <w:pStyle w:val="14"/>
              <w:snapToGrid w:val="0"/>
              <w:spacing w:before="60" w:after="60" w:line="240" w:lineRule="auto"/>
              <w:jc w:val="center"/>
              <w:rPr>
                <w:rFonts w:hAnsi="宋体"/>
                <w:sz w:val="22"/>
                <w:szCs w:val="22"/>
              </w:rPr>
            </w:pPr>
          </w:p>
        </w:tc>
        <w:tc>
          <w:tcPr>
            <w:tcW w:w="3412" w:type="pct"/>
            <w:tcBorders>
              <w:tl2br w:val="nil"/>
              <w:tr2bl w:val="nil"/>
            </w:tcBorders>
            <w:noWrap w:val="0"/>
            <w:vAlign w:val="center"/>
          </w:tcPr>
          <w:p w14:paraId="0BBC9676">
            <w:pPr>
              <w:spacing w:before="60" w:after="60" w:line="240" w:lineRule="auto"/>
              <w:jc w:val="left"/>
              <w:rPr>
                <w:rFonts w:ascii="宋体" w:hAnsi="宋体"/>
                <w:snapToGrid w:val="0"/>
                <w:sz w:val="22"/>
              </w:rPr>
            </w:pPr>
            <w:r>
              <w:rPr>
                <w:rFonts w:hint="eastAsia" w:ascii="宋体" w:hAnsi="宋体"/>
                <w:snapToGrid w:val="0"/>
                <w:sz w:val="22"/>
              </w:rPr>
              <w:t>合同管理的目标、方法及措施。</w:t>
            </w:r>
          </w:p>
        </w:tc>
        <w:tc>
          <w:tcPr>
            <w:tcW w:w="638" w:type="pct"/>
            <w:tcBorders>
              <w:tl2br w:val="nil"/>
              <w:tr2bl w:val="nil"/>
            </w:tcBorders>
            <w:noWrap w:val="0"/>
            <w:vAlign w:val="center"/>
          </w:tcPr>
          <w:p w14:paraId="3FE4A196">
            <w:pPr>
              <w:pStyle w:val="12"/>
              <w:autoSpaceDE/>
              <w:autoSpaceDN/>
              <w:snapToGrid w:val="0"/>
              <w:spacing w:before="60" w:after="60" w:line="240" w:lineRule="auto"/>
              <w:jc w:val="center"/>
              <w:rPr>
                <w:rFonts w:hAnsi="宋体" w:eastAsia="宋体"/>
                <w:b w:val="0"/>
                <w:color w:val="auto"/>
                <w:sz w:val="22"/>
                <w:lang w:val="zh-CN"/>
              </w:rPr>
            </w:pPr>
            <w:r>
              <w:rPr>
                <w:rFonts w:hint="eastAsia" w:hAnsi="宋体" w:eastAsia="宋体"/>
                <w:b w:val="0"/>
                <w:color w:val="auto"/>
                <w:sz w:val="22"/>
                <w:lang w:val="zh-CN"/>
              </w:rPr>
              <w:t>0-</w:t>
            </w:r>
            <w:r>
              <w:rPr>
                <w:rFonts w:hint="eastAsia" w:hAnsi="宋体" w:eastAsia="宋体"/>
                <w:b w:val="0"/>
                <w:color w:val="auto"/>
                <w:sz w:val="22"/>
                <w:lang w:val="en-US" w:eastAsia="zh-CN"/>
              </w:rPr>
              <w:t>6</w:t>
            </w:r>
            <w:r>
              <w:rPr>
                <w:rFonts w:hint="eastAsia" w:hAnsi="宋体" w:eastAsia="宋体"/>
                <w:b w:val="0"/>
                <w:color w:val="auto"/>
                <w:sz w:val="22"/>
                <w:lang w:val="zh-CN"/>
              </w:rPr>
              <w:t>分</w:t>
            </w:r>
          </w:p>
        </w:tc>
      </w:tr>
      <w:tr w14:paraId="5338DE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9" w:type="pct"/>
            <w:vMerge w:val="continue"/>
            <w:tcBorders>
              <w:tl2br w:val="nil"/>
              <w:tr2bl w:val="nil"/>
            </w:tcBorders>
            <w:noWrap w:val="0"/>
            <w:vAlign w:val="center"/>
          </w:tcPr>
          <w:p w14:paraId="543A4031">
            <w:pPr>
              <w:pStyle w:val="14"/>
              <w:snapToGrid w:val="0"/>
              <w:spacing w:before="60" w:after="60" w:line="240" w:lineRule="auto"/>
              <w:jc w:val="center"/>
              <w:rPr>
                <w:rFonts w:hAnsi="宋体"/>
                <w:sz w:val="22"/>
                <w:szCs w:val="22"/>
              </w:rPr>
            </w:pPr>
          </w:p>
        </w:tc>
        <w:tc>
          <w:tcPr>
            <w:tcW w:w="618" w:type="pct"/>
            <w:vMerge w:val="continue"/>
            <w:tcBorders>
              <w:tl2br w:val="nil"/>
              <w:tr2bl w:val="nil"/>
            </w:tcBorders>
            <w:noWrap w:val="0"/>
            <w:vAlign w:val="center"/>
          </w:tcPr>
          <w:p w14:paraId="5F5BDBB8">
            <w:pPr>
              <w:pStyle w:val="14"/>
              <w:snapToGrid w:val="0"/>
              <w:spacing w:before="60" w:after="60" w:line="240" w:lineRule="auto"/>
              <w:jc w:val="center"/>
              <w:rPr>
                <w:rFonts w:hAnsi="宋体"/>
                <w:sz w:val="22"/>
                <w:szCs w:val="22"/>
              </w:rPr>
            </w:pPr>
          </w:p>
        </w:tc>
        <w:tc>
          <w:tcPr>
            <w:tcW w:w="3412" w:type="pct"/>
            <w:tcBorders>
              <w:tl2br w:val="nil"/>
              <w:tr2bl w:val="nil"/>
            </w:tcBorders>
            <w:noWrap w:val="0"/>
            <w:vAlign w:val="center"/>
          </w:tcPr>
          <w:p w14:paraId="461FA20E">
            <w:pPr>
              <w:spacing w:before="60" w:after="60" w:line="240" w:lineRule="auto"/>
              <w:jc w:val="left"/>
              <w:rPr>
                <w:rFonts w:ascii="宋体" w:hAnsi="宋体"/>
                <w:snapToGrid w:val="0"/>
                <w:sz w:val="22"/>
              </w:rPr>
            </w:pPr>
            <w:r>
              <w:rPr>
                <w:rFonts w:hint="eastAsia" w:ascii="宋体" w:hAnsi="宋体"/>
                <w:snapToGrid w:val="0"/>
                <w:sz w:val="22"/>
              </w:rPr>
              <w:t>信息管理的目标、方法及措施。</w:t>
            </w:r>
          </w:p>
        </w:tc>
        <w:tc>
          <w:tcPr>
            <w:tcW w:w="638" w:type="pct"/>
            <w:tcBorders>
              <w:tl2br w:val="nil"/>
              <w:tr2bl w:val="nil"/>
            </w:tcBorders>
            <w:noWrap w:val="0"/>
            <w:vAlign w:val="center"/>
          </w:tcPr>
          <w:p w14:paraId="23528C77">
            <w:pPr>
              <w:pStyle w:val="12"/>
              <w:autoSpaceDE/>
              <w:autoSpaceDN/>
              <w:snapToGrid w:val="0"/>
              <w:spacing w:before="60" w:after="60" w:line="240" w:lineRule="auto"/>
              <w:jc w:val="center"/>
              <w:rPr>
                <w:rFonts w:hAnsi="宋体" w:eastAsia="宋体"/>
                <w:b w:val="0"/>
                <w:color w:val="auto"/>
                <w:sz w:val="22"/>
                <w:lang w:val="zh-CN"/>
              </w:rPr>
            </w:pPr>
            <w:r>
              <w:rPr>
                <w:rFonts w:hint="eastAsia" w:hAnsi="宋体" w:eastAsia="宋体"/>
                <w:b w:val="0"/>
                <w:color w:val="auto"/>
                <w:sz w:val="22"/>
                <w:lang w:val="zh-CN"/>
              </w:rPr>
              <w:t>0-</w:t>
            </w:r>
            <w:r>
              <w:rPr>
                <w:rFonts w:hint="eastAsia" w:hAnsi="宋体"/>
                <w:b w:val="0"/>
                <w:color w:val="auto"/>
                <w:sz w:val="22"/>
                <w:lang w:val="en-US" w:eastAsia="zh-CN"/>
              </w:rPr>
              <w:t>6</w:t>
            </w:r>
            <w:r>
              <w:rPr>
                <w:rFonts w:hint="eastAsia" w:hAnsi="宋体" w:eastAsia="宋体"/>
                <w:b w:val="0"/>
                <w:color w:val="auto"/>
                <w:sz w:val="22"/>
                <w:lang w:val="zh-CN"/>
              </w:rPr>
              <w:t>分</w:t>
            </w:r>
          </w:p>
        </w:tc>
      </w:tr>
      <w:tr w14:paraId="39285D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9" w:type="pct"/>
            <w:vMerge w:val="continue"/>
            <w:tcBorders>
              <w:tl2br w:val="nil"/>
              <w:tr2bl w:val="nil"/>
            </w:tcBorders>
            <w:noWrap w:val="0"/>
            <w:vAlign w:val="center"/>
          </w:tcPr>
          <w:p w14:paraId="54B3A9F4">
            <w:pPr>
              <w:pStyle w:val="14"/>
              <w:snapToGrid w:val="0"/>
              <w:spacing w:before="60" w:after="60" w:line="240" w:lineRule="auto"/>
              <w:jc w:val="center"/>
              <w:rPr>
                <w:rFonts w:hAnsi="宋体"/>
                <w:sz w:val="22"/>
                <w:szCs w:val="22"/>
              </w:rPr>
            </w:pPr>
          </w:p>
        </w:tc>
        <w:tc>
          <w:tcPr>
            <w:tcW w:w="618" w:type="pct"/>
            <w:vMerge w:val="continue"/>
            <w:tcBorders>
              <w:tl2br w:val="nil"/>
              <w:tr2bl w:val="nil"/>
            </w:tcBorders>
            <w:noWrap w:val="0"/>
            <w:vAlign w:val="center"/>
          </w:tcPr>
          <w:p w14:paraId="1DCA3503">
            <w:pPr>
              <w:pStyle w:val="14"/>
              <w:snapToGrid w:val="0"/>
              <w:spacing w:before="60" w:after="60" w:line="240" w:lineRule="auto"/>
              <w:jc w:val="center"/>
              <w:rPr>
                <w:rFonts w:hAnsi="宋体"/>
                <w:sz w:val="22"/>
                <w:szCs w:val="22"/>
              </w:rPr>
            </w:pPr>
          </w:p>
        </w:tc>
        <w:tc>
          <w:tcPr>
            <w:tcW w:w="3412" w:type="pct"/>
            <w:tcBorders>
              <w:tl2br w:val="nil"/>
              <w:tr2bl w:val="nil"/>
            </w:tcBorders>
            <w:noWrap w:val="0"/>
            <w:vAlign w:val="center"/>
          </w:tcPr>
          <w:p w14:paraId="46181F76">
            <w:pPr>
              <w:spacing w:before="60" w:after="60" w:line="240" w:lineRule="auto"/>
              <w:jc w:val="left"/>
              <w:rPr>
                <w:rFonts w:ascii="宋体" w:hAnsi="宋体"/>
                <w:snapToGrid w:val="0"/>
                <w:sz w:val="22"/>
              </w:rPr>
            </w:pPr>
            <w:r>
              <w:rPr>
                <w:rFonts w:hint="eastAsia" w:ascii="宋体" w:hAnsi="宋体"/>
                <w:snapToGrid w:val="0"/>
                <w:sz w:val="22"/>
              </w:rPr>
              <w:t>组织协调的方法评价</w:t>
            </w:r>
            <w:r>
              <w:rPr>
                <w:rFonts w:hint="eastAsia" w:ascii="宋体" w:hAnsi="宋体"/>
                <w:sz w:val="22"/>
              </w:rPr>
              <w:t>。</w:t>
            </w:r>
          </w:p>
        </w:tc>
        <w:tc>
          <w:tcPr>
            <w:tcW w:w="638" w:type="pct"/>
            <w:tcBorders>
              <w:tl2br w:val="nil"/>
              <w:tr2bl w:val="nil"/>
            </w:tcBorders>
            <w:noWrap w:val="0"/>
            <w:vAlign w:val="center"/>
          </w:tcPr>
          <w:p w14:paraId="6F7D1D49">
            <w:pPr>
              <w:pStyle w:val="12"/>
              <w:autoSpaceDE/>
              <w:autoSpaceDN/>
              <w:snapToGrid w:val="0"/>
              <w:spacing w:before="60" w:after="60" w:line="240" w:lineRule="auto"/>
              <w:jc w:val="center"/>
              <w:rPr>
                <w:rFonts w:hAnsi="宋体" w:eastAsia="宋体"/>
                <w:b w:val="0"/>
                <w:color w:val="auto"/>
                <w:sz w:val="22"/>
                <w:lang w:val="zh-CN"/>
              </w:rPr>
            </w:pPr>
            <w:r>
              <w:rPr>
                <w:rFonts w:hint="eastAsia" w:hAnsi="宋体" w:eastAsia="宋体"/>
                <w:b w:val="0"/>
                <w:color w:val="auto"/>
                <w:sz w:val="22"/>
                <w:lang w:val="zh-CN"/>
              </w:rPr>
              <w:t>0-5分</w:t>
            </w:r>
          </w:p>
        </w:tc>
      </w:tr>
      <w:tr w14:paraId="1ED62F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9" w:type="pct"/>
            <w:vMerge w:val="continue"/>
            <w:tcBorders>
              <w:tl2br w:val="nil"/>
              <w:tr2bl w:val="nil"/>
            </w:tcBorders>
            <w:noWrap w:val="0"/>
            <w:vAlign w:val="center"/>
          </w:tcPr>
          <w:p w14:paraId="7B5A4D51">
            <w:pPr>
              <w:pStyle w:val="14"/>
              <w:snapToGrid w:val="0"/>
              <w:spacing w:before="60" w:after="60" w:line="240" w:lineRule="auto"/>
              <w:jc w:val="center"/>
              <w:rPr>
                <w:rFonts w:hAnsi="宋体"/>
                <w:sz w:val="22"/>
                <w:szCs w:val="22"/>
              </w:rPr>
            </w:pPr>
          </w:p>
        </w:tc>
        <w:tc>
          <w:tcPr>
            <w:tcW w:w="618" w:type="pct"/>
            <w:vMerge w:val="continue"/>
            <w:tcBorders>
              <w:tl2br w:val="nil"/>
              <w:tr2bl w:val="nil"/>
            </w:tcBorders>
            <w:noWrap w:val="0"/>
            <w:vAlign w:val="center"/>
          </w:tcPr>
          <w:p w14:paraId="7F5A035E">
            <w:pPr>
              <w:pStyle w:val="14"/>
              <w:snapToGrid w:val="0"/>
              <w:spacing w:before="60" w:after="60" w:line="240" w:lineRule="auto"/>
              <w:jc w:val="center"/>
              <w:rPr>
                <w:rFonts w:hAnsi="宋体"/>
                <w:sz w:val="22"/>
                <w:szCs w:val="22"/>
              </w:rPr>
            </w:pPr>
          </w:p>
        </w:tc>
        <w:tc>
          <w:tcPr>
            <w:tcW w:w="3412" w:type="pct"/>
            <w:tcBorders>
              <w:tl2br w:val="nil"/>
              <w:tr2bl w:val="nil"/>
            </w:tcBorders>
            <w:noWrap w:val="0"/>
            <w:vAlign w:val="center"/>
          </w:tcPr>
          <w:p w14:paraId="0A28336E">
            <w:pPr>
              <w:spacing w:before="60" w:after="60" w:line="240" w:lineRule="auto"/>
              <w:jc w:val="left"/>
              <w:rPr>
                <w:rFonts w:ascii="宋体" w:hAnsi="宋体"/>
                <w:snapToGrid w:val="0"/>
                <w:sz w:val="22"/>
              </w:rPr>
            </w:pPr>
            <w:r>
              <w:rPr>
                <w:rFonts w:hint="eastAsia" w:ascii="宋体" w:hAnsi="宋体"/>
                <w:snapToGrid w:val="0"/>
                <w:sz w:val="22"/>
              </w:rPr>
              <w:t>用于本项目监理的检测设备设施及工具</w:t>
            </w:r>
            <w:r>
              <w:rPr>
                <w:rFonts w:hint="eastAsia" w:ascii="宋体" w:hAnsi="宋体"/>
                <w:sz w:val="22"/>
              </w:rPr>
              <w:t>。</w:t>
            </w:r>
          </w:p>
        </w:tc>
        <w:tc>
          <w:tcPr>
            <w:tcW w:w="638" w:type="pct"/>
            <w:tcBorders>
              <w:tl2br w:val="nil"/>
              <w:tr2bl w:val="nil"/>
            </w:tcBorders>
            <w:noWrap w:val="0"/>
            <w:vAlign w:val="center"/>
          </w:tcPr>
          <w:p w14:paraId="753A78A8">
            <w:pPr>
              <w:pStyle w:val="12"/>
              <w:autoSpaceDE/>
              <w:autoSpaceDN/>
              <w:snapToGrid w:val="0"/>
              <w:spacing w:before="60" w:after="60" w:line="240" w:lineRule="auto"/>
              <w:jc w:val="center"/>
              <w:rPr>
                <w:rFonts w:hAnsi="宋体" w:eastAsia="宋体"/>
                <w:b w:val="0"/>
                <w:color w:val="auto"/>
                <w:sz w:val="22"/>
                <w:lang w:val="zh-CN"/>
              </w:rPr>
            </w:pPr>
            <w:r>
              <w:rPr>
                <w:rFonts w:hint="eastAsia" w:hAnsi="宋体" w:eastAsia="宋体"/>
                <w:b w:val="0"/>
                <w:color w:val="auto"/>
                <w:sz w:val="22"/>
                <w:lang w:val="zh-CN"/>
              </w:rPr>
              <w:t>0-</w:t>
            </w:r>
            <w:r>
              <w:rPr>
                <w:rFonts w:hint="eastAsia" w:hAnsi="宋体"/>
                <w:b w:val="0"/>
                <w:color w:val="auto"/>
                <w:sz w:val="22"/>
                <w:lang w:val="en-US" w:eastAsia="zh-CN"/>
              </w:rPr>
              <w:t>5</w:t>
            </w:r>
            <w:r>
              <w:rPr>
                <w:rFonts w:hint="eastAsia" w:hAnsi="宋体" w:eastAsia="宋体"/>
                <w:b w:val="0"/>
                <w:color w:val="auto"/>
                <w:sz w:val="22"/>
                <w:lang w:val="zh-CN"/>
              </w:rPr>
              <w:t>分</w:t>
            </w:r>
          </w:p>
        </w:tc>
      </w:tr>
      <w:tr w14:paraId="19D352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9" w:type="pct"/>
            <w:vMerge w:val="continue"/>
            <w:tcBorders>
              <w:tl2br w:val="nil"/>
              <w:tr2bl w:val="nil"/>
            </w:tcBorders>
            <w:noWrap w:val="0"/>
            <w:vAlign w:val="center"/>
          </w:tcPr>
          <w:p w14:paraId="42977453">
            <w:pPr>
              <w:pStyle w:val="14"/>
              <w:snapToGrid w:val="0"/>
              <w:spacing w:before="60" w:after="60" w:line="240" w:lineRule="auto"/>
              <w:jc w:val="center"/>
              <w:rPr>
                <w:rFonts w:hAnsi="宋体"/>
                <w:sz w:val="22"/>
                <w:szCs w:val="22"/>
              </w:rPr>
            </w:pPr>
          </w:p>
        </w:tc>
        <w:tc>
          <w:tcPr>
            <w:tcW w:w="618" w:type="pct"/>
            <w:vMerge w:val="continue"/>
            <w:tcBorders>
              <w:tl2br w:val="nil"/>
              <w:tr2bl w:val="nil"/>
            </w:tcBorders>
            <w:noWrap w:val="0"/>
            <w:vAlign w:val="center"/>
          </w:tcPr>
          <w:p w14:paraId="5B061BEC">
            <w:pPr>
              <w:pStyle w:val="14"/>
              <w:snapToGrid w:val="0"/>
              <w:spacing w:before="60" w:after="60" w:line="240" w:lineRule="auto"/>
              <w:jc w:val="center"/>
              <w:rPr>
                <w:rFonts w:hAnsi="宋体"/>
                <w:sz w:val="22"/>
                <w:szCs w:val="22"/>
              </w:rPr>
            </w:pPr>
          </w:p>
        </w:tc>
        <w:tc>
          <w:tcPr>
            <w:tcW w:w="3412" w:type="pct"/>
            <w:tcBorders>
              <w:tl2br w:val="nil"/>
              <w:tr2bl w:val="nil"/>
            </w:tcBorders>
            <w:noWrap w:val="0"/>
            <w:vAlign w:val="center"/>
          </w:tcPr>
          <w:p w14:paraId="3AF03C0A">
            <w:pPr>
              <w:pStyle w:val="8"/>
              <w:adjustRightInd w:val="0"/>
              <w:snapToGrid w:val="0"/>
              <w:spacing w:before="60" w:after="60" w:line="240" w:lineRule="auto"/>
              <w:jc w:val="left"/>
              <w:rPr>
                <w:rFonts w:ascii="宋体" w:hAnsi="宋体"/>
                <w:sz w:val="22"/>
              </w:rPr>
            </w:pPr>
            <w:r>
              <w:rPr>
                <w:rFonts w:hint="eastAsia" w:ascii="宋体" w:hAnsi="宋体"/>
                <w:sz w:val="22"/>
              </w:rPr>
              <w:t>对本项目建设的合理化建议</w:t>
            </w:r>
          </w:p>
        </w:tc>
        <w:tc>
          <w:tcPr>
            <w:tcW w:w="638" w:type="pct"/>
            <w:tcBorders>
              <w:tl2br w:val="nil"/>
              <w:tr2bl w:val="nil"/>
            </w:tcBorders>
            <w:noWrap w:val="0"/>
            <w:vAlign w:val="center"/>
          </w:tcPr>
          <w:p w14:paraId="53BB8D92">
            <w:pPr>
              <w:pStyle w:val="12"/>
              <w:autoSpaceDE/>
              <w:autoSpaceDN/>
              <w:snapToGrid w:val="0"/>
              <w:spacing w:before="60" w:after="60" w:line="240" w:lineRule="auto"/>
              <w:jc w:val="center"/>
              <w:rPr>
                <w:rFonts w:hAnsi="宋体" w:eastAsia="宋体"/>
                <w:b w:val="0"/>
                <w:color w:val="auto"/>
                <w:sz w:val="22"/>
                <w:lang w:val="zh-CN"/>
              </w:rPr>
            </w:pPr>
            <w:r>
              <w:rPr>
                <w:rFonts w:hint="eastAsia" w:hAnsi="宋体" w:eastAsia="宋体"/>
                <w:b w:val="0"/>
                <w:color w:val="auto"/>
                <w:sz w:val="22"/>
                <w:lang w:val="zh-CN"/>
              </w:rPr>
              <w:t>0-</w:t>
            </w:r>
            <w:r>
              <w:rPr>
                <w:rFonts w:hint="eastAsia" w:hAnsi="宋体" w:eastAsia="宋体"/>
                <w:b w:val="0"/>
                <w:color w:val="auto"/>
                <w:sz w:val="22"/>
                <w:lang w:val="en-US" w:eastAsia="zh-CN"/>
              </w:rPr>
              <w:t>5</w:t>
            </w:r>
            <w:r>
              <w:rPr>
                <w:rFonts w:hint="eastAsia" w:hAnsi="宋体" w:eastAsia="宋体"/>
                <w:b w:val="0"/>
                <w:color w:val="auto"/>
                <w:sz w:val="22"/>
                <w:lang w:val="zh-CN"/>
              </w:rPr>
              <w:t>分</w:t>
            </w:r>
          </w:p>
        </w:tc>
      </w:tr>
      <w:tr w14:paraId="0A9E21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9" w:type="pct"/>
            <w:vMerge w:val="restart"/>
            <w:tcBorders>
              <w:tl2br w:val="nil"/>
              <w:tr2bl w:val="nil"/>
            </w:tcBorders>
            <w:noWrap w:val="0"/>
            <w:vAlign w:val="center"/>
          </w:tcPr>
          <w:p w14:paraId="13AB330D">
            <w:pPr>
              <w:pStyle w:val="14"/>
              <w:snapToGrid w:val="0"/>
              <w:spacing w:before="60" w:after="60" w:line="240" w:lineRule="auto"/>
              <w:ind w:left="420" w:leftChars="-43" w:hanging="510" w:hangingChars="232"/>
              <w:jc w:val="center"/>
              <w:rPr>
                <w:rFonts w:hAnsi="宋体"/>
                <w:sz w:val="22"/>
                <w:szCs w:val="22"/>
              </w:rPr>
            </w:pPr>
            <w:r>
              <w:rPr>
                <w:rFonts w:hint="eastAsia" w:hAnsi="宋体"/>
                <w:sz w:val="22"/>
                <w:szCs w:val="22"/>
              </w:rPr>
              <w:t>2</w:t>
            </w:r>
          </w:p>
        </w:tc>
        <w:tc>
          <w:tcPr>
            <w:tcW w:w="618" w:type="pct"/>
            <w:vMerge w:val="restart"/>
            <w:tcBorders>
              <w:tl2br w:val="nil"/>
              <w:tr2bl w:val="nil"/>
            </w:tcBorders>
            <w:noWrap w:val="0"/>
            <w:vAlign w:val="center"/>
          </w:tcPr>
          <w:p w14:paraId="02E87B23">
            <w:pPr>
              <w:widowControl/>
              <w:spacing w:before="60" w:after="60" w:line="240" w:lineRule="auto"/>
              <w:jc w:val="center"/>
              <w:rPr>
                <w:rFonts w:ascii="宋体" w:hAnsi="宋体"/>
                <w:sz w:val="22"/>
              </w:rPr>
            </w:pPr>
            <w:r>
              <w:rPr>
                <w:rFonts w:hint="eastAsia" w:ascii="宋体" w:hAnsi="宋体"/>
                <w:bCs/>
                <w:sz w:val="22"/>
              </w:rPr>
              <w:t>项目管理机构配备情况（</w:t>
            </w:r>
            <w:r>
              <w:rPr>
                <w:rFonts w:hint="eastAsia" w:ascii="宋体" w:hAnsi="宋体"/>
                <w:bCs/>
                <w:sz w:val="22"/>
                <w:lang w:val="en-US" w:eastAsia="zh-CN"/>
              </w:rPr>
              <w:t>5</w:t>
            </w:r>
            <w:r>
              <w:rPr>
                <w:rFonts w:hint="eastAsia" w:ascii="宋体" w:hAnsi="宋体"/>
                <w:bCs/>
                <w:sz w:val="22"/>
              </w:rPr>
              <w:t>分）</w:t>
            </w:r>
          </w:p>
        </w:tc>
        <w:tc>
          <w:tcPr>
            <w:tcW w:w="3412" w:type="pct"/>
            <w:tcBorders>
              <w:tl2br w:val="nil"/>
              <w:tr2bl w:val="nil"/>
            </w:tcBorders>
            <w:noWrap w:val="0"/>
            <w:vAlign w:val="center"/>
          </w:tcPr>
          <w:p w14:paraId="395EEE73">
            <w:pPr>
              <w:spacing w:before="60" w:after="60" w:line="240" w:lineRule="auto"/>
              <w:jc w:val="left"/>
              <w:rPr>
                <w:rFonts w:ascii="宋体" w:hAnsi="宋体"/>
                <w:snapToGrid w:val="0"/>
                <w:sz w:val="22"/>
              </w:rPr>
            </w:pPr>
            <w:r>
              <w:rPr>
                <w:rFonts w:hint="eastAsia" w:ascii="宋体" w:hAnsi="宋体"/>
                <w:snapToGrid w:val="0"/>
                <w:sz w:val="22"/>
              </w:rPr>
              <w:t xml:space="preserve">拟委派项目组成员资历进行综合评定。 </w:t>
            </w:r>
          </w:p>
          <w:p w14:paraId="7962122B">
            <w:pPr>
              <w:spacing w:before="60" w:after="60" w:line="240" w:lineRule="auto"/>
              <w:jc w:val="left"/>
              <w:rPr>
                <w:rFonts w:ascii="宋体" w:hAnsi="宋体"/>
                <w:snapToGrid w:val="0"/>
                <w:sz w:val="22"/>
              </w:rPr>
            </w:pPr>
            <w:r>
              <w:rPr>
                <w:rFonts w:hint="eastAsia" w:ascii="宋体" w:hAnsi="宋体"/>
                <w:snapToGrid w:val="0"/>
                <w:sz w:val="22"/>
              </w:rPr>
              <w:t>项目负责人拥有咨询工程师（投资）登记证书、信息系统项目管理师（高级）证书</w:t>
            </w:r>
            <w:r>
              <w:rPr>
                <w:rFonts w:hint="eastAsia" w:ascii="宋体" w:hAnsi="宋体"/>
                <w:snapToGrid w:val="0"/>
                <w:sz w:val="22"/>
                <w:lang w:eastAsia="zh-CN"/>
              </w:rPr>
              <w:t>、</w:t>
            </w:r>
            <w:r>
              <w:rPr>
                <w:rFonts w:hint="eastAsia" w:ascii="宋体" w:hAnsi="宋体"/>
                <w:snapToGrid w:val="0"/>
                <w:sz w:val="22"/>
              </w:rPr>
              <w:t>信息系统监理工程师的得</w:t>
            </w:r>
            <w:r>
              <w:rPr>
                <w:rFonts w:hint="eastAsia" w:ascii="宋体" w:hAnsi="宋体"/>
                <w:snapToGrid w:val="0"/>
                <w:sz w:val="22"/>
                <w:lang w:val="en-US" w:eastAsia="zh-CN"/>
              </w:rPr>
              <w:t>3</w:t>
            </w:r>
            <w:r>
              <w:rPr>
                <w:rFonts w:hint="eastAsia" w:ascii="宋体" w:hAnsi="宋体"/>
                <w:snapToGrid w:val="0"/>
                <w:sz w:val="22"/>
              </w:rPr>
              <w:t>分，每少一项扣1分，扣完为止。</w:t>
            </w:r>
          </w:p>
          <w:p w14:paraId="6C09200E">
            <w:pPr>
              <w:pStyle w:val="49"/>
              <w:spacing w:before="60" w:after="60" w:line="240" w:lineRule="auto"/>
              <w:ind w:left="0" w:firstLine="0" w:firstLineChars="0"/>
              <w:rPr>
                <w:rFonts w:ascii="宋体" w:hAnsi="宋体"/>
                <w:snapToGrid w:val="0"/>
                <w:sz w:val="22"/>
              </w:rPr>
            </w:pPr>
            <w:r>
              <w:rPr>
                <w:rFonts w:hint="eastAsia" w:ascii="宋体" w:hAnsi="宋体"/>
                <w:snapToGrid w:val="0"/>
                <w:sz w:val="22"/>
              </w:rPr>
              <w:t>（</w:t>
            </w:r>
            <w:r>
              <w:rPr>
                <w:rFonts w:hint="eastAsia" w:ascii="宋体" w:hAnsi="宋体"/>
                <w:snapToGrid w:val="0"/>
                <w:sz w:val="22"/>
                <w:lang w:val="en-US" w:eastAsia="zh-CN"/>
              </w:rPr>
              <w:t>提供</w:t>
            </w:r>
            <w:r>
              <w:rPr>
                <w:rFonts w:hint="eastAsia" w:ascii="宋体" w:hAnsi="宋体"/>
                <w:snapToGrid w:val="0"/>
                <w:sz w:val="22"/>
              </w:rPr>
              <w:t>近三个月任意一个月</w:t>
            </w:r>
            <w:r>
              <w:rPr>
                <w:rFonts w:hint="eastAsia" w:ascii="宋体" w:hAnsi="宋体"/>
                <w:snapToGrid w:val="0"/>
                <w:sz w:val="22"/>
                <w:lang w:val="en-US" w:eastAsia="zh-CN"/>
              </w:rPr>
              <w:t>的社保证明及相关证书复制件加盖公章</w:t>
            </w:r>
            <w:r>
              <w:rPr>
                <w:rFonts w:hint="eastAsia" w:ascii="宋体" w:hAnsi="宋体"/>
                <w:snapToGrid w:val="0"/>
                <w:sz w:val="22"/>
                <w:lang w:eastAsia="zh-CN"/>
              </w:rPr>
              <w:t>，</w:t>
            </w:r>
            <w:r>
              <w:rPr>
                <w:rFonts w:hint="eastAsia" w:ascii="宋体" w:hAnsi="宋体"/>
                <w:snapToGrid w:val="0"/>
                <w:sz w:val="22"/>
                <w:lang w:val="en-US" w:eastAsia="zh-CN"/>
              </w:rPr>
              <w:t>未提供或提供不全不得分。</w:t>
            </w:r>
            <w:r>
              <w:rPr>
                <w:rFonts w:hint="eastAsia" w:ascii="宋体" w:hAnsi="宋体"/>
                <w:snapToGrid w:val="0"/>
                <w:sz w:val="22"/>
              </w:rPr>
              <w:t>）</w:t>
            </w:r>
          </w:p>
        </w:tc>
        <w:tc>
          <w:tcPr>
            <w:tcW w:w="638" w:type="pct"/>
            <w:tcBorders>
              <w:tl2br w:val="nil"/>
              <w:tr2bl w:val="nil"/>
            </w:tcBorders>
            <w:noWrap w:val="0"/>
            <w:vAlign w:val="center"/>
          </w:tcPr>
          <w:p w14:paraId="5CD2C67C">
            <w:pPr>
              <w:pStyle w:val="12"/>
              <w:autoSpaceDE/>
              <w:autoSpaceDN/>
              <w:snapToGrid w:val="0"/>
              <w:spacing w:before="60" w:after="60" w:line="240" w:lineRule="auto"/>
              <w:jc w:val="center"/>
              <w:rPr>
                <w:rFonts w:hAnsi="宋体" w:eastAsia="宋体"/>
                <w:b w:val="0"/>
                <w:bCs w:val="0"/>
                <w:snapToGrid w:val="0"/>
                <w:color w:val="auto"/>
                <w:sz w:val="22"/>
              </w:rPr>
            </w:pPr>
            <w:r>
              <w:rPr>
                <w:rFonts w:hint="eastAsia" w:hAnsi="宋体" w:eastAsia="宋体"/>
                <w:b w:val="0"/>
                <w:bCs w:val="0"/>
                <w:snapToGrid w:val="0"/>
                <w:color w:val="auto"/>
                <w:sz w:val="22"/>
              </w:rPr>
              <w:t>0-</w:t>
            </w:r>
            <w:r>
              <w:rPr>
                <w:rFonts w:hint="eastAsia" w:hAnsi="宋体"/>
                <w:b w:val="0"/>
                <w:bCs w:val="0"/>
                <w:snapToGrid w:val="0"/>
                <w:color w:val="auto"/>
                <w:sz w:val="22"/>
                <w:lang w:val="en-US" w:eastAsia="zh-CN"/>
              </w:rPr>
              <w:t>3</w:t>
            </w:r>
            <w:r>
              <w:rPr>
                <w:rFonts w:hint="eastAsia" w:hAnsi="宋体" w:eastAsia="宋体"/>
                <w:b w:val="0"/>
                <w:bCs w:val="0"/>
                <w:snapToGrid w:val="0"/>
                <w:color w:val="auto"/>
                <w:sz w:val="22"/>
              </w:rPr>
              <w:t>分</w:t>
            </w:r>
          </w:p>
        </w:tc>
      </w:tr>
      <w:tr w14:paraId="4CB6C4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9" w:type="pct"/>
            <w:vMerge w:val="continue"/>
            <w:tcBorders>
              <w:tl2br w:val="nil"/>
              <w:tr2bl w:val="nil"/>
            </w:tcBorders>
            <w:noWrap w:val="0"/>
            <w:vAlign w:val="center"/>
          </w:tcPr>
          <w:p w14:paraId="31B4461F">
            <w:pPr>
              <w:pStyle w:val="14"/>
              <w:snapToGrid w:val="0"/>
              <w:spacing w:before="60" w:after="60" w:line="240" w:lineRule="auto"/>
              <w:jc w:val="center"/>
              <w:rPr>
                <w:rFonts w:hAnsi="宋体"/>
                <w:sz w:val="22"/>
                <w:szCs w:val="22"/>
              </w:rPr>
            </w:pPr>
          </w:p>
        </w:tc>
        <w:tc>
          <w:tcPr>
            <w:tcW w:w="618" w:type="pct"/>
            <w:vMerge w:val="continue"/>
            <w:tcBorders>
              <w:tl2br w:val="nil"/>
              <w:tr2bl w:val="nil"/>
            </w:tcBorders>
            <w:noWrap w:val="0"/>
            <w:vAlign w:val="center"/>
          </w:tcPr>
          <w:p w14:paraId="18899F61">
            <w:pPr>
              <w:widowControl/>
              <w:spacing w:before="60" w:after="60" w:line="240" w:lineRule="auto"/>
              <w:jc w:val="center"/>
              <w:rPr>
                <w:rFonts w:ascii="宋体" w:hAnsi="宋体"/>
                <w:sz w:val="22"/>
              </w:rPr>
            </w:pPr>
          </w:p>
        </w:tc>
        <w:tc>
          <w:tcPr>
            <w:tcW w:w="3412" w:type="pct"/>
            <w:tcBorders>
              <w:tl2br w:val="nil"/>
              <w:tr2bl w:val="nil"/>
            </w:tcBorders>
            <w:noWrap w:val="0"/>
            <w:vAlign w:val="center"/>
          </w:tcPr>
          <w:p w14:paraId="13587C2D">
            <w:pPr>
              <w:snapToGrid w:val="0"/>
              <w:spacing w:before="60" w:after="60" w:line="240" w:lineRule="auto"/>
              <w:jc w:val="left"/>
              <w:rPr>
                <w:rFonts w:ascii="宋体" w:hAnsi="宋体"/>
                <w:snapToGrid w:val="0"/>
                <w:sz w:val="22"/>
              </w:rPr>
            </w:pPr>
            <w:r>
              <w:rPr>
                <w:rFonts w:hint="eastAsia" w:ascii="宋体" w:hAnsi="宋体"/>
                <w:snapToGrid w:val="0"/>
                <w:sz w:val="22"/>
              </w:rPr>
              <w:t>拟派驻现场的监理工程师同时具有信息系统项目管理师证书和信息系统监理工程师证书的，每有一名得1分，该项最多得2分；提供相关人员证书</w:t>
            </w:r>
            <w:r>
              <w:rPr>
                <w:rFonts w:hint="eastAsia" w:ascii="宋体" w:hAnsi="宋体"/>
                <w:snapToGrid w:val="0"/>
                <w:sz w:val="22"/>
                <w:lang w:val="en-US" w:eastAsia="zh-CN"/>
              </w:rPr>
              <w:t>复制</w:t>
            </w:r>
            <w:r>
              <w:rPr>
                <w:rFonts w:hint="eastAsia" w:ascii="宋体" w:hAnsi="宋体"/>
                <w:snapToGrid w:val="0"/>
                <w:sz w:val="22"/>
              </w:rPr>
              <w:t>件并加盖公章及近三个月任意一个月的社保证明。</w:t>
            </w:r>
          </w:p>
        </w:tc>
        <w:tc>
          <w:tcPr>
            <w:tcW w:w="638" w:type="pct"/>
            <w:tcBorders>
              <w:tl2br w:val="nil"/>
              <w:tr2bl w:val="nil"/>
            </w:tcBorders>
            <w:noWrap w:val="0"/>
            <w:vAlign w:val="center"/>
          </w:tcPr>
          <w:p w14:paraId="734B8CBA">
            <w:pPr>
              <w:spacing w:before="60" w:after="60" w:line="240" w:lineRule="auto"/>
              <w:jc w:val="center"/>
              <w:rPr>
                <w:rFonts w:ascii="宋体" w:hAnsi="宋体"/>
                <w:snapToGrid w:val="0"/>
                <w:sz w:val="22"/>
              </w:rPr>
            </w:pPr>
            <w:r>
              <w:rPr>
                <w:rFonts w:hint="eastAsia" w:ascii="宋体" w:hAnsi="宋体"/>
                <w:snapToGrid w:val="0"/>
                <w:sz w:val="22"/>
              </w:rPr>
              <w:t>0-2分</w:t>
            </w:r>
          </w:p>
        </w:tc>
      </w:tr>
      <w:tr w14:paraId="67F04F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9" w:type="pct"/>
            <w:vMerge w:val="restart"/>
            <w:tcBorders>
              <w:tl2br w:val="nil"/>
              <w:tr2bl w:val="nil"/>
            </w:tcBorders>
            <w:noWrap w:val="0"/>
            <w:vAlign w:val="center"/>
          </w:tcPr>
          <w:p w14:paraId="3B75AB52">
            <w:pPr>
              <w:pStyle w:val="8"/>
              <w:adjustRightInd w:val="0"/>
              <w:snapToGrid w:val="0"/>
              <w:spacing w:before="60" w:after="60" w:line="240" w:lineRule="auto"/>
              <w:jc w:val="center"/>
              <w:rPr>
                <w:rFonts w:ascii="宋体" w:hAnsi="宋体"/>
                <w:sz w:val="22"/>
              </w:rPr>
            </w:pPr>
            <w:r>
              <w:rPr>
                <w:rFonts w:hint="eastAsia" w:ascii="宋体" w:hAnsi="宋体"/>
                <w:sz w:val="22"/>
              </w:rPr>
              <w:t>3</w:t>
            </w:r>
          </w:p>
        </w:tc>
        <w:tc>
          <w:tcPr>
            <w:tcW w:w="618" w:type="pct"/>
            <w:vMerge w:val="restart"/>
            <w:tcBorders>
              <w:tl2br w:val="nil"/>
              <w:tr2bl w:val="nil"/>
            </w:tcBorders>
            <w:noWrap w:val="0"/>
            <w:vAlign w:val="center"/>
          </w:tcPr>
          <w:p w14:paraId="66B1AE5B">
            <w:pPr>
              <w:widowControl/>
              <w:spacing w:before="60" w:after="60" w:line="240" w:lineRule="auto"/>
              <w:jc w:val="center"/>
              <w:rPr>
                <w:rFonts w:ascii="宋体" w:hAnsi="宋体"/>
                <w:sz w:val="22"/>
              </w:rPr>
            </w:pPr>
            <w:r>
              <w:rPr>
                <w:rFonts w:hint="eastAsia" w:ascii="宋体" w:hAnsi="宋体"/>
                <w:sz w:val="22"/>
              </w:rPr>
              <w:t>企业实力及信誉</w:t>
            </w:r>
          </w:p>
          <w:p w14:paraId="69517313">
            <w:pPr>
              <w:widowControl/>
              <w:spacing w:before="60" w:after="60" w:line="240" w:lineRule="auto"/>
              <w:jc w:val="center"/>
              <w:rPr>
                <w:rFonts w:ascii="宋体" w:hAnsi="宋体"/>
                <w:sz w:val="22"/>
              </w:rPr>
            </w:pPr>
            <w:r>
              <w:rPr>
                <w:rFonts w:hint="eastAsia" w:ascii="宋体" w:hAnsi="宋体"/>
                <w:sz w:val="22"/>
              </w:rPr>
              <w:t>（1</w:t>
            </w:r>
            <w:r>
              <w:rPr>
                <w:rFonts w:hint="eastAsia" w:ascii="宋体" w:hAnsi="宋体"/>
                <w:sz w:val="22"/>
                <w:lang w:val="en-US" w:eastAsia="zh-CN"/>
              </w:rPr>
              <w:t>4</w:t>
            </w:r>
            <w:r>
              <w:rPr>
                <w:rFonts w:hint="eastAsia" w:ascii="宋体" w:hAnsi="宋体"/>
                <w:sz w:val="22"/>
              </w:rPr>
              <w:t>分）</w:t>
            </w:r>
          </w:p>
        </w:tc>
        <w:tc>
          <w:tcPr>
            <w:tcW w:w="3412" w:type="pct"/>
            <w:tcBorders>
              <w:tl2br w:val="nil"/>
              <w:tr2bl w:val="nil"/>
            </w:tcBorders>
            <w:noWrap w:val="0"/>
            <w:vAlign w:val="center"/>
          </w:tcPr>
          <w:p w14:paraId="4534A279">
            <w:pPr>
              <w:spacing w:before="60" w:after="60" w:line="240" w:lineRule="auto"/>
              <w:jc w:val="left"/>
              <w:rPr>
                <w:rFonts w:ascii="宋体" w:hAnsi="宋体"/>
                <w:snapToGrid w:val="0"/>
                <w:sz w:val="22"/>
              </w:rPr>
            </w:pPr>
            <w:r>
              <w:rPr>
                <w:rFonts w:hint="eastAsia" w:ascii="宋体" w:hAnsi="宋体"/>
                <w:snapToGrid w:val="0"/>
                <w:sz w:val="22"/>
              </w:rPr>
              <w:t>投标人具有工程咨询（通信信息专业）资信证书得</w:t>
            </w:r>
            <w:r>
              <w:rPr>
                <w:rFonts w:hint="eastAsia" w:ascii="宋体" w:hAnsi="宋体"/>
                <w:snapToGrid w:val="0"/>
                <w:sz w:val="22"/>
                <w:lang w:val="en-US" w:eastAsia="zh-CN"/>
              </w:rPr>
              <w:t>2</w:t>
            </w:r>
            <w:r>
              <w:rPr>
                <w:rFonts w:hint="eastAsia" w:ascii="宋体" w:hAnsi="宋体"/>
                <w:snapToGrid w:val="0"/>
                <w:sz w:val="22"/>
              </w:rPr>
              <w:t>分</w:t>
            </w:r>
            <w:r>
              <w:rPr>
                <w:rFonts w:hint="eastAsia" w:ascii="宋体" w:hAnsi="宋体"/>
                <w:snapToGrid w:val="0"/>
                <w:sz w:val="22"/>
                <w:lang w:val="en-US" w:eastAsia="zh-CN"/>
              </w:rPr>
              <w:t>，</w:t>
            </w:r>
            <w:r>
              <w:rPr>
                <w:rFonts w:hint="eastAsia" w:ascii="宋体" w:hAnsi="宋体"/>
                <w:snapToGrid w:val="0"/>
                <w:sz w:val="22"/>
              </w:rPr>
              <w:t>没有不得分。</w:t>
            </w:r>
            <w:r>
              <w:rPr>
                <w:rFonts w:hint="eastAsia" w:ascii="宋体" w:hAnsi="宋体" w:cs="宋体"/>
                <w:b/>
                <w:bCs/>
                <w:color w:val="000000"/>
                <w:kern w:val="0"/>
                <w:sz w:val="22"/>
                <w:szCs w:val="22"/>
                <w:highlight w:val="none"/>
              </w:rPr>
              <w:t>提供相关证书</w:t>
            </w:r>
            <w:r>
              <w:rPr>
                <w:rFonts w:hint="eastAsia" w:ascii="宋体" w:hAnsi="宋体" w:cs="宋体"/>
                <w:b/>
                <w:bCs/>
                <w:color w:val="000000"/>
                <w:kern w:val="0"/>
                <w:sz w:val="22"/>
                <w:szCs w:val="22"/>
                <w:highlight w:val="none"/>
                <w:lang w:val="en-US" w:eastAsia="zh-CN"/>
              </w:rPr>
              <w:t>复制</w:t>
            </w:r>
            <w:r>
              <w:rPr>
                <w:rFonts w:hint="eastAsia" w:ascii="宋体" w:hAnsi="宋体" w:cs="宋体"/>
                <w:b/>
                <w:bCs/>
                <w:color w:val="000000"/>
                <w:kern w:val="0"/>
                <w:sz w:val="22"/>
                <w:szCs w:val="22"/>
                <w:highlight w:val="none"/>
              </w:rPr>
              <w:t>件加盖公章，未提供不得分。</w:t>
            </w:r>
            <w:bookmarkStart w:id="216" w:name="_GoBack"/>
            <w:bookmarkEnd w:id="216"/>
          </w:p>
        </w:tc>
        <w:tc>
          <w:tcPr>
            <w:tcW w:w="638" w:type="pct"/>
            <w:tcBorders>
              <w:tl2br w:val="nil"/>
              <w:tr2bl w:val="nil"/>
            </w:tcBorders>
            <w:noWrap w:val="0"/>
            <w:vAlign w:val="center"/>
          </w:tcPr>
          <w:p w14:paraId="3F995269">
            <w:pPr>
              <w:pStyle w:val="8"/>
              <w:adjustRightInd w:val="0"/>
              <w:snapToGrid w:val="0"/>
              <w:spacing w:before="60" w:after="60" w:line="240" w:lineRule="auto"/>
              <w:jc w:val="center"/>
              <w:rPr>
                <w:rFonts w:ascii="宋体" w:hAnsi="宋体"/>
                <w:bCs/>
                <w:sz w:val="22"/>
              </w:rPr>
            </w:pPr>
            <w:r>
              <w:rPr>
                <w:rFonts w:hint="eastAsia" w:ascii="宋体" w:hAnsi="宋体"/>
                <w:bCs/>
                <w:sz w:val="22"/>
              </w:rPr>
              <w:t>0-2</w:t>
            </w:r>
            <w:r>
              <w:rPr>
                <w:rFonts w:hint="eastAsia" w:ascii="宋体" w:hAnsi="宋体"/>
                <w:snapToGrid w:val="0"/>
                <w:sz w:val="22"/>
              </w:rPr>
              <w:t>分</w:t>
            </w:r>
          </w:p>
        </w:tc>
      </w:tr>
      <w:tr w14:paraId="7C5E07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9" w:type="pct"/>
            <w:vMerge w:val="continue"/>
            <w:tcBorders>
              <w:tl2br w:val="nil"/>
              <w:tr2bl w:val="nil"/>
            </w:tcBorders>
            <w:noWrap w:val="0"/>
            <w:vAlign w:val="center"/>
          </w:tcPr>
          <w:p w14:paraId="10081306">
            <w:pPr>
              <w:pStyle w:val="8"/>
              <w:adjustRightInd w:val="0"/>
              <w:snapToGrid w:val="0"/>
              <w:spacing w:before="60" w:after="60" w:line="240" w:lineRule="auto"/>
              <w:jc w:val="center"/>
              <w:rPr>
                <w:rFonts w:hint="eastAsia" w:ascii="宋体" w:hAnsi="宋体"/>
                <w:sz w:val="22"/>
              </w:rPr>
            </w:pPr>
          </w:p>
        </w:tc>
        <w:tc>
          <w:tcPr>
            <w:tcW w:w="618" w:type="pct"/>
            <w:vMerge w:val="continue"/>
            <w:tcBorders>
              <w:tl2br w:val="nil"/>
              <w:tr2bl w:val="nil"/>
            </w:tcBorders>
            <w:noWrap w:val="0"/>
            <w:vAlign w:val="center"/>
          </w:tcPr>
          <w:p w14:paraId="677EEA19">
            <w:pPr>
              <w:widowControl/>
              <w:spacing w:before="60" w:after="60" w:line="240" w:lineRule="auto"/>
              <w:jc w:val="center"/>
              <w:rPr>
                <w:rFonts w:hint="eastAsia" w:ascii="宋体" w:hAnsi="宋体"/>
                <w:sz w:val="22"/>
              </w:rPr>
            </w:pPr>
          </w:p>
        </w:tc>
        <w:tc>
          <w:tcPr>
            <w:tcW w:w="3412" w:type="pct"/>
            <w:tcBorders>
              <w:tl2br w:val="nil"/>
              <w:tr2bl w:val="nil"/>
            </w:tcBorders>
            <w:noWrap w:val="0"/>
            <w:vAlign w:val="center"/>
          </w:tcPr>
          <w:p w14:paraId="09D80D42">
            <w:pPr>
              <w:spacing w:before="60" w:after="60" w:line="240" w:lineRule="auto"/>
              <w:jc w:val="left"/>
              <w:rPr>
                <w:rFonts w:hint="eastAsia" w:ascii="宋体" w:hAnsi="宋体"/>
                <w:snapToGrid w:val="0"/>
                <w:sz w:val="22"/>
              </w:rPr>
            </w:pPr>
            <w:r>
              <w:rPr>
                <w:rFonts w:hint="eastAsia" w:ascii="宋体" w:hAnsi="宋体" w:cs="宋体"/>
                <w:color w:val="000000"/>
                <w:kern w:val="0"/>
                <w:sz w:val="22"/>
                <w:szCs w:val="22"/>
                <w:highlight w:val="none"/>
              </w:rPr>
              <w:t>投标人具有信息系统工程监理服务标准贯标证书，</w:t>
            </w:r>
            <w:r>
              <w:rPr>
                <w:rFonts w:hint="eastAsia" w:ascii="宋体" w:hAnsi="宋体" w:cs="宋体"/>
                <w:color w:val="000000"/>
                <w:kern w:val="0"/>
                <w:sz w:val="22"/>
                <w:szCs w:val="22"/>
                <w:highlight w:val="none"/>
                <w:lang w:val="en-US" w:eastAsia="zh-CN"/>
              </w:rPr>
              <w:t>甲级得3分，</w:t>
            </w:r>
            <w:r>
              <w:rPr>
                <w:rFonts w:hint="eastAsia" w:ascii="宋体" w:hAnsi="宋体" w:cs="宋体"/>
                <w:color w:val="000000"/>
                <w:kern w:val="0"/>
                <w:sz w:val="22"/>
                <w:szCs w:val="22"/>
                <w:highlight w:val="none"/>
              </w:rPr>
              <w:t>乙级</w:t>
            </w:r>
            <w:r>
              <w:rPr>
                <w:rFonts w:hint="eastAsia" w:ascii="宋体" w:hAnsi="宋体" w:cs="宋体"/>
                <w:color w:val="000000"/>
                <w:kern w:val="0"/>
                <w:sz w:val="22"/>
                <w:szCs w:val="22"/>
                <w:highlight w:val="none"/>
                <w:lang w:val="en-US" w:eastAsia="zh-CN"/>
              </w:rPr>
              <w:t>得2</w:t>
            </w:r>
            <w:r>
              <w:rPr>
                <w:rFonts w:hint="eastAsia" w:ascii="宋体" w:hAnsi="宋体" w:cs="宋体"/>
                <w:color w:val="000000"/>
                <w:kern w:val="0"/>
                <w:sz w:val="22"/>
                <w:szCs w:val="22"/>
                <w:highlight w:val="none"/>
              </w:rPr>
              <w:t>分，其他不得分</w:t>
            </w:r>
            <w:r>
              <w:rPr>
                <w:rFonts w:hint="eastAsia" w:ascii="宋体" w:hAnsi="宋体" w:cs="宋体"/>
                <w:color w:val="000000"/>
                <w:kern w:val="0"/>
                <w:sz w:val="22"/>
                <w:szCs w:val="22"/>
                <w:highlight w:val="none"/>
                <w:lang w:eastAsia="zh-CN"/>
              </w:rPr>
              <w:t>。</w:t>
            </w:r>
            <w:r>
              <w:rPr>
                <w:rFonts w:hint="eastAsia" w:ascii="宋体" w:hAnsi="宋体" w:cs="宋体"/>
                <w:b/>
                <w:bCs/>
                <w:color w:val="000000"/>
                <w:kern w:val="0"/>
                <w:sz w:val="22"/>
                <w:szCs w:val="22"/>
                <w:highlight w:val="none"/>
              </w:rPr>
              <w:t>提供相关证书</w:t>
            </w:r>
            <w:r>
              <w:rPr>
                <w:rFonts w:hint="eastAsia" w:ascii="宋体" w:hAnsi="宋体" w:cs="宋体"/>
                <w:b/>
                <w:bCs/>
                <w:color w:val="000000"/>
                <w:kern w:val="0"/>
                <w:sz w:val="22"/>
                <w:szCs w:val="22"/>
                <w:highlight w:val="none"/>
                <w:lang w:val="en-US" w:eastAsia="zh-CN"/>
              </w:rPr>
              <w:t>复制</w:t>
            </w:r>
            <w:r>
              <w:rPr>
                <w:rFonts w:hint="eastAsia" w:ascii="宋体" w:hAnsi="宋体" w:cs="宋体"/>
                <w:b/>
                <w:bCs/>
                <w:color w:val="000000"/>
                <w:kern w:val="0"/>
                <w:sz w:val="22"/>
                <w:szCs w:val="22"/>
                <w:highlight w:val="none"/>
              </w:rPr>
              <w:t>件加盖公章，未提供不得分。</w:t>
            </w:r>
          </w:p>
        </w:tc>
        <w:tc>
          <w:tcPr>
            <w:tcW w:w="638" w:type="pct"/>
            <w:tcBorders>
              <w:tl2br w:val="nil"/>
              <w:tr2bl w:val="nil"/>
            </w:tcBorders>
            <w:noWrap w:val="0"/>
            <w:vAlign w:val="center"/>
          </w:tcPr>
          <w:p w14:paraId="416CD811">
            <w:pPr>
              <w:pStyle w:val="8"/>
              <w:adjustRightInd w:val="0"/>
              <w:snapToGrid w:val="0"/>
              <w:spacing w:before="60" w:after="60" w:line="240" w:lineRule="auto"/>
              <w:jc w:val="center"/>
              <w:rPr>
                <w:rFonts w:hint="eastAsia" w:ascii="宋体" w:hAnsi="宋体"/>
                <w:bCs/>
                <w:sz w:val="22"/>
              </w:rPr>
            </w:pPr>
            <w:r>
              <w:rPr>
                <w:rFonts w:hint="eastAsia" w:ascii="宋体" w:hAnsi="宋体"/>
                <w:bCs/>
                <w:sz w:val="22"/>
              </w:rPr>
              <w:t>0-</w:t>
            </w:r>
            <w:r>
              <w:rPr>
                <w:rFonts w:hint="eastAsia" w:ascii="宋体" w:hAnsi="宋体"/>
                <w:bCs/>
                <w:sz w:val="22"/>
                <w:lang w:val="en-US" w:eastAsia="zh-CN"/>
              </w:rPr>
              <w:t>3</w:t>
            </w:r>
            <w:r>
              <w:rPr>
                <w:rFonts w:hint="eastAsia" w:ascii="宋体" w:hAnsi="宋体"/>
                <w:snapToGrid w:val="0"/>
                <w:sz w:val="22"/>
              </w:rPr>
              <w:t>分</w:t>
            </w:r>
          </w:p>
        </w:tc>
      </w:tr>
      <w:tr w14:paraId="4A6618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9" w:type="pct"/>
            <w:vMerge w:val="continue"/>
            <w:tcBorders>
              <w:tl2br w:val="nil"/>
              <w:tr2bl w:val="nil"/>
            </w:tcBorders>
            <w:noWrap w:val="0"/>
            <w:vAlign w:val="center"/>
          </w:tcPr>
          <w:p w14:paraId="53AC9A63">
            <w:pPr>
              <w:pStyle w:val="8"/>
              <w:adjustRightInd w:val="0"/>
              <w:snapToGrid w:val="0"/>
              <w:spacing w:before="60" w:after="60" w:line="240" w:lineRule="auto"/>
              <w:ind w:firstLine="440"/>
              <w:jc w:val="center"/>
              <w:rPr>
                <w:rFonts w:ascii="宋体" w:hAnsi="宋体"/>
                <w:sz w:val="22"/>
              </w:rPr>
            </w:pPr>
          </w:p>
        </w:tc>
        <w:tc>
          <w:tcPr>
            <w:tcW w:w="618" w:type="pct"/>
            <w:vMerge w:val="continue"/>
            <w:tcBorders>
              <w:tl2br w:val="nil"/>
              <w:tr2bl w:val="nil"/>
            </w:tcBorders>
            <w:noWrap w:val="0"/>
            <w:vAlign w:val="center"/>
          </w:tcPr>
          <w:p w14:paraId="476DE6C8">
            <w:pPr>
              <w:widowControl/>
              <w:spacing w:before="60" w:after="60" w:line="240" w:lineRule="auto"/>
              <w:jc w:val="center"/>
              <w:rPr>
                <w:rFonts w:ascii="宋体" w:hAnsi="宋体"/>
                <w:sz w:val="22"/>
              </w:rPr>
            </w:pPr>
          </w:p>
        </w:tc>
        <w:tc>
          <w:tcPr>
            <w:tcW w:w="3412" w:type="pct"/>
            <w:tcBorders>
              <w:tl2br w:val="nil"/>
              <w:tr2bl w:val="nil"/>
            </w:tcBorders>
            <w:noWrap w:val="0"/>
            <w:vAlign w:val="center"/>
          </w:tcPr>
          <w:p w14:paraId="7FDBC434">
            <w:pPr>
              <w:spacing w:before="60" w:after="60" w:line="240" w:lineRule="auto"/>
              <w:jc w:val="left"/>
              <w:rPr>
                <w:rFonts w:ascii="宋体" w:hAnsi="宋体"/>
                <w:snapToGrid w:val="0"/>
                <w:sz w:val="22"/>
              </w:rPr>
            </w:pPr>
            <w:r>
              <w:rPr>
                <w:rFonts w:hint="eastAsia" w:ascii="宋体" w:hAnsi="宋体"/>
                <w:snapToGrid w:val="0"/>
                <w:sz w:val="22"/>
              </w:rPr>
              <w:t>投标人参加《信息技术服务咨询设计》</w:t>
            </w:r>
            <w:r>
              <w:rPr>
                <w:rFonts w:hint="eastAsia" w:ascii="宋体" w:hAnsi="宋体"/>
                <w:snapToGrid w:val="0"/>
                <w:sz w:val="22"/>
                <w:lang w:eastAsia="zh-CN"/>
              </w:rPr>
              <w:t>、</w:t>
            </w:r>
            <w:r>
              <w:rPr>
                <w:rFonts w:hint="eastAsia" w:ascii="宋体" w:hAnsi="宋体"/>
                <w:snapToGrid w:val="0"/>
                <w:sz w:val="22"/>
              </w:rPr>
              <w:t>《信息技术服务监理》等与本项目相关的标准编制</w:t>
            </w:r>
            <w:r>
              <w:rPr>
                <w:rFonts w:hint="eastAsia" w:ascii="宋体" w:hAnsi="宋体"/>
                <w:snapToGrid w:val="0"/>
                <w:sz w:val="22"/>
                <w:lang w:eastAsia="zh-CN"/>
              </w:rPr>
              <w:t>，</w:t>
            </w:r>
            <w:r>
              <w:rPr>
                <w:rFonts w:hint="eastAsia" w:ascii="宋体" w:hAnsi="宋体"/>
                <w:snapToGrid w:val="0"/>
                <w:sz w:val="22"/>
                <w:lang w:val="en-US" w:eastAsia="zh-CN"/>
              </w:rPr>
              <w:t>每参加一个</w:t>
            </w:r>
            <w:r>
              <w:rPr>
                <w:rFonts w:hint="eastAsia" w:ascii="宋体" w:hAnsi="宋体"/>
                <w:snapToGrid w:val="0"/>
                <w:sz w:val="22"/>
              </w:rPr>
              <w:t>得</w:t>
            </w:r>
            <w:r>
              <w:rPr>
                <w:rFonts w:hint="eastAsia" w:ascii="宋体" w:hAnsi="宋体"/>
                <w:snapToGrid w:val="0"/>
                <w:sz w:val="22"/>
                <w:lang w:val="en-US" w:eastAsia="zh-CN"/>
              </w:rPr>
              <w:t>1</w:t>
            </w:r>
            <w:r>
              <w:rPr>
                <w:rFonts w:hint="eastAsia" w:ascii="宋体" w:hAnsi="宋体"/>
                <w:snapToGrid w:val="0"/>
                <w:sz w:val="22"/>
              </w:rPr>
              <w:t>分，</w:t>
            </w:r>
            <w:r>
              <w:rPr>
                <w:rFonts w:hint="eastAsia" w:ascii="宋体" w:hAnsi="宋体"/>
                <w:snapToGrid w:val="0"/>
                <w:sz w:val="22"/>
                <w:lang w:val="en-US" w:eastAsia="zh-CN"/>
              </w:rPr>
              <w:t>最多得2分</w:t>
            </w:r>
            <w:r>
              <w:rPr>
                <w:rFonts w:hint="eastAsia" w:ascii="宋体" w:hAnsi="宋体"/>
                <w:snapToGrid w:val="0"/>
                <w:sz w:val="22"/>
              </w:rPr>
              <w:t>。</w:t>
            </w:r>
            <w:r>
              <w:rPr>
                <w:rFonts w:hint="eastAsia" w:ascii="宋体" w:hAnsi="宋体" w:cs="宋体"/>
                <w:b/>
                <w:bCs/>
                <w:color w:val="000000"/>
                <w:kern w:val="0"/>
                <w:sz w:val="22"/>
                <w:szCs w:val="22"/>
                <w:highlight w:val="none"/>
              </w:rPr>
              <w:t>提供相关</w:t>
            </w:r>
            <w:r>
              <w:rPr>
                <w:rFonts w:hint="eastAsia" w:ascii="宋体" w:hAnsi="宋体" w:cs="宋体"/>
                <w:b/>
                <w:bCs/>
                <w:color w:val="000000"/>
                <w:kern w:val="0"/>
                <w:sz w:val="22"/>
                <w:szCs w:val="22"/>
                <w:highlight w:val="none"/>
                <w:lang w:val="en-US" w:eastAsia="zh-CN"/>
              </w:rPr>
              <w:t>证明材料复制</w:t>
            </w:r>
            <w:r>
              <w:rPr>
                <w:rFonts w:hint="eastAsia" w:ascii="宋体" w:hAnsi="宋体" w:cs="宋体"/>
                <w:b/>
                <w:bCs/>
                <w:color w:val="000000"/>
                <w:kern w:val="0"/>
                <w:sz w:val="22"/>
                <w:szCs w:val="22"/>
                <w:highlight w:val="none"/>
              </w:rPr>
              <w:t>件加盖公章，未提供不得分。</w:t>
            </w:r>
          </w:p>
        </w:tc>
        <w:tc>
          <w:tcPr>
            <w:tcW w:w="638" w:type="pct"/>
            <w:tcBorders>
              <w:tl2br w:val="nil"/>
              <w:tr2bl w:val="nil"/>
            </w:tcBorders>
            <w:noWrap w:val="0"/>
            <w:vAlign w:val="center"/>
          </w:tcPr>
          <w:p w14:paraId="31B68268">
            <w:pPr>
              <w:pStyle w:val="8"/>
              <w:adjustRightInd w:val="0"/>
              <w:snapToGrid w:val="0"/>
              <w:spacing w:before="60" w:after="60" w:line="240" w:lineRule="auto"/>
              <w:jc w:val="center"/>
              <w:rPr>
                <w:rFonts w:ascii="宋体" w:hAnsi="宋体"/>
                <w:bCs/>
                <w:sz w:val="22"/>
              </w:rPr>
            </w:pPr>
            <w:r>
              <w:rPr>
                <w:rFonts w:hint="eastAsia" w:ascii="宋体" w:hAnsi="宋体"/>
                <w:bCs/>
                <w:sz w:val="22"/>
              </w:rPr>
              <w:t>0-2</w:t>
            </w:r>
            <w:r>
              <w:rPr>
                <w:rFonts w:hint="eastAsia" w:ascii="宋体" w:hAnsi="宋体"/>
                <w:snapToGrid w:val="0"/>
                <w:sz w:val="22"/>
              </w:rPr>
              <w:t>分</w:t>
            </w:r>
          </w:p>
        </w:tc>
      </w:tr>
      <w:tr w14:paraId="3C65EE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9" w:type="pct"/>
            <w:vMerge w:val="continue"/>
            <w:tcBorders>
              <w:tl2br w:val="nil"/>
              <w:tr2bl w:val="nil"/>
            </w:tcBorders>
            <w:noWrap w:val="0"/>
            <w:vAlign w:val="center"/>
          </w:tcPr>
          <w:p w14:paraId="4BE3640D">
            <w:pPr>
              <w:pStyle w:val="8"/>
              <w:adjustRightInd w:val="0"/>
              <w:snapToGrid w:val="0"/>
              <w:spacing w:before="60" w:after="60" w:line="240" w:lineRule="auto"/>
              <w:ind w:firstLine="440"/>
              <w:jc w:val="center"/>
              <w:rPr>
                <w:rFonts w:ascii="宋体" w:hAnsi="宋体"/>
                <w:sz w:val="22"/>
              </w:rPr>
            </w:pPr>
          </w:p>
        </w:tc>
        <w:tc>
          <w:tcPr>
            <w:tcW w:w="618" w:type="pct"/>
            <w:vMerge w:val="continue"/>
            <w:tcBorders>
              <w:tl2br w:val="nil"/>
              <w:tr2bl w:val="nil"/>
            </w:tcBorders>
            <w:noWrap w:val="0"/>
            <w:vAlign w:val="center"/>
          </w:tcPr>
          <w:p w14:paraId="0860C79C">
            <w:pPr>
              <w:widowControl/>
              <w:spacing w:before="60" w:after="60" w:line="240" w:lineRule="auto"/>
              <w:jc w:val="center"/>
              <w:rPr>
                <w:rFonts w:ascii="宋体" w:hAnsi="宋体"/>
                <w:sz w:val="22"/>
              </w:rPr>
            </w:pPr>
          </w:p>
        </w:tc>
        <w:tc>
          <w:tcPr>
            <w:tcW w:w="3412" w:type="pct"/>
            <w:tcBorders>
              <w:tl2br w:val="nil"/>
              <w:tr2bl w:val="nil"/>
            </w:tcBorders>
            <w:noWrap w:val="0"/>
            <w:vAlign w:val="center"/>
          </w:tcPr>
          <w:p w14:paraId="733D1E2B">
            <w:pPr>
              <w:spacing w:before="60" w:after="60" w:line="240" w:lineRule="auto"/>
              <w:jc w:val="left"/>
              <w:rPr>
                <w:rFonts w:ascii="宋体" w:hAnsi="宋体"/>
                <w:snapToGrid w:val="0"/>
                <w:sz w:val="22"/>
              </w:rPr>
            </w:pPr>
            <w:r>
              <w:rPr>
                <w:rFonts w:hint="eastAsia" w:ascii="宋体" w:hAnsi="宋体"/>
                <w:snapToGrid w:val="0"/>
                <w:sz w:val="22"/>
                <w:lang w:val="en-US" w:eastAsia="zh-CN"/>
              </w:rPr>
              <w:t>投标人具有</w:t>
            </w:r>
            <w:r>
              <w:rPr>
                <w:rFonts w:hint="eastAsia" w:ascii="宋体" w:hAnsi="宋体"/>
                <w:snapToGrid w:val="0"/>
                <w:sz w:val="22"/>
              </w:rPr>
              <w:t>质量管理体系认证</w:t>
            </w:r>
            <w:r>
              <w:rPr>
                <w:rFonts w:hint="eastAsia" w:ascii="宋体" w:hAnsi="宋体"/>
                <w:snapToGrid w:val="0"/>
                <w:sz w:val="22"/>
                <w:lang w:eastAsia="zh-CN"/>
              </w:rPr>
              <w:t>、</w:t>
            </w:r>
            <w:r>
              <w:rPr>
                <w:rFonts w:hint="eastAsia" w:ascii="宋体" w:hAnsi="宋体"/>
                <w:snapToGrid w:val="0"/>
                <w:sz w:val="22"/>
              </w:rPr>
              <w:t>信息安全管理体系认证、信息技术服务管理系统认证。</w:t>
            </w:r>
            <w:r>
              <w:rPr>
                <w:rFonts w:hint="eastAsia" w:ascii="宋体" w:hAnsi="宋体"/>
                <w:snapToGrid w:val="0"/>
                <w:sz w:val="22"/>
                <w:lang w:val="en-US" w:eastAsia="zh-CN"/>
              </w:rPr>
              <w:t>每提供一项</w:t>
            </w:r>
            <w:r>
              <w:rPr>
                <w:rFonts w:hint="eastAsia" w:ascii="宋体" w:hAnsi="宋体"/>
                <w:snapToGrid w:val="0"/>
                <w:sz w:val="22"/>
              </w:rPr>
              <w:t>得</w:t>
            </w:r>
            <w:r>
              <w:rPr>
                <w:rFonts w:hint="eastAsia" w:ascii="宋体" w:hAnsi="宋体"/>
                <w:snapToGrid w:val="0"/>
                <w:sz w:val="22"/>
                <w:lang w:val="en-US" w:eastAsia="zh-CN"/>
              </w:rPr>
              <w:t>1</w:t>
            </w:r>
            <w:r>
              <w:rPr>
                <w:rFonts w:hint="eastAsia" w:ascii="宋体" w:hAnsi="宋体"/>
                <w:snapToGrid w:val="0"/>
                <w:sz w:val="22"/>
              </w:rPr>
              <w:t>分，</w:t>
            </w:r>
            <w:r>
              <w:rPr>
                <w:rFonts w:hint="eastAsia" w:ascii="宋体" w:hAnsi="宋体"/>
                <w:snapToGrid w:val="0"/>
                <w:sz w:val="22"/>
                <w:lang w:val="en-US" w:eastAsia="zh-CN"/>
              </w:rPr>
              <w:t>最多得3分</w:t>
            </w:r>
            <w:r>
              <w:rPr>
                <w:rFonts w:hint="eastAsia" w:ascii="宋体" w:hAnsi="宋体"/>
                <w:snapToGrid w:val="0"/>
                <w:sz w:val="22"/>
                <w:lang w:eastAsia="zh-CN"/>
              </w:rPr>
              <w:t>，</w:t>
            </w:r>
            <w:r>
              <w:rPr>
                <w:rFonts w:hint="eastAsia" w:ascii="宋体" w:hAnsi="宋体"/>
                <w:snapToGrid w:val="0"/>
                <w:sz w:val="22"/>
              </w:rPr>
              <w:t>没有不得分。</w:t>
            </w:r>
            <w:r>
              <w:rPr>
                <w:rFonts w:hint="eastAsia" w:ascii="宋体" w:hAnsi="宋体" w:eastAsia="宋体" w:cs="宋体"/>
                <w:b/>
                <w:bCs/>
                <w:sz w:val="22"/>
                <w:szCs w:val="22"/>
                <w:highlight w:val="none"/>
              </w:rPr>
              <w:t>以上</w:t>
            </w:r>
            <w:r>
              <w:rPr>
                <w:rFonts w:hint="eastAsia" w:ascii="宋体" w:hAnsi="宋体" w:eastAsia="宋体" w:cs="宋体"/>
                <w:b/>
                <w:bCs/>
                <w:sz w:val="22"/>
                <w:szCs w:val="22"/>
                <w:highlight w:val="none"/>
                <w:lang w:val="en-US" w:eastAsia="zh-CN"/>
              </w:rPr>
              <w:t>认证</w:t>
            </w:r>
            <w:r>
              <w:rPr>
                <w:rFonts w:hint="eastAsia" w:ascii="宋体" w:hAnsi="宋体" w:eastAsia="宋体" w:cs="宋体"/>
                <w:b/>
                <w:bCs/>
                <w:sz w:val="22"/>
                <w:szCs w:val="22"/>
                <w:highlight w:val="none"/>
              </w:rPr>
              <w:t>证书须提供在全国认证认可信息公共服务平台http://www.cnca.gov.cn中的查询截图</w:t>
            </w:r>
            <w:r>
              <w:rPr>
                <w:rFonts w:hint="eastAsia" w:ascii="宋体" w:hAnsi="宋体" w:eastAsia="宋体" w:cs="宋体"/>
                <w:b/>
                <w:bCs/>
                <w:sz w:val="22"/>
                <w:szCs w:val="22"/>
                <w:highlight w:val="none"/>
                <w:lang w:val="en-US" w:eastAsia="zh-CN"/>
              </w:rPr>
              <w:t>及证书复制件并加盖公章</w:t>
            </w:r>
            <w:r>
              <w:rPr>
                <w:rFonts w:hint="eastAsia" w:ascii="宋体" w:hAnsi="宋体" w:eastAsia="宋体" w:cs="宋体"/>
                <w:b/>
                <w:bCs/>
                <w:sz w:val="22"/>
                <w:szCs w:val="22"/>
                <w:highlight w:val="none"/>
              </w:rPr>
              <w:t>。</w:t>
            </w:r>
          </w:p>
        </w:tc>
        <w:tc>
          <w:tcPr>
            <w:tcW w:w="638" w:type="pct"/>
            <w:tcBorders>
              <w:tl2br w:val="nil"/>
              <w:tr2bl w:val="nil"/>
            </w:tcBorders>
            <w:noWrap w:val="0"/>
            <w:vAlign w:val="center"/>
          </w:tcPr>
          <w:p w14:paraId="1D605D8F">
            <w:pPr>
              <w:pStyle w:val="8"/>
              <w:adjustRightInd w:val="0"/>
              <w:snapToGrid w:val="0"/>
              <w:spacing w:before="60" w:after="60" w:line="240" w:lineRule="auto"/>
              <w:jc w:val="center"/>
              <w:rPr>
                <w:rFonts w:ascii="宋体" w:hAnsi="宋体"/>
                <w:bCs/>
                <w:sz w:val="22"/>
              </w:rPr>
            </w:pPr>
            <w:r>
              <w:rPr>
                <w:rFonts w:hint="eastAsia" w:ascii="宋体" w:hAnsi="宋体"/>
                <w:bCs/>
                <w:sz w:val="22"/>
                <w:lang w:val="zh-CN"/>
              </w:rPr>
              <w:t>0-</w:t>
            </w:r>
            <w:r>
              <w:rPr>
                <w:rFonts w:hint="eastAsia" w:ascii="宋体" w:hAnsi="宋体"/>
                <w:bCs/>
                <w:sz w:val="22"/>
                <w:lang w:val="en-US" w:eastAsia="zh-CN"/>
              </w:rPr>
              <w:t>3</w:t>
            </w:r>
            <w:r>
              <w:rPr>
                <w:rFonts w:hint="eastAsia" w:ascii="宋体" w:hAnsi="宋体"/>
                <w:bCs/>
                <w:sz w:val="22"/>
                <w:lang w:val="zh-CN"/>
              </w:rPr>
              <w:t>分</w:t>
            </w:r>
          </w:p>
        </w:tc>
      </w:tr>
      <w:tr w14:paraId="60339D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9" w:type="pct"/>
            <w:vMerge w:val="continue"/>
            <w:tcBorders>
              <w:tl2br w:val="nil"/>
              <w:tr2bl w:val="nil"/>
            </w:tcBorders>
            <w:noWrap w:val="0"/>
            <w:vAlign w:val="center"/>
          </w:tcPr>
          <w:p w14:paraId="7D2BAFFE">
            <w:pPr>
              <w:pStyle w:val="8"/>
              <w:adjustRightInd w:val="0"/>
              <w:snapToGrid w:val="0"/>
              <w:spacing w:before="60" w:after="60" w:line="240" w:lineRule="auto"/>
              <w:ind w:firstLine="440"/>
              <w:jc w:val="center"/>
              <w:rPr>
                <w:rFonts w:ascii="宋体" w:hAnsi="宋体"/>
                <w:sz w:val="22"/>
              </w:rPr>
            </w:pPr>
          </w:p>
        </w:tc>
        <w:tc>
          <w:tcPr>
            <w:tcW w:w="618" w:type="pct"/>
            <w:vMerge w:val="continue"/>
            <w:tcBorders>
              <w:tl2br w:val="nil"/>
              <w:tr2bl w:val="nil"/>
            </w:tcBorders>
            <w:noWrap w:val="0"/>
            <w:vAlign w:val="center"/>
          </w:tcPr>
          <w:p w14:paraId="5C0AA05D">
            <w:pPr>
              <w:widowControl/>
              <w:spacing w:before="60" w:after="60" w:line="240" w:lineRule="auto"/>
              <w:jc w:val="center"/>
              <w:rPr>
                <w:rFonts w:ascii="宋体" w:hAnsi="宋体"/>
                <w:sz w:val="22"/>
              </w:rPr>
            </w:pPr>
          </w:p>
        </w:tc>
        <w:tc>
          <w:tcPr>
            <w:tcW w:w="3412" w:type="pct"/>
            <w:tcBorders>
              <w:tl2br w:val="nil"/>
              <w:tr2bl w:val="nil"/>
            </w:tcBorders>
            <w:noWrap w:val="0"/>
            <w:vAlign w:val="center"/>
          </w:tcPr>
          <w:p w14:paraId="4F76BFFD">
            <w:pPr>
              <w:spacing w:before="60" w:after="60" w:line="240" w:lineRule="auto"/>
              <w:jc w:val="left"/>
              <w:rPr>
                <w:rFonts w:ascii="宋体" w:hAnsi="宋体"/>
                <w:snapToGrid w:val="0"/>
                <w:sz w:val="22"/>
              </w:rPr>
            </w:pPr>
            <w:r>
              <w:rPr>
                <w:rFonts w:hint="eastAsia" w:ascii="宋体" w:hAnsi="宋体"/>
                <w:snapToGrid w:val="0"/>
                <w:sz w:val="22"/>
              </w:rPr>
              <w:t>投标人有项目监理管理软件</w:t>
            </w:r>
            <w:r>
              <w:rPr>
                <w:rFonts w:hint="eastAsia" w:ascii="宋体" w:hAnsi="宋体"/>
                <w:snapToGrid w:val="0"/>
                <w:sz w:val="22"/>
                <w:lang w:val="en-US" w:eastAsia="zh-CN"/>
              </w:rPr>
              <w:t>或</w:t>
            </w:r>
            <w:r>
              <w:rPr>
                <w:rFonts w:hint="eastAsia" w:ascii="宋体" w:hAnsi="宋体"/>
                <w:snapToGrid w:val="0"/>
                <w:sz w:val="22"/>
              </w:rPr>
              <w:t>咨询设计资源管理平台软件的得2分</w:t>
            </w:r>
            <w:r>
              <w:rPr>
                <w:rFonts w:hint="eastAsia" w:ascii="宋体" w:hAnsi="宋体"/>
                <w:snapToGrid w:val="0"/>
                <w:sz w:val="22"/>
                <w:lang w:eastAsia="zh-CN"/>
              </w:rPr>
              <w:t>，</w:t>
            </w:r>
            <w:r>
              <w:rPr>
                <w:rFonts w:hint="eastAsia" w:ascii="宋体" w:hAnsi="宋体"/>
                <w:snapToGrid w:val="0"/>
                <w:sz w:val="22"/>
              </w:rPr>
              <w:t>没有不得分。</w:t>
            </w:r>
            <w:r>
              <w:rPr>
                <w:rFonts w:hint="eastAsia" w:ascii="宋体" w:hAnsi="宋体" w:cs="宋体"/>
                <w:b/>
                <w:bCs/>
                <w:color w:val="000000"/>
                <w:kern w:val="0"/>
                <w:sz w:val="22"/>
                <w:szCs w:val="22"/>
                <w:highlight w:val="none"/>
              </w:rPr>
              <w:t>提供</w:t>
            </w:r>
            <w:r>
              <w:rPr>
                <w:rFonts w:hint="eastAsia" w:ascii="宋体" w:hAnsi="宋体" w:cs="宋体"/>
                <w:b/>
                <w:bCs/>
                <w:color w:val="000000"/>
                <w:kern w:val="0"/>
                <w:sz w:val="22"/>
                <w:szCs w:val="22"/>
                <w:highlight w:val="none"/>
                <w:lang w:val="en-US" w:eastAsia="zh-CN"/>
              </w:rPr>
              <w:t>相关软件截图并</w:t>
            </w:r>
            <w:r>
              <w:rPr>
                <w:rFonts w:hint="eastAsia" w:ascii="宋体" w:hAnsi="宋体" w:cs="宋体"/>
                <w:b/>
                <w:bCs/>
                <w:color w:val="000000"/>
                <w:kern w:val="0"/>
                <w:sz w:val="22"/>
                <w:szCs w:val="22"/>
                <w:highlight w:val="none"/>
              </w:rPr>
              <w:t>加盖公章，未提供不得分。</w:t>
            </w:r>
          </w:p>
        </w:tc>
        <w:tc>
          <w:tcPr>
            <w:tcW w:w="638" w:type="pct"/>
            <w:tcBorders>
              <w:tl2br w:val="nil"/>
              <w:tr2bl w:val="nil"/>
            </w:tcBorders>
            <w:noWrap w:val="0"/>
            <w:vAlign w:val="center"/>
          </w:tcPr>
          <w:p w14:paraId="33FBD7E2">
            <w:pPr>
              <w:pStyle w:val="8"/>
              <w:adjustRightInd w:val="0"/>
              <w:snapToGrid w:val="0"/>
              <w:spacing w:before="60" w:after="60" w:line="240" w:lineRule="auto"/>
              <w:jc w:val="center"/>
              <w:rPr>
                <w:rFonts w:ascii="宋体" w:hAnsi="宋体"/>
                <w:bCs/>
                <w:sz w:val="22"/>
              </w:rPr>
            </w:pPr>
            <w:r>
              <w:rPr>
                <w:rFonts w:hint="eastAsia" w:ascii="宋体" w:hAnsi="宋体"/>
                <w:bCs/>
                <w:sz w:val="22"/>
              </w:rPr>
              <w:t>0-2分</w:t>
            </w:r>
          </w:p>
        </w:tc>
      </w:tr>
      <w:tr w14:paraId="63A1EA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9" w:type="pct"/>
            <w:vMerge w:val="continue"/>
            <w:tcBorders>
              <w:tl2br w:val="nil"/>
              <w:tr2bl w:val="nil"/>
            </w:tcBorders>
            <w:noWrap w:val="0"/>
            <w:vAlign w:val="center"/>
          </w:tcPr>
          <w:p w14:paraId="07AAD4B5">
            <w:pPr>
              <w:pStyle w:val="8"/>
              <w:adjustRightInd w:val="0"/>
              <w:snapToGrid w:val="0"/>
              <w:spacing w:before="60" w:after="60" w:line="240" w:lineRule="auto"/>
              <w:ind w:firstLine="440"/>
              <w:jc w:val="center"/>
              <w:rPr>
                <w:rFonts w:ascii="宋体" w:hAnsi="宋体"/>
                <w:sz w:val="22"/>
              </w:rPr>
            </w:pPr>
          </w:p>
        </w:tc>
        <w:tc>
          <w:tcPr>
            <w:tcW w:w="618" w:type="pct"/>
            <w:vMerge w:val="continue"/>
            <w:tcBorders>
              <w:tl2br w:val="nil"/>
              <w:tr2bl w:val="nil"/>
            </w:tcBorders>
            <w:noWrap w:val="0"/>
            <w:vAlign w:val="center"/>
          </w:tcPr>
          <w:p w14:paraId="39D704D9">
            <w:pPr>
              <w:widowControl/>
              <w:spacing w:before="60" w:after="60" w:line="240" w:lineRule="auto"/>
              <w:jc w:val="center"/>
              <w:rPr>
                <w:rFonts w:ascii="宋体" w:hAnsi="宋体"/>
                <w:sz w:val="22"/>
              </w:rPr>
            </w:pPr>
          </w:p>
        </w:tc>
        <w:tc>
          <w:tcPr>
            <w:tcW w:w="3412" w:type="pct"/>
            <w:tcBorders>
              <w:tl2br w:val="nil"/>
              <w:tr2bl w:val="nil"/>
            </w:tcBorders>
            <w:noWrap w:val="0"/>
            <w:vAlign w:val="center"/>
          </w:tcPr>
          <w:p w14:paraId="5137521E">
            <w:pPr>
              <w:spacing w:before="60" w:after="60" w:line="240" w:lineRule="auto"/>
              <w:jc w:val="left"/>
              <w:rPr>
                <w:rFonts w:hint="eastAsia" w:ascii="宋体" w:hAnsi="宋体" w:eastAsia="宋体"/>
                <w:snapToGrid w:val="0"/>
                <w:sz w:val="22"/>
                <w:lang w:eastAsia="zh-CN"/>
              </w:rPr>
            </w:pPr>
            <w:r>
              <w:rPr>
                <w:rFonts w:hint="eastAsia" w:ascii="宋体" w:hAnsi="宋体"/>
                <w:snapToGrid w:val="0"/>
                <w:sz w:val="22"/>
              </w:rPr>
              <w:t>投标人具有市级（含）以上院士工作站等高端智库的得</w:t>
            </w:r>
            <w:r>
              <w:rPr>
                <w:rFonts w:hint="eastAsia" w:ascii="宋体" w:hAnsi="宋体"/>
                <w:snapToGrid w:val="0"/>
                <w:sz w:val="22"/>
                <w:lang w:val="en-US" w:eastAsia="zh-CN"/>
              </w:rPr>
              <w:t>2</w:t>
            </w:r>
            <w:r>
              <w:rPr>
                <w:rFonts w:hint="eastAsia" w:ascii="宋体" w:hAnsi="宋体"/>
                <w:snapToGrid w:val="0"/>
                <w:sz w:val="22"/>
              </w:rPr>
              <w:t>分，没有不得分。</w:t>
            </w:r>
            <w:r>
              <w:rPr>
                <w:rFonts w:hint="eastAsia" w:ascii="宋体" w:hAnsi="宋体" w:cs="宋体"/>
                <w:b/>
                <w:bCs/>
                <w:color w:val="000000"/>
                <w:kern w:val="0"/>
                <w:sz w:val="22"/>
                <w:szCs w:val="22"/>
                <w:highlight w:val="none"/>
              </w:rPr>
              <w:t>提供相关证书复制件加盖公章，未提供不得分</w:t>
            </w:r>
            <w:r>
              <w:rPr>
                <w:rFonts w:hint="eastAsia" w:ascii="宋体" w:hAnsi="宋体" w:cs="宋体"/>
                <w:b/>
                <w:bCs/>
                <w:color w:val="000000"/>
                <w:kern w:val="0"/>
                <w:sz w:val="22"/>
                <w:szCs w:val="22"/>
                <w:highlight w:val="none"/>
                <w:lang w:eastAsia="zh-CN"/>
              </w:rPr>
              <w:t>。</w:t>
            </w:r>
          </w:p>
        </w:tc>
        <w:tc>
          <w:tcPr>
            <w:tcW w:w="638" w:type="pct"/>
            <w:tcBorders>
              <w:tl2br w:val="nil"/>
              <w:tr2bl w:val="nil"/>
            </w:tcBorders>
            <w:noWrap w:val="0"/>
            <w:vAlign w:val="center"/>
          </w:tcPr>
          <w:p w14:paraId="58183494">
            <w:pPr>
              <w:pStyle w:val="8"/>
              <w:adjustRightInd w:val="0"/>
              <w:snapToGrid w:val="0"/>
              <w:spacing w:before="60" w:after="60" w:line="240" w:lineRule="auto"/>
              <w:jc w:val="center"/>
              <w:rPr>
                <w:rFonts w:ascii="宋体" w:hAnsi="宋体"/>
                <w:bCs/>
                <w:sz w:val="22"/>
              </w:rPr>
            </w:pPr>
            <w:r>
              <w:rPr>
                <w:rFonts w:hint="eastAsia" w:ascii="宋体" w:hAnsi="宋体"/>
                <w:bCs/>
                <w:sz w:val="22"/>
              </w:rPr>
              <w:t>0-</w:t>
            </w:r>
            <w:r>
              <w:rPr>
                <w:rFonts w:hint="eastAsia" w:ascii="宋体" w:hAnsi="宋体"/>
                <w:bCs/>
                <w:sz w:val="22"/>
                <w:lang w:val="en-US" w:eastAsia="zh-CN"/>
              </w:rPr>
              <w:t>2</w:t>
            </w:r>
            <w:r>
              <w:rPr>
                <w:rFonts w:hint="eastAsia" w:ascii="宋体" w:hAnsi="宋体"/>
                <w:bCs/>
                <w:sz w:val="22"/>
              </w:rPr>
              <w:t>分</w:t>
            </w:r>
          </w:p>
        </w:tc>
      </w:tr>
      <w:tr w14:paraId="67854E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9" w:type="pct"/>
            <w:tcBorders>
              <w:tl2br w:val="nil"/>
              <w:tr2bl w:val="nil"/>
            </w:tcBorders>
            <w:noWrap w:val="0"/>
            <w:vAlign w:val="center"/>
          </w:tcPr>
          <w:p w14:paraId="066F1AD7">
            <w:pPr>
              <w:pStyle w:val="8"/>
              <w:adjustRightInd w:val="0"/>
              <w:snapToGrid w:val="0"/>
              <w:spacing w:before="60" w:after="60" w:line="240" w:lineRule="auto"/>
              <w:jc w:val="center"/>
              <w:rPr>
                <w:rFonts w:ascii="宋体" w:hAnsi="宋体"/>
                <w:sz w:val="22"/>
              </w:rPr>
            </w:pPr>
            <w:r>
              <w:rPr>
                <w:rFonts w:hint="eastAsia" w:ascii="宋体" w:hAnsi="宋体"/>
                <w:sz w:val="22"/>
              </w:rPr>
              <w:t>4</w:t>
            </w:r>
          </w:p>
        </w:tc>
        <w:tc>
          <w:tcPr>
            <w:tcW w:w="618" w:type="pct"/>
            <w:tcBorders>
              <w:tl2br w:val="nil"/>
              <w:tr2bl w:val="nil"/>
            </w:tcBorders>
            <w:noWrap w:val="0"/>
            <w:vAlign w:val="center"/>
          </w:tcPr>
          <w:p w14:paraId="4625DF7B">
            <w:pPr>
              <w:widowControl/>
              <w:spacing w:before="60" w:after="60" w:line="240" w:lineRule="auto"/>
              <w:jc w:val="center"/>
              <w:rPr>
                <w:rFonts w:ascii="宋体" w:hAnsi="宋体"/>
                <w:sz w:val="22"/>
              </w:rPr>
            </w:pPr>
            <w:r>
              <w:rPr>
                <w:rFonts w:hint="eastAsia" w:ascii="宋体" w:hAnsi="宋体"/>
                <w:sz w:val="22"/>
                <w:lang w:val="en-US" w:eastAsia="zh-CN"/>
              </w:rPr>
              <w:t>投标人</w:t>
            </w:r>
            <w:r>
              <w:rPr>
                <w:rFonts w:hint="eastAsia" w:ascii="宋体" w:hAnsi="宋体"/>
                <w:sz w:val="22"/>
              </w:rPr>
              <w:t>业绩（</w:t>
            </w:r>
            <w:r>
              <w:rPr>
                <w:rFonts w:hint="eastAsia" w:ascii="宋体" w:hAnsi="宋体"/>
                <w:sz w:val="22"/>
                <w:lang w:val="en-US" w:eastAsia="zh-CN"/>
              </w:rPr>
              <w:t>6</w:t>
            </w:r>
            <w:r>
              <w:rPr>
                <w:rFonts w:hint="eastAsia" w:ascii="宋体" w:hAnsi="宋体"/>
                <w:sz w:val="22"/>
              </w:rPr>
              <w:t>分）</w:t>
            </w:r>
          </w:p>
        </w:tc>
        <w:tc>
          <w:tcPr>
            <w:tcW w:w="3412" w:type="pct"/>
            <w:tcBorders>
              <w:tl2br w:val="nil"/>
              <w:tr2bl w:val="nil"/>
            </w:tcBorders>
            <w:noWrap w:val="0"/>
            <w:vAlign w:val="center"/>
          </w:tcPr>
          <w:p w14:paraId="4220FB42">
            <w:pPr>
              <w:spacing w:before="60" w:after="60" w:line="240" w:lineRule="auto"/>
              <w:rPr>
                <w:rFonts w:hint="default"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rPr>
              <w:t>投标人20</w:t>
            </w:r>
            <w:r>
              <w:rPr>
                <w:rFonts w:ascii="宋体" w:hAnsi="宋体" w:cs="宋体"/>
                <w:color w:val="000000"/>
                <w:kern w:val="0"/>
                <w:sz w:val="22"/>
                <w:szCs w:val="22"/>
                <w:highlight w:val="none"/>
              </w:rPr>
              <w:t>22</w:t>
            </w:r>
            <w:r>
              <w:rPr>
                <w:rFonts w:hint="eastAsia" w:ascii="宋体" w:hAnsi="宋体" w:cs="宋体"/>
                <w:color w:val="000000"/>
                <w:kern w:val="0"/>
                <w:sz w:val="22"/>
                <w:szCs w:val="22"/>
                <w:highlight w:val="none"/>
              </w:rPr>
              <w:t>年1月1日以来承担的信息化项目</w:t>
            </w:r>
            <w:r>
              <w:rPr>
                <w:rFonts w:hint="eastAsia" w:ascii="宋体" w:hAnsi="宋体" w:cs="宋体"/>
                <w:color w:val="000000"/>
                <w:kern w:val="0"/>
                <w:sz w:val="22"/>
                <w:szCs w:val="22"/>
                <w:highlight w:val="none"/>
                <w:lang w:val="en-US" w:eastAsia="zh-CN"/>
              </w:rPr>
              <w:t>或系统集成项目</w:t>
            </w:r>
            <w:r>
              <w:rPr>
                <w:rFonts w:hint="eastAsia" w:ascii="宋体" w:hAnsi="宋体" w:cs="宋体"/>
                <w:color w:val="000000"/>
                <w:kern w:val="0"/>
                <w:sz w:val="22"/>
                <w:szCs w:val="22"/>
                <w:highlight w:val="none"/>
              </w:rPr>
              <w:t>监理案例。</w:t>
            </w:r>
            <w:r>
              <w:rPr>
                <w:rFonts w:hint="eastAsia" w:ascii="宋体" w:hAnsi="宋体" w:cs="宋体"/>
                <w:color w:val="000000"/>
                <w:kern w:val="0"/>
                <w:sz w:val="22"/>
                <w:szCs w:val="22"/>
                <w:highlight w:val="none"/>
                <w:lang w:eastAsia="zh-CN"/>
              </w:rPr>
              <w:t>（</w:t>
            </w:r>
            <w:r>
              <w:rPr>
                <w:rFonts w:hint="eastAsia" w:ascii="宋体" w:hAnsi="宋体" w:cs="宋体"/>
                <w:color w:val="000000"/>
                <w:kern w:val="0"/>
                <w:sz w:val="22"/>
                <w:szCs w:val="22"/>
                <w:highlight w:val="none"/>
                <w:lang w:val="en-US" w:eastAsia="zh-CN"/>
              </w:rPr>
              <w:t>1</w:t>
            </w:r>
            <w:r>
              <w:rPr>
                <w:rFonts w:hint="eastAsia" w:ascii="宋体" w:hAnsi="宋体" w:cs="宋体"/>
                <w:color w:val="000000"/>
                <w:kern w:val="0"/>
                <w:sz w:val="22"/>
                <w:szCs w:val="22"/>
                <w:highlight w:val="none"/>
                <w:lang w:eastAsia="zh-CN"/>
              </w:rPr>
              <w:t>）</w:t>
            </w:r>
            <w:r>
              <w:rPr>
                <w:rFonts w:hint="eastAsia" w:ascii="宋体" w:hAnsi="宋体" w:cs="宋体"/>
                <w:color w:val="000000"/>
                <w:kern w:val="0"/>
                <w:sz w:val="22"/>
                <w:szCs w:val="22"/>
                <w:highlight w:val="none"/>
                <w:lang w:val="en-US" w:eastAsia="zh-CN"/>
              </w:rPr>
              <w:t>所监理项目投资额5000万元（含本数）以上的，</w:t>
            </w:r>
            <w:r>
              <w:rPr>
                <w:rFonts w:hint="eastAsia" w:ascii="宋体" w:hAnsi="宋体" w:cs="宋体"/>
                <w:color w:val="000000"/>
                <w:kern w:val="0"/>
                <w:sz w:val="22"/>
                <w:szCs w:val="22"/>
                <w:highlight w:val="none"/>
              </w:rPr>
              <w:t>每提供一个得</w:t>
            </w:r>
            <w:r>
              <w:rPr>
                <w:rFonts w:hint="eastAsia" w:ascii="宋体" w:hAnsi="宋体" w:cs="宋体"/>
                <w:color w:val="000000"/>
                <w:kern w:val="0"/>
                <w:sz w:val="22"/>
                <w:szCs w:val="22"/>
                <w:highlight w:val="none"/>
                <w:lang w:val="en-US" w:eastAsia="zh-CN"/>
              </w:rPr>
              <w:t>4</w:t>
            </w:r>
            <w:r>
              <w:rPr>
                <w:rFonts w:hint="eastAsia" w:ascii="宋体" w:hAnsi="宋体" w:cs="宋体"/>
                <w:color w:val="000000"/>
                <w:kern w:val="0"/>
                <w:sz w:val="22"/>
                <w:szCs w:val="22"/>
                <w:highlight w:val="none"/>
              </w:rPr>
              <w:t>分，最高得</w:t>
            </w:r>
            <w:r>
              <w:rPr>
                <w:rFonts w:hint="eastAsia" w:ascii="宋体" w:hAnsi="宋体" w:cs="宋体"/>
                <w:color w:val="000000"/>
                <w:kern w:val="0"/>
                <w:sz w:val="22"/>
                <w:szCs w:val="22"/>
                <w:highlight w:val="none"/>
                <w:lang w:val="en-US" w:eastAsia="zh-CN"/>
              </w:rPr>
              <w:t>4</w:t>
            </w:r>
            <w:r>
              <w:rPr>
                <w:rFonts w:hint="eastAsia" w:ascii="宋体" w:hAnsi="宋体" w:cs="宋体"/>
                <w:color w:val="000000"/>
                <w:kern w:val="0"/>
                <w:sz w:val="22"/>
                <w:szCs w:val="22"/>
                <w:highlight w:val="none"/>
              </w:rPr>
              <w:t>分</w:t>
            </w:r>
            <w:r>
              <w:rPr>
                <w:rFonts w:hint="eastAsia" w:ascii="宋体" w:hAnsi="宋体" w:cs="宋体"/>
                <w:color w:val="000000"/>
                <w:kern w:val="0"/>
                <w:sz w:val="22"/>
                <w:szCs w:val="22"/>
                <w:highlight w:val="none"/>
                <w:lang w:eastAsia="zh-CN"/>
              </w:rPr>
              <w:t>；（</w:t>
            </w:r>
            <w:r>
              <w:rPr>
                <w:rFonts w:hint="eastAsia" w:ascii="宋体" w:hAnsi="宋体" w:cs="宋体"/>
                <w:color w:val="000000"/>
                <w:kern w:val="0"/>
                <w:sz w:val="22"/>
                <w:szCs w:val="22"/>
                <w:highlight w:val="none"/>
                <w:lang w:val="en-US" w:eastAsia="zh-CN"/>
              </w:rPr>
              <w:t>2</w:t>
            </w:r>
            <w:r>
              <w:rPr>
                <w:rFonts w:hint="eastAsia" w:ascii="宋体" w:hAnsi="宋体" w:cs="宋体"/>
                <w:color w:val="000000"/>
                <w:kern w:val="0"/>
                <w:sz w:val="22"/>
                <w:szCs w:val="22"/>
                <w:highlight w:val="none"/>
                <w:lang w:eastAsia="zh-CN"/>
              </w:rPr>
              <w:t>）</w:t>
            </w:r>
            <w:r>
              <w:rPr>
                <w:rFonts w:hint="eastAsia" w:ascii="宋体" w:hAnsi="宋体" w:cs="宋体"/>
                <w:color w:val="000000"/>
                <w:kern w:val="0"/>
                <w:sz w:val="22"/>
                <w:szCs w:val="22"/>
                <w:highlight w:val="none"/>
                <w:lang w:val="en-US" w:eastAsia="zh-CN"/>
              </w:rPr>
              <w:t>所监理项目投资额1000万元（含本数）以上的，</w:t>
            </w:r>
            <w:r>
              <w:rPr>
                <w:rFonts w:hint="eastAsia" w:ascii="宋体" w:hAnsi="宋体" w:cs="宋体"/>
                <w:color w:val="000000"/>
                <w:kern w:val="0"/>
                <w:sz w:val="22"/>
                <w:szCs w:val="22"/>
                <w:highlight w:val="none"/>
              </w:rPr>
              <w:t>每提供一个得</w:t>
            </w:r>
            <w:r>
              <w:rPr>
                <w:rFonts w:hint="eastAsia" w:ascii="宋体" w:hAnsi="宋体" w:cs="宋体"/>
                <w:color w:val="000000"/>
                <w:kern w:val="0"/>
                <w:sz w:val="22"/>
                <w:szCs w:val="22"/>
                <w:highlight w:val="none"/>
                <w:lang w:val="en-US" w:eastAsia="zh-CN"/>
              </w:rPr>
              <w:t>1</w:t>
            </w:r>
            <w:r>
              <w:rPr>
                <w:rFonts w:hint="eastAsia" w:ascii="宋体" w:hAnsi="宋体" w:cs="宋体"/>
                <w:color w:val="000000"/>
                <w:kern w:val="0"/>
                <w:sz w:val="22"/>
                <w:szCs w:val="22"/>
                <w:highlight w:val="none"/>
              </w:rPr>
              <w:t>分，最高得</w:t>
            </w:r>
            <w:r>
              <w:rPr>
                <w:rFonts w:hint="eastAsia" w:ascii="宋体" w:hAnsi="宋体" w:cs="宋体"/>
                <w:color w:val="000000"/>
                <w:kern w:val="0"/>
                <w:sz w:val="22"/>
                <w:szCs w:val="22"/>
                <w:highlight w:val="none"/>
                <w:lang w:val="en-US" w:eastAsia="zh-CN"/>
              </w:rPr>
              <w:t>2</w:t>
            </w:r>
            <w:r>
              <w:rPr>
                <w:rFonts w:hint="eastAsia" w:ascii="宋体" w:hAnsi="宋体" w:cs="宋体"/>
                <w:color w:val="000000"/>
                <w:kern w:val="0"/>
                <w:sz w:val="22"/>
                <w:szCs w:val="22"/>
                <w:highlight w:val="none"/>
              </w:rPr>
              <w:t>分</w:t>
            </w:r>
            <w:r>
              <w:rPr>
                <w:rFonts w:hint="eastAsia" w:ascii="宋体" w:hAnsi="宋体" w:cs="宋体"/>
                <w:color w:val="000000"/>
                <w:kern w:val="0"/>
                <w:sz w:val="22"/>
                <w:szCs w:val="22"/>
                <w:highlight w:val="none"/>
                <w:lang w:eastAsia="zh-CN"/>
              </w:rPr>
              <w:t>；（</w:t>
            </w:r>
            <w:r>
              <w:rPr>
                <w:rFonts w:hint="eastAsia" w:ascii="宋体" w:hAnsi="宋体" w:cs="宋体"/>
                <w:color w:val="000000"/>
                <w:kern w:val="0"/>
                <w:sz w:val="22"/>
                <w:szCs w:val="22"/>
                <w:highlight w:val="none"/>
                <w:lang w:val="en-US" w:eastAsia="zh-CN"/>
              </w:rPr>
              <w:t>3</w:t>
            </w:r>
            <w:r>
              <w:rPr>
                <w:rFonts w:hint="eastAsia" w:ascii="宋体" w:hAnsi="宋体" w:cs="宋体"/>
                <w:color w:val="000000"/>
                <w:kern w:val="0"/>
                <w:sz w:val="22"/>
                <w:szCs w:val="22"/>
                <w:highlight w:val="none"/>
                <w:lang w:eastAsia="zh-CN"/>
              </w:rPr>
              <w:t>）</w:t>
            </w:r>
            <w:r>
              <w:rPr>
                <w:rFonts w:hint="eastAsia" w:ascii="宋体" w:hAnsi="宋体" w:cs="宋体"/>
                <w:color w:val="000000"/>
                <w:kern w:val="0"/>
                <w:sz w:val="22"/>
                <w:szCs w:val="22"/>
                <w:highlight w:val="none"/>
                <w:lang w:val="en-US" w:eastAsia="zh-CN"/>
              </w:rPr>
              <w:t>其他同类项目业绩</w:t>
            </w:r>
            <w:r>
              <w:rPr>
                <w:rFonts w:hint="eastAsia" w:ascii="宋体" w:hAnsi="宋体" w:cs="宋体"/>
                <w:color w:val="000000"/>
                <w:kern w:val="0"/>
                <w:sz w:val="22"/>
                <w:szCs w:val="22"/>
                <w:highlight w:val="none"/>
              </w:rPr>
              <w:t>每提供一个得</w:t>
            </w:r>
            <w:r>
              <w:rPr>
                <w:rFonts w:hint="eastAsia" w:ascii="宋体" w:hAnsi="宋体" w:cs="宋体"/>
                <w:color w:val="000000"/>
                <w:kern w:val="0"/>
                <w:sz w:val="22"/>
                <w:szCs w:val="22"/>
                <w:highlight w:val="none"/>
                <w:lang w:val="en-US" w:eastAsia="zh-CN"/>
              </w:rPr>
              <w:t>0.5</w:t>
            </w:r>
            <w:r>
              <w:rPr>
                <w:rFonts w:hint="eastAsia" w:ascii="宋体" w:hAnsi="宋体" w:cs="宋体"/>
                <w:color w:val="000000"/>
                <w:kern w:val="0"/>
                <w:sz w:val="22"/>
                <w:szCs w:val="22"/>
                <w:highlight w:val="none"/>
              </w:rPr>
              <w:t>分，最高得</w:t>
            </w:r>
            <w:r>
              <w:rPr>
                <w:rFonts w:hint="eastAsia" w:ascii="宋体" w:hAnsi="宋体" w:cs="宋体"/>
                <w:color w:val="000000"/>
                <w:kern w:val="0"/>
                <w:sz w:val="22"/>
                <w:szCs w:val="22"/>
                <w:highlight w:val="none"/>
                <w:lang w:val="en-US" w:eastAsia="zh-CN"/>
              </w:rPr>
              <w:t>3</w:t>
            </w:r>
            <w:r>
              <w:rPr>
                <w:rFonts w:hint="eastAsia" w:ascii="宋体" w:hAnsi="宋体" w:cs="宋体"/>
                <w:color w:val="000000"/>
                <w:kern w:val="0"/>
                <w:sz w:val="22"/>
                <w:szCs w:val="22"/>
                <w:highlight w:val="none"/>
              </w:rPr>
              <w:t>分</w:t>
            </w:r>
            <w:r>
              <w:rPr>
                <w:rFonts w:hint="eastAsia" w:ascii="宋体" w:hAnsi="宋体" w:cs="宋体"/>
                <w:color w:val="000000"/>
                <w:kern w:val="0"/>
                <w:sz w:val="22"/>
                <w:szCs w:val="22"/>
                <w:highlight w:val="none"/>
                <w:lang w:eastAsia="zh-CN"/>
              </w:rPr>
              <w:t>。</w:t>
            </w:r>
            <w:r>
              <w:rPr>
                <w:rFonts w:hint="eastAsia" w:ascii="宋体" w:hAnsi="宋体" w:cs="宋体"/>
                <w:color w:val="000000"/>
                <w:kern w:val="0"/>
                <w:sz w:val="22"/>
                <w:szCs w:val="22"/>
                <w:highlight w:val="none"/>
                <w:lang w:val="en-US" w:eastAsia="zh-CN"/>
              </w:rPr>
              <w:t>单个项目不得重复计分，合计最高得6分。</w:t>
            </w:r>
          </w:p>
          <w:p w14:paraId="57002230">
            <w:pPr>
              <w:spacing w:before="60" w:after="60" w:line="240" w:lineRule="auto"/>
              <w:rPr>
                <w:rFonts w:ascii="宋体" w:hAnsi="宋体"/>
                <w:sz w:val="22"/>
              </w:rPr>
            </w:pPr>
            <w:r>
              <w:rPr>
                <w:rFonts w:hint="eastAsia" w:ascii="宋体" w:hAnsi="宋体" w:cs="宋体"/>
                <w:b/>
                <w:bCs/>
                <w:color w:val="000000"/>
                <w:kern w:val="0"/>
                <w:sz w:val="22"/>
                <w:szCs w:val="22"/>
                <w:highlight w:val="none"/>
              </w:rPr>
              <w:t>提供合同复印件加盖公章，未提供不得分。确认业绩日期以合同签订时间为准。</w:t>
            </w:r>
          </w:p>
        </w:tc>
        <w:tc>
          <w:tcPr>
            <w:tcW w:w="638" w:type="pct"/>
            <w:tcBorders>
              <w:tl2br w:val="nil"/>
              <w:tr2bl w:val="nil"/>
            </w:tcBorders>
            <w:noWrap w:val="0"/>
            <w:vAlign w:val="center"/>
          </w:tcPr>
          <w:p w14:paraId="7770697C">
            <w:pPr>
              <w:pStyle w:val="8"/>
              <w:adjustRightInd w:val="0"/>
              <w:snapToGrid w:val="0"/>
              <w:spacing w:before="60" w:after="60" w:line="240" w:lineRule="auto"/>
              <w:jc w:val="center"/>
              <w:rPr>
                <w:rFonts w:ascii="宋体" w:hAnsi="宋体"/>
                <w:bCs/>
                <w:sz w:val="22"/>
              </w:rPr>
            </w:pPr>
            <w:r>
              <w:rPr>
                <w:rFonts w:hint="eastAsia" w:ascii="宋体" w:hAnsi="宋体"/>
                <w:bCs/>
                <w:sz w:val="22"/>
              </w:rPr>
              <w:t>0-</w:t>
            </w:r>
            <w:r>
              <w:rPr>
                <w:rFonts w:hint="eastAsia" w:ascii="宋体" w:hAnsi="宋体"/>
                <w:bCs/>
                <w:sz w:val="22"/>
                <w:lang w:val="en-US" w:eastAsia="zh-CN"/>
              </w:rPr>
              <w:t>6</w:t>
            </w:r>
            <w:r>
              <w:rPr>
                <w:rFonts w:hint="eastAsia" w:ascii="宋体" w:hAnsi="宋体"/>
                <w:bCs/>
                <w:sz w:val="22"/>
              </w:rPr>
              <w:t>分</w:t>
            </w:r>
          </w:p>
        </w:tc>
      </w:tr>
      <w:tr w14:paraId="478EDB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9" w:type="pct"/>
            <w:tcBorders>
              <w:tl2br w:val="nil"/>
              <w:tr2bl w:val="nil"/>
            </w:tcBorders>
            <w:noWrap w:val="0"/>
            <w:vAlign w:val="center"/>
          </w:tcPr>
          <w:p w14:paraId="217D338E">
            <w:pPr>
              <w:pStyle w:val="8"/>
              <w:adjustRightInd w:val="0"/>
              <w:snapToGrid w:val="0"/>
              <w:spacing w:before="60" w:after="60" w:line="240" w:lineRule="auto"/>
              <w:jc w:val="center"/>
              <w:rPr>
                <w:rFonts w:ascii="宋体" w:hAnsi="宋体"/>
                <w:sz w:val="22"/>
              </w:rPr>
            </w:pPr>
            <w:r>
              <w:rPr>
                <w:rFonts w:hint="eastAsia" w:ascii="宋体" w:hAnsi="宋体"/>
                <w:sz w:val="22"/>
              </w:rPr>
              <w:t>5</w:t>
            </w:r>
          </w:p>
        </w:tc>
        <w:tc>
          <w:tcPr>
            <w:tcW w:w="618" w:type="pct"/>
            <w:tcBorders>
              <w:tl2br w:val="nil"/>
              <w:tr2bl w:val="nil"/>
            </w:tcBorders>
            <w:noWrap w:val="0"/>
            <w:vAlign w:val="center"/>
          </w:tcPr>
          <w:p w14:paraId="4D32BF6D">
            <w:pPr>
              <w:widowControl/>
              <w:spacing w:before="60" w:after="60" w:line="240" w:lineRule="auto"/>
              <w:jc w:val="center"/>
              <w:rPr>
                <w:rFonts w:ascii="宋体" w:hAnsi="宋体"/>
                <w:sz w:val="22"/>
              </w:rPr>
            </w:pPr>
            <w:r>
              <w:rPr>
                <w:rFonts w:hint="eastAsia" w:ascii="宋体" w:hAnsi="宋体"/>
                <w:sz w:val="22"/>
              </w:rPr>
              <w:t>技术支持和售后服务（</w:t>
            </w:r>
            <w:r>
              <w:rPr>
                <w:rFonts w:hint="eastAsia" w:ascii="宋体" w:hAnsi="宋体"/>
                <w:sz w:val="22"/>
                <w:lang w:val="en-US" w:eastAsia="zh-CN"/>
              </w:rPr>
              <w:t>4</w:t>
            </w:r>
            <w:r>
              <w:rPr>
                <w:rFonts w:hint="eastAsia" w:ascii="宋体" w:hAnsi="宋体"/>
                <w:sz w:val="22"/>
              </w:rPr>
              <w:t>分）</w:t>
            </w:r>
          </w:p>
        </w:tc>
        <w:tc>
          <w:tcPr>
            <w:tcW w:w="3412" w:type="pct"/>
            <w:tcBorders>
              <w:tl2br w:val="nil"/>
              <w:tr2bl w:val="nil"/>
            </w:tcBorders>
            <w:noWrap w:val="0"/>
            <w:vAlign w:val="center"/>
          </w:tcPr>
          <w:p w14:paraId="519D2B4F">
            <w:pPr>
              <w:spacing w:before="60" w:after="60" w:line="240" w:lineRule="auto"/>
              <w:rPr>
                <w:rFonts w:ascii="宋体" w:hAnsi="宋体"/>
                <w:sz w:val="22"/>
              </w:rPr>
            </w:pPr>
            <w:r>
              <w:rPr>
                <w:rFonts w:hint="eastAsia" w:ascii="宋体" w:hAnsi="宋体" w:cs="宋体"/>
                <w:color w:val="000000"/>
                <w:kern w:val="0"/>
                <w:sz w:val="22"/>
                <w:szCs w:val="22"/>
                <w:highlight w:val="none"/>
              </w:rPr>
              <w:t>根据投标人本地化技术支持、售后服务能力和服务保障措施、服务承诺进行综合比较打分。</w:t>
            </w:r>
            <w:r>
              <w:rPr>
                <w:rFonts w:hint="eastAsia" w:ascii="宋体" w:hAnsi="宋体"/>
                <w:sz w:val="22"/>
              </w:rPr>
              <w:t>（0-</w:t>
            </w:r>
            <w:r>
              <w:rPr>
                <w:rFonts w:hint="eastAsia" w:ascii="宋体" w:hAnsi="宋体"/>
                <w:sz w:val="22"/>
                <w:lang w:val="en-US" w:eastAsia="zh-CN"/>
              </w:rPr>
              <w:t>4</w:t>
            </w:r>
            <w:r>
              <w:rPr>
                <w:rFonts w:hint="eastAsia" w:ascii="宋体" w:hAnsi="宋体"/>
                <w:sz w:val="22"/>
              </w:rPr>
              <w:t>分）</w:t>
            </w:r>
          </w:p>
        </w:tc>
        <w:tc>
          <w:tcPr>
            <w:tcW w:w="638" w:type="pct"/>
            <w:tcBorders>
              <w:tl2br w:val="nil"/>
              <w:tr2bl w:val="nil"/>
            </w:tcBorders>
            <w:noWrap w:val="0"/>
            <w:vAlign w:val="center"/>
          </w:tcPr>
          <w:p w14:paraId="0B817808">
            <w:pPr>
              <w:pStyle w:val="21"/>
              <w:snapToGrid w:val="0"/>
              <w:spacing w:before="60" w:after="60" w:line="240" w:lineRule="auto"/>
              <w:ind w:left="467" w:leftChars="52" w:hanging="358" w:hangingChars="163"/>
              <w:jc w:val="center"/>
              <w:rPr>
                <w:rFonts w:ascii="宋体" w:hAnsi="宋体"/>
                <w:bCs/>
                <w:sz w:val="22"/>
              </w:rPr>
            </w:pPr>
            <w:r>
              <w:rPr>
                <w:rFonts w:hint="eastAsia" w:ascii="宋体" w:hAnsi="宋体"/>
                <w:bCs/>
                <w:sz w:val="22"/>
              </w:rPr>
              <w:t>0-</w:t>
            </w:r>
            <w:r>
              <w:rPr>
                <w:rFonts w:hint="eastAsia" w:ascii="宋体" w:hAnsi="宋体"/>
                <w:bCs/>
                <w:sz w:val="22"/>
                <w:lang w:val="en-US" w:eastAsia="zh-CN"/>
              </w:rPr>
              <w:t>4</w:t>
            </w:r>
            <w:r>
              <w:rPr>
                <w:rFonts w:hint="eastAsia" w:ascii="宋体" w:hAnsi="宋体"/>
                <w:bCs/>
                <w:sz w:val="22"/>
              </w:rPr>
              <w:t>分</w:t>
            </w:r>
          </w:p>
        </w:tc>
      </w:tr>
    </w:tbl>
    <w:p w14:paraId="2EC6A3F2">
      <w:pPr>
        <w:spacing w:line="360" w:lineRule="auto"/>
        <w:rPr>
          <w:b/>
          <w:color w:val="auto"/>
          <w:sz w:val="22"/>
          <w:szCs w:val="22"/>
          <w:highlight w:val="none"/>
        </w:rPr>
      </w:pPr>
    </w:p>
    <w:p w14:paraId="5A69E532">
      <w:pPr>
        <w:spacing w:line="360" w:lineRule="auto"/>
        <w:rPr>
          <w:color w:val="auto"/>
          <w:sz w:val="22"/>
          <w:szCs w:val="22"/>
          <w:highlight w:val="none"/>
        </w:rPr>
      </w:pPr>
      <w:r>
        <w:rPr>
          <w:b/>
          <w:color w:val="auto"/>
          <w:sz w:val="22"/>
          <w:szCs w:val="22"/>
          <w:highlight w:val="none"/>
        </w:rPr>
        <w:t>2.</w:t>
      </w:r>
      <w:r>
        <w:rPr>
          <w:rFonts w:hint="eastAsia"/>
          <w:b/>
          <w:color w:val="auto"/>
          <w:sz w:val="22"/>
          <w:szCs w:val="22"/>
          <w:highlight w:val="none"/>
          <w:lang w:eastAsia="zh-CN"/>
        </w:rPr>
        <w:t>报价文件</w:t>
      </w:r>
      <w:r>
        <w:rPr>
          <w:b/>
          <w:color w:val="auto"/>
          <w:sz w:val="22"/>
          <w:szCs w:val="22"/>
          <w:highlight w:val="none"/>
        </w:rPr>
        <w:t>评分（</w:t>
      </w:r>
      <w:r>
        <w:rPr>
          <w:rFonts w:hint="eastAsia"/>
          <w:b/>
          <w:color w:val="auto"/>
          <w:sz w:val="22"/>
          <w:szCs w:val="22"/>
          <w:highlight w:val="none"/>
          <w:lang w:val="en-US" w:eastAsia="zh-CN"/>
        </w:rPr>
        <w:t>2</w:t>
      </w:r>
      <w:r>
        <w:rPr>
          <w:rFonts w:hint="eastAsia"/>
          <w:b/>
          <w:color w:val="auto"/>
          <w:sz w:val="22"/>
          <w:szCs w:val="22"/>
          <w:highlight w:val="none"/>
          <w:lang w:eastAsia="zh-CN"/>
        </w:rPr>
        <w:t>0</w:t>
      </w:r>
      <w:r>
        <w:rPr>
          <w:b/>
          <w:color w:val="auto"/>
          <w:sz w:val="22"/>
          <w:szCs w:val="22"/>
          <w:highlight w:val="none"/>
        </w:rPr>
        <w:t>分）</w:t>
      </w:r>
      <w:r>
        <w:rPr>
          <w:color w:val="auto"/>
          <w:sz w:val="22"/>
          <w:szCs w:val="22"/>
          <w:highlight w:val="none"/>
        </w:rPr>
        <w:t>：</w:t>
      </w:r>
    </w:p>
    <w:p w14:paraId="3825B168">
      <w:pPr>
        <w:spacing w:line="360" w:lineRule="auto"/>
        <w:ind w:left="328" w:leftChars="156" w:firstLine="108" w:firstLineChars="49"/>
        <w:rPr>
          <w:b/>
          <w:color w:val="auto"/>
          <w:sz w:val="22"/>
          <w:szCs w:val="22"/>
          <w:highlight w:val="none"/>
        </w:rPr>
      </w:pPr>
      <w:r>
        <w:rPr>
          <w:b/>
          <w:color w:val="auto"/>
          <w:sz w:val="22"/>
          <w:szCs w:val="22"/>
          <w:highlight w:val="none"/>
        </w:rPr>
        <w:t>满足采购文件要求且投标价格最低的投标报价为评标基准价。</w:t>
      </w:r>
    </w:p>
    <w:p w14:paraId="5478F576">
      <w:pPr>
        <w:spacing w:line="360" w:lineRule="auto"/>
        <w:ind w:firstLine="440" w:firstLineChars="200"/>
        <w:rPr>
          <w:color w:val="auto"/>
          <w:sz w:val="22"/>
          <w:szCs w:val="22"/>
          <w:highlight w:val="none"/>
        </w:rPr>
      </w:pPr>
      <w:r>
        <w:rPr>
          <w:color w:val="auto"/>
          <w:sz w:val="22"/>
          <w:szCs w:val="22"/>
          <w:highlight w:val="none"/>
        </w:rPr>
        <w:t>商务（价格）评分应在报价口径范围一致的评标价为依据。评标价应在最终报价的基础上，按照采购文件规定的因素和方法进行计算。因投标人自身失误造成多算、少算或漏算，不得调整。由评标专家对投标文件进行商务评审。评标专家应对商务报价的范围、数量、单价、费用组成和总价等进行全面审阅和对比分析。</w:t>
      </w:r>
    </w:p>
    <w:p w14:paraId="7B045DEA">
      <w:pPr>
        <w:spacing w:line="360" w:lineRule="auto"/>
        <w:ind w:firstLine="440" w:firstLineChars="200"/>
        <w:rPr>
          <w:color w:val="auto"/>
          <w:sz w:val="22"/>
          <w:szCs w:val="22"/>
          <w:highlight w:val="none"/>
        </w:rPr>
      </w:pPr>
      <w:r>
        <w:rPr>
          <w:color w:val="auto"/>
          <w:sz w:val="22"/>
          <w:szCs w:val="22"/>
          <w:highlight w:val="none"/>
        </w:rPr>
        <w:t>1）属投标人失误造成的报价差错和遗漏，不得调整。</w:t>
      </w:r>
    </w:p>
    <w:p w14:paraId="7386D784">
      <w:pPr>
        <w:spacing w:line="360" w:lineRule="auto"/>
        <w:ind w:firstLine="440" w:firstLineChars="200"/>
        <w:rPr>
          <w:color w:val="auto"/>
          <w:sz w:val="22"/>
          <w:szCs w:val="22"/>
          <w:highlight w:val="none"/>
        </w:rPr>
      </w:pPr>
      <w:r>
        <w:rPr>
          <w:color w:val="auto"/>
          <w:sz w:val="22"/>
          <w:szCs w:val="22"/>
          <w:highlight w:val="none"/>
        </w:rPr>
        <w:t>2）有效投标人的投标报价等于评标基准价时其商务（价格）分为满分</w:t>
      </w:r>
      <w:r>
        <w:rPr>
          <w:rFonts w:hint="eastAsia"/>
          <w:color w:val="auto"/>
          <w:sz w:val="22"/>
          <w:szCs w:val="22"/>
          <w:highlight w:val="none"/>
          <w:lang w:val="en-US" w:eastAsia="zh-CN"/>
        </w:rPr>
        <w:t>2</w:t>
      </w:r>
      <w:r>
        <w:rPr>
          <w:color w:val="auto"/>
          <w:sz w:val="22"/>
          <w:szCs w:val="22"/>
          <w:highlight w:val="none"/>
        </w:rPr>
        <w:t>0分；</w:t>
      </w:r>
    </w:p>
    <w:p w14:paraId="13B2BDB6">
      <w:pPr>
        <w:spacing w:line="360" w:lineRule="auto"/>
        <w:ind w:firstLine="440" w:firstLineChars="200"/>
        <w:rPr>
          <w:color w:val="auto"/>
          <w:sz w:val="22"/>
          <w:szCs w:val="22"/>
          <w:highlight w:val="none"/>
        </w:rPr>
      </w:pPr>
      <w:r>
        <w:rPr>
          <w:color w:val="auto"/>
          <w:sz w:val="22"/>
          <w:szCs w:val="22"/>
          <w:highlight w:val="none"/>
        </w:rPr>
        <w:t>3）其他投标人的价格分按以下公式计算：</w:t>
      </w:r>
    </w:p>
    <w:p w14:paraId="63ACB452">
      <w:pPr>
        <w:spacing w:line="360" w:lineRule="auto"/>
        <w:ind w:firstLine="440" w:firstLineChars="200"/>
        <w:rPr>
          <w:color w:val="auto"/>
          <w:sz w:val="22"/>
          <w:szCs w:val="22"/>
          <w:highlight w:val="none"/>
        </w:rPr>
      </w:pPr>
      <w:r>
        <w:rPr>
          <w:color w:val="auto"/>
          <w:sz w:val="22"/>
          <w:szCs w:val="22"/>
          <w:highlight w:val="none"/>
        </w:rPr>
        <w:t>商务（价格）分得分=（评标基准价/投标人最终评标价）×</w:t>
      </w:r>
      <w:r>
        <w:rPr>
          <w:rFonts w:hint="eastAsia"/>
          <w:color w:val="auto"/>
          <w:sz w:val="22"/>
          <w:szCs w:val="22"/>
          <w:highlight w:val="none"/>
          <w:lang w:val="en-US" w:eastAsia="zh-CN"/>
        </w:rPr>
        <w:t>2</w:t>
      </w:r>
      <w:r>
        <w:rPr>
          <w:color w:val="auto"/>
          <w:sz w:val="22"/>
          <w:szCs w:val="22"/>
          <w:highlight w:val="none"/>
        </w:rPr>
        <w:t>0% ×100（四舍五入后保留小数2位）最终评标价为投标总价。</w:t>
      </w:r>
    </w:p>
    <w:p w14:paraId="237C751A">
      <w:pPr>
        <w:spacing w:line="360" w:lineRule="auto"/>
        <w:ind w:firstLine="442" w:firstLineChars="200"/>
        <w:rPr>
          <w:b/>
          <w:color w:val="auto"/>
          <w:sz w:val="22"/>
          <w:szCs w:val="22"/>
          <w:highlight w:val="none"/>
          <w:u w:val="single"/>
        </w:rPr>
      </w:pPr>
      <w:r>
        <w:rPr>
          <w:b/>
          <w:color w:val="auto"/>
          <w:sz w:val="22"/>
          <w:szCs w:val="22"/>
          <w:highlight w:val="none"/>
          <w:u w:val="single"/>
        </w:rPr>
        <w:t>4）▲</w:t>
      </w:r>
      <w:r>
        <w:rPr>
          <w:b/>
          <w:color w:val="auto"/>
          <w:kern w:val="0"/>
          <w:sz w:val="22"/>
          <w:szCs w:val="22"/>
          <w:highlight w:val="none"/>
          <w:u w:val="single"/>
        </w:rPr>
        <w:t>本项目最高限价为</w:t>
      </w:r>
      <w:r>
        <w:rPr>
          <w:rFonts w:hint="eastAsia"/>
          <w:b/>
          <w:color w:val="auto"/>
          <w:kern w:val="0"/>
          <w:sz w:val="22"/>
          <w:szCs w:val="22"/>
          <w:highlight w:val="none"/>
          <w:u w:val="single"/>
          <w:lang w:val="en-US" w:eastAsia="zh-CN"/>
        </w:rPr>
        <w:t>62.4</w:t>
      </w:r>
      <w:r>
        <w:rPr>
          <w:b/>
          <w:color w:val="auto"/>
          <w:kern w:val="0"/>
          <w:sz w:val="22"/>
          <w:szCs w:val="22"/>
          <w:highlight w:val="none"/>
          <w:u w:val="single"/>
        </w:rPr>
        <w:t>万元，如投标供应商投标报价超过最高限价的作无效标处理。</w:t>
      </w:r>
      <w:r>
        <w:rPr>
          <w:b/>
          <w:color w:val="auto"/>
          <w:sz w:val="22"/>
          <w:szCs w:val="22"/>
          <w:highlight w:val="none"/>
        </w:rPr>
        <w:t xml:space="preserve">  </w:t>
      </w:r>
    </w:p>
    <w:p w14:paraId="5F3DD717">
      <w:pPr>
        <w:spacing w:line="360" w:lineRule="auto"/>
        <w:ind w:firstLine="442" w:firstLineChars="200"/>
        <w:rPr>
          <w:b/>
          <w:color w:val="auto"/>
          <w:sz w:val="22"/>
          <w:szCs w:val="22"/>
          <w:highlight w:val="none"/>
          <w:u w:val="single"/>
        </w:rPr>
      </w:pPr>
      <w:r>
        <w:rPr>
          <w:b/>
          <w:color w:val="auto"/>
          <w:sz w:val="22"/>
          <w:szCs w:val="22"/>
          <w:highlight w:val="none"/>
          <w:u w:val="single"/>
        </w:rPr>
        <w:t>5）▲所有投标人的报价均超出本项目最高控制价的，本项目做流标处理，应重新组织采购</w:t>
      </w:r>
      <w:r>
        <w:rPr>
          <w:b/>
          <w:color w:val="auto"/>
          <w:sz w:val="22"/>
          <w:szCs w:val="22"/>
          <w:highlight w:val="none"/>
        </w:rPr>
        <w:t>。</w:t>
      </w:r>
    </w:p>
    <w:p w14:paraId="438C8377">
      <w:pPr>
        <w:widowControl/>
        <w:spacing w:line="360" w:lineRule="auto"/>
        <w:rPr>
          <w:color w:val="auto"/>
          <w:sz w:val="22"/>
          <w:szCs w:val="22"/>
          <w:highlight w:val="none"/>
        </w:rPr>
      </w:pPr>
      <w:r>
        <w:rPr>
          <w:color w:val="auto"/>
          <w:sz w:val="22"/>
          <w:szCs w:val="22"/>
          <w:highlight w:val="none"/>
        </w:rPr>
        <w:t>3.有效投标人的综合得分为技术资信分和商务（价格）分的总和。</w:t>
      </w:r>
    </w:p>
    <w:p w14:paraId="613EE294">
      <w:pPr>
        <w:spacing w:line="360" w:lineRule="auto"/>
        <w:rPr>
          <w:color w:val="auto"/>
          <w:sz w:val="22"/>
          <w:szCs w:val="22"/>
          <w:highlight w:val="none"/>
        </w:rPr>
      </w:pPr>
      <w:r>
        <w:rPr>
          <w:color w:val="auto"/>
          <w:sz w:val="22"/>
          <w:szCs w:val="22"/>
          <w:highlight w:val="none"/>
        </w:rPr>
        <w:t>4.评标委员会按综合得分高低顺序排列</w:t>
      </w:r>
    </w:p>
    <w:p w14:paraId="71C4FBC4">
      <w:pPr>
        <w:spacing w:line="360" w:lineRule="auto"/>
        <w:ind w:firstLine="440" w:firstLineChars="200"/>
        <w:rPr>
          <w:color w:val="auto"/>
          <w:sz w:val="22"/>
          <w:szCs w:val="22"/>
          <w:highlight w:val="none"/>
        </w:rPr>
      </w:pPr>
      <w:r>
        <w:rPr>
          <w:color w:val="auto"/>
          <w:sz w:val="22"/>
          <w:szCs w:val="22"/>
          <w:highlight w:val="none"/>
        </w:rPr>
        <w:t>4.1</w:t>
      </w:r>
      <w:r>
        <w:rPr>
          <w:color w:val="auto"/>
          <w:sz w:val="22"/>
          <w:highlight w:val="none"/>
        </w:rPr>
        <w:t>评标委员会按各有效投标供应商综合得分高低顺序排列，综合得分第一名、第二名的投标供应商</w:t>
      </w:r>
      <w:r>
        <w:rPr>
          <w:color w:val="auto"/>
          <w:sz w:val="22"/>
          <w:szCs w:val="22"/>
          <w:highlight w:val="none"/>
        </w:rPr>
        <w:t>依次作为该项目</w:t>
      </w:r>
      <w:r>
        <w:rPr>
          <w:color w:val="auto"/>
          <w:sz w:val="22"/>
          <w:szCs w:val="22"/>
          <w:highlight w:val="none"/>
          <w:u w:val="single"/>
        </w:rPr>
        <w:t>第一中标候选人和第二中标候选人</w:t>
      </w:r>
      <w:r>
        <w:rPr>
          <w:color w:val="auto"/>
          <w:sz w:val="22"/>
          <w:szCs w:val="22"/>
          <w:highlight w:val="none"/>
        </w:rPr>
        <w:t>向采购人推荐</w:t>
      </w:r>
      <w:r>
        <w:rPr>
          <w:color w:val="auto"/>
          <w:sz w:val="22"/>
          <w:highlight w:val="none"/>
        </w:rPr>
        <w:t>，并提交评标报告。</w:t>
      </w:r>
      <w:r>
        <w:rPr>
          <w:color w:val="auto"/>
          <w:sz w:val="22"/>
          <w:szCs w:val="22"/>
          <w:highlight w:val="none"/>
        </w:rPr>
        <w:t>综合得分相同的，按投标报价由低到高进行排序；综合得分且投标报价相同的，由评标委员会抽签决定排序。</w:t>
      </w:r>
    </w:p>
    <w:p w14:paraId="0CB9B82D">
      <w:pPr>
        <w:spacing w:line="360" w:lineRule="auto"/>
        <w:ind w:firstLine="440" w:firstLineChars="200"/>
        <w:rPr>
          <w:color w:val="auto"/>
          <w:sz w:val="22"/>
          <w:szCs w:val="22"/>
          <w:highlight w:val="none"/>
        </w:rPr>
      </w:pPr>
      <w:r>
        <w:rPr>
          <w:color w:val="auto"/>
          <w:sz w:val="22"/>
          <w:szCs w:val="22"/>
          <w:highlight w:val="none"/>
        </w:rPr>
        <w:t>4.2按评审结果提交评标报告。</w:t>
      </w:r>
    </w:p>
    <w:p w14:paraId="3AA8D129">
      <w:pPr>
        <w:numPr>
          <w:ilvl w:val="0"/>
          <w:numId w:val="20"/>
        </w:numPr>
        <w:wordWrap w:val="0"/>
        <w:spacing w:line="360" w:lineRule="auto"/>
        <w:outlineLvl w:val="1"/>
        <w:rPr>
          <w:b/>
          <w:bCs/>
          <w:color w:val="auto"/>
          <w:sz w:val="22"/>
          <w:szCs w:val="22"/>
          <w:highlight w:val="none"/>
        </w:rPr>
      </w:pPr>
      <w:r>
        <w:rPr>
          <w:b/>
          <w:bCs/>
          <w:color w:val="auto"/>
          <w:sz w:val="22"/>
          <w:szCs w:val="22"/>
          <w:highlight w:val="none"/>
        </w:rPr>
        <w:t>定标办法</w:t>
      </w:r>
    </w:p>
    <w:p w14:paraId="6C2689DF">
      <w:pPr>
        <w:spacing w:line="360" w:lineRule="auto"/>
        <w:ind w:firstLine="330" w:firstLineChars="150"/>
        <w:rPr>
          <w:color w:val="auto"/>
          <w:sz w:val="22"/>
          <w:szCs w:val="22"/>
          <w:highlight w:val="none"/>
        </w:rPr>
      </w:pPr>
      <w:r>
        <w:rPr>
          <w:color w:val="auto"/>
          <w:sz w:val="22"/>
          <w:szCs w:val="22"/>
          <w:highlight w:val="none"/>
        </w:rPr>
        <w:t>1.评标委员会依据法律、法规及采购文件有关规定在有效投标供应商的综合得分高到低进行排序，综合得分前</w:t>
      </w:r>
      <w:r>
        <w:rPr>
          <w:b/>
          <w:bCs/>
          <w:color w:val="auto"/>
          <w:sz w:val="22"/>
          <w:szCs w:val="22"/>
          <w:highlight w:val="none"/>
          <w:u w:val="single"/>
        </w:rPr>
        <w:t xml:space="preserve"> </w:t>
      </w:r>
      <w:r>
        <w:rPr>
          <w:color w:val="auto"/>
          <w:sz w:val="22"/>
          <w:szCs w:val="22"/>
          <w:highlight w:val="none"/>
          <w:u w:val="single"/>
        </w:rPr>
        <w:t>2</w:t>
      </w:r>
      <w:r>
        <w:rPr>
          <w:b/>
          <w:bCs/>
          <w:color w:val="auto"/>
          <w:sz w:val="22"/>
          <w:szCs w:val="22"/>
          <w:highlight w:val="none"/>
          <w:u w:val="single"/>
        </w:rPr>
        <w:t xml:space="preserve"> </w:t>
      </w:r>
      <w:r>
        <w:rPr>
          <w:color w:val="auto"/>
          <w:sz w:val="22"/>
          <w:szCs w:val="22"/>
          <w:highlight w:val="none"/>
        </w:rPr>
        <w:t>名投标供应商依次作为该项目</w:t>
      </w:r>
      <w:r>
        <w:rPr>
          <w:color w:val="auto"/>
          <w:sz w:val="22"/>
          <w:szCs w:val="22"/>
          <w:highlight w:val="none"/>
          <w:u w:val="single"/>
        </w:rPr>
        <w:t>第一中标候选人和第二中标候选人</w:t>
      </w:r>
      <w:r>
        <w:rPr>
          <w:color w:val="auto"/>
          <w:sz w:val="22"/>
          <w:szCs w:val="22"/>
          <w:highlight w:val="none"/>
        </w:rPr>
        <w:t>向采购人推荐，并提交评标报告。综合得分相同的，按投标报价由低到高进行排序；综合得分且投标报价相同的，由评标委员会抽签决定排序。</w:t>
      </w:r>
    </w:p>
    <w:p w14:paraId="73F02E4B">
      <w:pPr>
        <w:spacing w:line="360" w:lineRule="auto"/>
        <w:ind w:firstLine="330" w:firstLineChars="150"/>
        <w:rPr>
          <w:color w:val="auto"/>
          <w:sz w:val="22"/>
          <w:szCs w:val="22"/>
          <w:highlight w:val="none"/>
        </w:rPr>
      </w:pPr>
      <w:r>
        <w:rPr>
          <w:color w:val="auto"/>
          <w:sz w:val="22"/>
          <w:szCs w:val="22"/>
          <w:highlight w:val="none"/>
        </w:rPr>
        <w:t>2.采购人根据评标委员会的意见进行最终确认中标候选人。</w:t>
      </w:r>
    </w:p>
    <w:p w14:paraId="5A5D7AF7">
      <w:pPr>
        <w:spacing w:line="360" w:lineRule="auto"/>
        <w:ind w:firstLine="330" w:firstLineChars="150"/>
        <w:rPr>
          <w:color w:val="auto"/>
          <w:sz w:val="22"/>
          <w:szCs w:val="22"/>
          <w:highlight w:val="none"/>
        </w:rPr>
      </w:pPr>
      <w:r>
        <w:rPr>
          <w:color w:val="auto"/>
          <w:sz w:val="22"/>
          <w:szCs w:val="22"/>
          <w:highlight w:val="none"/>
        </w:rPr>
        <w:t>3.排名第一的中标候选人放弃中标；因不可抗力提出不能履行合同；或者采购文件规定应当提交履约担保而在规定的期限内未能提交的；或未能在规定时间内与采购人签订合同的；或者经质疑，采购人审查后，确因排名第一的候选人在本次采购活动中存在违法违规行为或其他原因使质疑成立的，采购人</w:t>
      </w:r>
      <w:r>
        <w:rPr>
          <w:color w:val="auto"/>
          <w:sz w:val="22"/>
          <w:szCs w:val="22"/>
          <w:highlight w:val="none"/>
          <w:u w:val="single"/>
        </w:rPr>
        <w:t>可以视具体情况确定是否由排名第二的中标候选人为中标（成交）供应商</w:t>
      </w:r>
      <w:r>
        <w:rPr>
          <w:color w:val="auto"/>
          <w:sz w:val="22"/>
          <w:szCs w:val="22"/>
          <w:highlight w:val="none"/>
        </w:rPr>
        <w:t>，或重新组织采购。</w:t>
      </w:r>
    </w:p>
    <w:p w14:paraId="05FA8168">
      <w:pPr>
        <w:numPr>
          <w:ilvl w:val="0"/>
          <w:numId w:val="20"/>
        </w:numPr>
        <w:wordWrap w:val="0"/>
        <w:spacing w:line="360" w:lineRule="auto"/>
        <w:outlineLvl w:val="1"/>
        <w:rPr>
          <w:b/>
          <w:bCs/>
          <w:color w:val="auto"/>
          <w:sz w:val="22"/>
          <w:szCs w:val="22"/>
          <w:highlight w:val="none"/>
        </w:rPr>
      </w:pPr>
      <w:r>
        <w:rPr>
          <w:b/>
          <w:bCs/>
          <w:color w:val="auto"/>
          <w:sz w:val="22"/>
          <w:szCs w:val="22"/>
          <w:highlight w:val="none"/>
        </w:rPr>
        <w:t>确定中标人</w:t>
      </w:r>
    </w:p>
    <w:p w14:paraId="7981AA52">
      <w:pPr>
        <w:spacing w:line="360" w:lineRule="auto"/>
        <w:ind w:firstLine="330" w:firstLineChars="150"/>
        <w:rPr>
          <w:color w:val="auto"/>
          <w:sz w:val="22"/>
          <w:szCs w:val="22"/>
          <w:highlight w:val="none"/>
        </w:rPr>
      </w:pPr>
      <w:r>
        <w:rPr>
          <w:color w:val="auto"/>
          <w:sz w:val="22"/>
          <w:szCs w:val="22"/>
          <w:highlight w:val="none"/>
        </w:rPr>
        <w:t>评标结束后，采购人将在乐采云平台与温州市国有企业采购信息平台及其他指定信息发布媒体上公示中标结果。公示期结束，在规定期限内无异议则采购代理将向中标人发出中标通知书。中标通知书对采购人和中标人均具有同等法律效力。</w:t>
      </w:r>
    </w:p>
    <w:p w14:paraId="3200039A">
      <w:pPr>
        <w:numPr>
          <w:ilvl w:val="0"/>
          <w:numId w:val="20"/>
        </w:numPr>
        <w:wordWrap w:val="0"/>
        <w:spacing w:line="360" w:lineRule="auto"/>
        <w:outlineLvl w:val="1"/>
        <w:rPr>
          <w:b/>
          <w:bCs/>
          <w:color w:val="auto"/>
          <w:sz w:val="22"/>
          <w:szCs w:val="22"/>
          <w:highlight w:val="none"/>
        </w:rPr>
      </w:pPr>
      <w:r>
        <w:rPr>
          <w:b/>
          <w:bCs/>
          <w:color w:val="auto"/>
          <w:sz w:val="22"/>
          <w:szCs w:val="22"/>
          <w:highlight w:val="none"/>
        </w:rPr>
        <w:t>投标人义务</w:t>
      </w:r>
    </w:p>
    <w:p w14:paraId="36AA8A12">
      <w:pPr>
        <w:spacing w:line="360" w:lineRule="auto"/>
        <w:ind w:firstLine="330" w:firstLineChars="150"/>
        <w:rPr>
          <w:color w:val="auto"/>
          <w:sz w:val="24"/>
          <w:highlight w:val="none"/>
        </w:rPr>
      </w:pPr>
      <w:r>
        <w:rPr>
          <w:color w:val="auto"/>
          <w:sz w:val="22"/>
          <w:szCs w:val="22"/>
          <w:highlight w:val="none"/>
        </w:rPr>
        <w:t>投标人应随时接受评标委员会的询标，解答包括有关的商务、技术问题等。评标结束，所有评标资料存招标机构备查。</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sectPr>
      <w:pgSz w:w="11906" w:h="16838"/>
      <w:pgMar w:top="1134" w:right="1134" w:bottom="1134" w:left="1134" w:header="851" w:footer="851"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KaiTi_GB2312">
    <w:altName w:val="华文宋体"/>
    <w:panose1 w:val="02010609060101010101"/>
    <w:charset w:val="86"/>
    <w:family w:val="modern"/>
    <w:pitch w:val="default"/>
    <w:sig w:usb0="00000000" w:usb1="0000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FangSong_GB2312">
    <w:altName w:val="仿宋_GB2312"/>
    <w:panose1 w:val="00020600040101010101"/>
    <w:charset w:val="86"/>
    <w:family w:val="auto"/>
    <w:pitch w:val="default"/>
    <w:sig w:usb0="00000000" w:usb1="00000000" w:usb2="00000016" w:usb3="00000000" w:csb0="0004009F" w:csb1="DFD70000"/>
  </w:font>
  <w:font w:name="仿宋">
    <w:panose1 w:val="02010609060101010101"/>
    <w:charset w:val="86"/>
    <w:family w:val="modern"/>
    <w:pitch w:val="default"/>
    <w:sig w:usb0="800002BF" w:usb1="38CF7CFA" w:usb2="00000016" w:usb3="00000000" w:csb0="00040001" w:csb1="00000000"/>
  </w:font>
  <w:font w:name="E-F1">
    <w:altName w:val="Malgun Gothic"/>
    <w:panose1 w:val="00000000000000000000"/>
    <w:charset w:val="81"/>
    <w:family w:val="roman"/>
    <w:pitch w:val="default"/>
    <w:sig w:usb0="00000000" w:usb1="00000000" w:usb2="00000033" w:usb3="00000000" w:csb0="00080000" w:csb1="00000000"/>
  </w:font>
  <w:font w:name="Malgun Gothic">
    <w:panose1 w:val="020B0503020000020004"/>
    <w:charset w:val="81"/>
    <w:family w:val="auto"/>
    <w:pitch w:val="default"/>
    <w:sig w:usb0="9000002F" w:usb1="29D77CFB" w:usb2="00000012" w:usb3="00000000" w:csb0="00080001" w:csb1="00000000"/>
  </w:font>
  <w:font w:name="EU-F1">
    <w:altName w:val="宋体"/>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93098">
    <w:pPr>
      <w:pStyle w:val="16"/>
      <w:tabs>
        <w:tab w:val="center" w:pos="4819"/>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82FEA">
    <w:pPr>
      <w:pStyle w:val="16"/>
      <w:tabs>
        <w:tab w:val="center" w:pos="4819"/>
        <w:tab w:val="clear" w:pos="4153"/>
      </w:tabs>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0C671">
    <w:pPr>
      <w:pStyle w:val="16"/>
      <w:tabs>
        <w:tab w:val="center" w:pos="4819"/>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0E1C9B">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180E1C9B">
                    <w:pPr>
                      <w:pStyle w:val="16"/>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A6926">
    <w:pPr>
      <w:pStyle w:val="16"/>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9538C8">
                          <w:pPr>
                            <w:pStyle w:val="16"/>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019538C8">
                    <w:pPr>
                      <w:pStyle w:val="16"/>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CDC3B">
    <w:pPr>
      <w:pStyle w:val="16"/>
      <w:framePr w:wrap="around" w:vAnchor="text" w:hAnchor="margin" w:xAlign="center" w:y="1"/>
    </w:pPr>
    <w:r>
      <w:fldChar w:fldCharType="begin"/>
    </w:r>
    <w:r>
      <w:rPr>
        <w:rStyle w:val="33"/>
      </w:rPr>
      <w:instrText xml:space="preserve">PAGE  </w:instrText>
    </w:r>
    <w:r>
      <w:fldChar w:fldCharType="end"/>
    </w:r>
  </w:p>
  <w:p w14:paraId="5CB590ED">
    <w:pPr>
      <w:pStyle w:val="16"/>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26743">
    <w:pPr>
      <w:pStyle w:val="16"/>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B5503C">
                          <w:pPr>
                            <w:pStyle w:val="16"/>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5BB5503C">
                    <w:pPr>
                      <w:pStyle w:val="16"/>
                    </w:pPr>
                    <w:r>
                      <w:fldChar w:fldCharType="begin"/>
                    </w:r>
                    <w:r>
                      <w:instrText xml:space="preserve"> PAGE  \* MERGEFORMAT </w:instrText>
                    </w:r>
                    <w:r>
                      <w:fldChar w:fldCharType="separate"/>
                    </w:r>
                    <w:r>
                      <w:t>32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ED9C1">
    <w:pPr>
      <w:pStyle w:val="17"/>
      <w:pBdr>
        <w:bottom w:val="none" w:color="000000" w:sz="0" w:space="1"/>
      </w:pBdr>
      <w:jc w:val="both"/>
      <w:rPr>
        <w:rFonts w:ascii="Arial" w:hAnsi="Arial" w:cs="Arial"/>
      </w:rPr>
    </w:pPr>
    <w:r>
      <w:rPr>
        <w:rFonts w:ascii="Arial" w:hAnsi="Arial" w:cs="Arial"/>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B6E7C">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FC78B">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818883"/>
    <w:multiLevelType w:val="singleLevel"/>
    <w:tmpl w:val="E9818883"/>
    <w:lvl w:ilvl="0" w:tentative="0">
      <w:start w:val="1"/>
      <w:numFmt w:val="chineseCounting"/>
      <w:suff w:val="nothing"/>
      <w:lvlText w:val="%1、"/>
      <w:lvlJc w:val="left"/>
      <w:rPr>
        <w:rFonts w:hint="eastAsia"/>
      </w:rPr>
    </w:lvl>
  </w:abstractNum>
  <w:abstractNum w:abstractNumId="1">
    <w:nsid w:val="00000004"/>
    <w:multiLevelType w:val="multilevel"/>
    <w:tmpl w:val="00000004"/>
    <w:lvl w:ilvl="0" w:tentative="0">
      <w:start w:val="1"/>
      <w:numFmt w:val="none"/>
      <w:lvlText w:val=""/>
      <w:lvlJc w:val="left"/>
      <w:pPr>
        <w:tabs>
          <w:tab w:val="left" w:pos="425"/>
        </w:tabs>
        <w:ind w:left="425" w:hanging="425"/>
      </w:pPr>
      <w:rPr>
        <w:rFonts w:hint="eastAsia"/>
      </w:rPr>
    </w:lvl>
    <w:lvl w:ilvl="1" w:tentative="0">
      <w:start w:val="1"/>
      <w:numFmt w:val="decimal"/>
      <w:lvlText w:val="%116.%2"/>
      <w:lvlJc w:val="left"/>
      <w:pPr>
        <w:tabs>
          <w:tab w:val="left" w:pos="992"/>
        </w:tabs>
        <w:ind w:left="992" w:hanging="567"/>
      </w:pPr>
      <w:rPr>
        <w:rFonts w:hint="eastAsia" w:ascii="新宋体" w:hAnsi="新宋体" w:eastAsia="新宋体" w:cs="黑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
    <w:nsid w:val="00000006"/>
    <w:multiLevelType w:val="multilevel"/>
    <w:tmpl w:val="00000006"/>
    <w:lvl w:ilvl="0" w:tentative="0">
      <w:start w:val="1"/>
      <w:numFmt w:val="none"/>
      <w:lvlText w:val=""/>
      <w:lvlJc w:val="left"/>
      <w:pPr>
        <w:tabs>
          <w:tab w:val="left" w:pos="425"/>
        </w:tabs>
        <w:ind w:left="425" w:hanging="425"/>
      </w:pPr>
      <w:rPr>
        <w:rFonts w:hint="eastAsia"/>
      </w:rPr>
    </w:lvl>
    <w:lvl w:ilvl="1" w:tentative="0">
      <w:start w:val="1"/>
      <w:numFmt w:val="decimal"/>
      <w:lvlText w:val="%117.%2"/>
      <w:lvlJc w:val="left"/>
      <w:pPr>
        <w:tabs>
          <w:tab w:val="left" w:pos="992"/>
        </w:tabs>
        <w:ind w:left="992" w:hanging="567"/>
      </w:pPr>
      <w:rPr>
        <w:rFonts w:hint="eastAsia" w:ascii="新宋体" w:hAnsi="新宋体" w:eastAsia="新宋体" w:cs="黑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3">
    <w:nsid w:val="00000009"/>
    <w:multiLevelType w:val="multilevel"/>
    <w:tmpl w:val="00000009"/>
    <w:lvl w:ilvl="0" w:tentative="0">
      <w:start w:val="1"/>
      <w:numFmt w:val="none"/>
      <w:lvlText w:val=""/>
      <w:lvlJc w:val="left"/>
      <w:pPr>
        <w:tabs>
          <w:tab w:val="left" w:pos="425"/>
        </w:tabs>
        <w:ind w:left="425" w:hanging="425"/>
      </w:pPr>
      <w:rPr>
        <w:rFonts w:hint="eastAsia"/>
      </w:rPr>
    </w:lvl>
    <w:lvl w:ilvl="1" w:tentative="0">
      <w:start w:val="1"/>
      <w:numFmt w:val="decimal"/>
      <w:lvlText w:val="%114.%2"/>
      <w:lvlJc w:val="left"/>
      <w:pPr>
        <w:tabs>
          <w:tab w:val="left" w:pos="992"/>
        </w:tabs>
        <w:ind w:left="992" w:hanging="567"/>
      </w:pPr>
      <w:rPr>
        <w:rFonts w:hint="eastAsia" w:ascii="新宋体" w:hAnsi="新宋体" w:eastAsia="新宋体" w:cs="黑体"/>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4">
    <w:nsid w:val="0000000A"/>
    <w:multiLevelType w:val="multilevel"/>
    <w:tmpl w:val="0000000A"/>
    <w:lvl w:ilvl="0" w:tentative="0">
      <w:start w:val="1"/>
      <w:numFmt w:val="decimal"/>
      <w:lvlText w:val="（%1）"/>
      <w:lvlJc w:val="left"/>
      <w:pPr>
        <w:tabs>
          <w:tab w:val="left" w:pos="420"/>
        </w:tabs>
        <w:ind w:left="420" w:hanging="420"/>
      </w:pPr>
      <w:rPr>
        <w:rFonts w:hint="eastAsia"/>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B"/>
    <w:multiLevelType w:val="multilevel"/>
    <w:tmpl w:val="0000000B"/>
    <w:lvl w:ilvl="0" w:tentative="0">
      <w:start w:val="1"/>
      <w:numFmt w:val="none"/>
      <w:lvlText w:val=""/>
      <w:lvlJc w:val="left"/>
      <w:pPr>
        <w:tabs>
          <w:tab w:val="left" w:pos="425"/>
        </w:tabs>
        <w:ind w:left="425" w:hanging="425"/>
      </w:pPr>
      <w:rPr>
        <w:rFonts w:hint="eastAsia"/>
      </w:rPr>
    </w:lvl>
    <w:lvl w:ilvl="1" w:tentative="0">
      <w:start w:val="1"/>
      <w:numFmt w:val="decimal"/>
      <w:lvlText w:val="%121.%2"/>
      <w:lvlJc w:val="left"/>
      <w:pPr>
        <w:tabs>
          <w:tab w:val="left" w:pos="992"/>
        </w:tabs>
        <w:ind w:left="992" w:hanging="567"/>
      </w:pPr>
      <w:rPr>
        <w:rFonts w:hint="eastAsia" w:ascii="新宋体" w:hAnsi="新宋体" w:eastAsia="新宋体" w:cs="黑体"/>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6">
    <w:nsid w:val="0000000D"/>
    <w:multiLevelType w:val="multilevel"/>
    <w:tmpl w:val="0000000D"/>
    <w:lvl w:ilvl="0" w:tentative="0">
      <w:start w:val="1"/>
      <w:numFmt w:val="none"/>
      <w:lvlText w:val=""/>
      <w:lvlJc w:val="left"/>
      <w:pPr>
        <w:tabs>
          <w:tab w:val="left" w:pos="425"/>
        </w:tabs>
        <w:ind w:left="425" w:hanging="425"/>
      </w:pPr>
      <w:rPr>
        <w:rFonts w:hint="eastAsia"/>
      </w:rPr>
    </w:lvl>
    <w:lvl w:ilvl="1" w:tentative="0">
      <w:start w:val="1"/>
      <w:numFmt w:val="decimal"/>
      <w:lvlText w:val="%118.%2"/>
      <w:lvlJc w:val="left"/>
      <w:pPr>
        <w:tabs>
          <w:tab w:val="left" w:pos="992"/>
        </w:tabs>
        <w:ind w:left="992" w:hanging="567"/>
      </w:pPr>
      <w:rPr>
        <w:rFonts w:hint="eastAsia" w:ascii="新宋体" w:hAnsi="新宋体" w:eastAsia="新宋体" w:cs="黑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7">
    <w:nsid w:val="0000000E"/>
    <w:multiLevelType w:val="multilevel"/>
    <w:tmpl w:val="0000000E"/>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2"/>
    <w:multiLevelType w:val="multilevel"/>
    <w:tmpl w:val="00000012"/>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4"/>
    <w:multiLevelType w:val="multilevel"/>
    <w:tmpl w:val="00000014"/>
    <w:lvl w:ilvl="0" w:tentative="0">
      <w:start w:val="24"/>
      <w:numFmt w:val="decimal"/>
      <w:lvlText w:val="%1"/>
      <w:lvlJc w:val="left"/>
      <w:pPr>
        <w:ind w:left="480" w:hanging="480"/>
      </w:pPr>
      <w:rPr>
        <w:rFonts w:hint="default"/>
      </w:rPr>
    </w:lvl>
    <w:lvl w:ilvl="1" w:tentative="0">
      <w:start w:val="1"/>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0">
    <w:nsid w:val="00000016"/>
    <w:multiLevelType w:val="multilevel"/>
    <w:tmpl w:val="00000016"/>
    <w:lvl w:ilvl="0" w:tentative="0">
      <w:start w:val="1"/>
      <w:numFmt w:val="none"/>
      <w:lvlText w:val=""/>
      <w:lvlJc w:val="left"/>
      <w:pPr>
        <w:tabs>
          <w:tab w:val="left" w:pos="425"/>
        </w:tabs>
        <w:ind w:left="425" w:hanging="425"/>
      </w:pPr>
      <w:rPr>
        <w:rFonts w:hint="eastAsia"/>
      </w:rPr>
    </w:lvl>
    <w:lvl w:ilvl="1" w:tentative="0">
      <w:start w:val="1"/>
      <w:numFmt w:val="decimal"/>
      <w:lvlText w:val="%115.%2"/>
      <w:lvlJc w:val="left"/>
      <w:pPr>
        <w:tabs>
          <w:tab w:val="left" w:pos="992"/>
        </w:tabs>
        <w:ind w:left="992" w:hanging="567"/>
      </w:pPr>
      <w:rPr>
        <w:rFonts w:hint="eastAsia" w:ascii="新宋体" w:hAnsi="新宋体" w:eastAsia="新宋体" w:cs="黑体"/>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1">
    <w:nsid w:val="00000017"/>
    <w:multiLevelType w:val="multilevel"/>
    <w:tmpl w:val="00000017"/>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000019"/>
    <w:multiLevelType w:val="singleLevel"/>
    <w:tmpl w:val="00000019"/>
    <w:lvl w:ilvl="0" w:tentative="0">
      <w:start w:val="5"/>
      <w:numFmt w:val="decimal"/>
      <w:suff w:val="nothing"/>
      <w:lvlText w:val="（%1）"/>
      <w:lvlJc w:val="left"/>
    </w:lvl>
  </w:abstractNum>
  <w:abstractNum w:abstractNumId="13">
    <w:nsid w:val="15EA63BC"/>
    <w:multiLevelType w:val="multilevel"/>
    <w:tmpl w:val="15EA63BC"/>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4">
    <w:nsid w:val="45DC5E2A"/>
    <w:multiLevelType w:val="multilevel"/>
    <w:tmpl w:val="45DC5E2A"/>
    <w:lvl w:ilvl="0" w:tentative="0">
      <w:start w:val="1"/>
      <w:numFmt w:val="decimal"/>
      <w:lvlText w:val="%1."/>
      <w:lvlJc w:val="left"/>
      <w:pPr>
        <w:ind w:left="805" w:hanging="420"/>
      </w:pPr>
    </w:lvl>
    <w:lvl w:ilvl="1" w:tentative="0">
      <w:start w:val="1"/>
      <w:numFmt w:val="lowerLetter"/>
      <w:lvlText w:val="%2)"/>
      <w:lvlJc w:val="left"/>
      <w:pPr>
        <w:ind w:left="1225" w:hanging="420"/>
      </w:pPr>
    </w:lvl>
    <w:lvl w:ilvl="2" w:tentative="0">
      <w:start w:val="1"/>
      <w:numFmt w:val="lowerRoman"/>
      <w:lvlText w:val="%3."/>
      <w:lvlJc w:val="right"/>
      <w:pPr>
        <w:ind w:left="1645" w:hanging="420"/>
      </w:pPr>
    </w:lvl>
    <w:lvl w:ilvl="3" w:tentative="0">
      <w:start w:val="1"/>
      <w:numFmt w:val="decimal"/>
      <w:lvlText w:val="%4."/>
      <w:lvlJc w:val="left"/>
      <w:pPr>
        <w:ind w:left="2065" w:hanging="420"/>
      </w:pPr>
    </w:lvl>
    <w:lvl w:ilvl="4" w:tentative="0">
      <w:start w:val="1"/>
      <w:numFmt w:val="lowerLetter"/>
      <w:lvlText w:val="%5)"/>
      <w:lvlJc w:val="left"/>
      <w:pPr>
        <w:ind w:left="2485" w:hanging="420"/>
      </w:pPr>
    </w:lvl>
    <w:lvl w:ilvl="5" w:tentative="0">
      <w:start w:val="1"/>
      <w:numFmt w:val="lowerRoman"/>
      <w:lvlText w:val="%6."/>
      <w:lvlJc w:val="right"/>
      <w:pPr>
        <w:ind w:left="2905" w:hanging="420"/>
      </w:pPr>
    </w:lvl>
    <w:lvl w:ilvl="6" w:tentative="0">
      <w:start w:val="1"/>
      <w:numFmt w:val="decimal"/>
      <w:lvlText w:val="%7."/>
      <w:lvlJc w:val="left"/>
      <w:pPr>
        <w:ind w:left="3325" w:hanging="420"/>
      </w:pPr>
    </w:lvl>
    <w:lvl w:ilvl="7" w:tentative="0">
      <w:start w:val="1"/>
      <w:numFmt w:val="lowerLetter"/>
      <w:lvlText w:val="%8)"/>
      <w:lvlJc w:val="left"/>
      <w:pPr>
        <w:ind w:left="3745" w:hanging="420"/>
      </w:pPr>
    </w:lvl>
    <w:lvl w:ilvl="8" w:tentative="0">
      <w:start w:val="1"/>
      <w:numFmt w:val="lowerRoman"/>
      <w:lvlText w:val="%9."/>
      <w:lvlJc w:val="right"/>
      <w:pPr>
        <w:ind w:left="4165" w:hanging="420"/>
      </w:pPr>
    </w:lvl>
  </w:abstractNum>
  <w:abstractNum w:abstractNumId="15">
    <w:nsid w:val="509B1974"/>
    <w:multiLevelType w:val="multilevel"/>
    <w:tmpl w:val="509B1974"/>
    <w:lvl w:ilvl="0" w:tentative="0">
      <w:start w:val="1"/>
      <w:numFmt w:val="bullet"/>
      <w:lvlText w:val=""/>
      <w:lvlJc w:val="left"/>
      <w:pPr>
        <w:ind w:left="880" w:hanging="440"/>
      </w:pPr>
      <w:rPr>
        <w:rFonts w:hint="default" w:ascii="Wingdings" w:hAnsi="Wingdings"/>
      </w:rPr>
    </w:lvl>
    <w:lvl w:ilvl="1" w:tentative="0">
      <w:start w:val="1"/>
      <w:numFmt w:val="bullet"/>
      <w:lvlText w:val=""/>
      <w:lvlJc w:val="left"/>
      <w:pPr>
        <w:ind w:left="1320" w:hanging="440"/>
      </w:pPr>
      <w:rPr>
        <w:rFonts w:hint="default" w:ascii="Wingdings" w:hAnsi="Wingdings"/>
      </w:rPr>
    </w:lvl>
    <w:lvl w:ilvl="2" w:tentative="0">
      <w:start w:val="1"/>
      <w:numFmt w:val="bullet"/>
      <w:lvlText w:val=""/>
      <w:lvlJc w:val="left"/>
      <w:pPr>
        <w:ind w:left="1760" w:hanging="440"/>
      </w:pPr>
      <w:rPr>
        <w:rFonts w:hint="default" w:ascii="Wingdings" w:hAnsi="Wingdings"/>
      </w:rPr>
    </w:lvl>
    <w:lvl w:ilvl="3" w:tentative="0">
      <w:start w:val="1"/>
      <w:numFmt w:val="bullet"/>
      <w:lvlText w:val=""/>
      <w:lvlJc w:val="left"/>
      <w:pPr>
        <w:ind w:left="2200" w:hanging="440"/>
      </w:pPr>
      <w:rPr>
        <w:rFonts w:hint="default" w:ascii="Wingdings" w:hAnsi="Wingdings"/>
      </w:rPr>
    </w:lvl>
    <w:lvl w:ilvl="4" w:tentative="0">
      <w:start w:val="1"/>
      <w:numFmt w:val="bullet"/>
      <w:lvlText w:val=""/>
      <w:lvlJc w:val="left"/>
      <w:pPr>
        <w:ind w:left="2640" w:hanging="440"/>
      </w:pPr>
      <w:rPr>
        <w:rFonts w:hint="default" w:ascii="Wingdings" w:hAnsi="Wingdings"/>
      </w:rPr>
    </w:lvl>
    <w:lvl w:ilvl="5" w:tentative="0">
      <w:start w:val="1"/>
      <w:numFmt w:val="bullet"/>
      <w:lvlText w:val=""/>
      <w:lvlJc w:val="left"/>
      <w:pPr>
        <w:ind w:left="3080" w:hanging="440"/>
      </w:pPr>
      <w:rPr>
        <w:rFonts w:hint="default" w:ascii="Wingdings" w:hAnsi="Wingdings"/>
      </w:rPr>
    </w:lvl>
    <w:lvl w:ilvl="6" w:tentative="0">
      <w:start w:val="1"/>
      <w:numFmt w:val="bullet"/>
      <w:lvlText w:val=""/>
      <w:lvlJc w:val="left"/>
      <w:pPr>
        <w:ind w:left="3520" w:hanging="440"/>
      </w:pPr>
      <w:rPr>
        <w:rFonts w:hint="default" w:ascii="Wingdings" w:hAnsi="Wingdings"/>
      </w:rPr>
    </w:lvl>
    <w:lvl w:ilvl="7" w:tentative="0">
      <w:start w:val="1"/>
      <w:numFmt w:val="bullet"/>
      <w:lvlText w:val=""/>
      <w:lvlJc w:val="left"/>
      <w:pPr>
        <w:ind w:left="3960" w:hanging="440"/>
      </w:pPr>
      <w:rPr>
        <w:rFonts w:hint="default" w:ascii="Wingdings" w:hAnsi="Wingdings"/>
      </w:rPr>
    </w:lvl>
    <w:lvl w:ilvl="8" w:tentative="0">
      <w:start w:val="1"/>
      <w:numFmt w:val="bullet"/>
      <w:lvlText w:val=""/>
      <w:lvlJc w:val="left"/>
      <w:pPr>
        <w:ind w:left="4400" w:hanging="440"/>
      </w:pPr>
      <w:rPr>
        <w:rFonts w:hint="default" w:ascii="Wingdings" w:hAnsi="Wingdings"/>
      </w:rPr>
    </w:lvl>
  </w:abstractNum>
  <w:abstractNum w:abstractNumId="16">
    <w:nsid w:val="588F32B2"/>
    <w:multiLevelType w:val="multilevel"/>
    <w:tmpl w:val="588F32B2"/>
    <w:lvl w:ilvl="0" w:tentative="0">
      <w:start w:val="1"/>
      <w:numFmt w:val="decimal"/>
      <w:suff w:val="space"/>
      <w:lvlText w:val="第%1章 "/>
      <w:lvlJc w:val="left"/>
      <w:pPr>
        <w:ind w:left="0" w:firstLine="0"/>
      </w:pPr>
      <w:rPr>
        <w:rFonts w:hint="default" w:ascii="Times New Roman" w:hAnsi="Times New Roman" w:eastAsia="宋体"/>
        <w:b/>
        <w:i w:val="0"/>
        <w:sz w:val="36"/>
      </w:rPr>
    </w:lvl>
    <w:lvl w:ilvl="1" w:tentative="0">
      <w:start w:val="1"/>
      <w:numFmt w:val="decimal"/>
      <w:suff w:val="space"/>
      <w:lvlText w:val="%1.%2 "/>
      <w:lvlJc w:val="left"/>
      <w:pPr>
        <w:ind w:left="0" w:firstLine="0"/>
      </w:pPr>
      <w:rPr>
        <w:rFonts w:hint="default" w:ascii="Times New Roman" w:hAnsi="Times New Roman" w:eastAsia="宋体" w:cs="Times New Roman"/>
        <w:b/>
        <w:i w:val="0"/>
        <w:sz w:val="32"/>
      </w:rPr>
    </w:lvl>
    <w:lvl w:ilvl="2" w:tentative="0">
      <w:start w:val="1"/>
      <w:numFmt w:val="decimal"/>
      <w:pStyle w:val="4"/>
      <w:suff w:val="space"/>
      <w:lvlText w:val="%1.%2.%3"/>
      <w:lvlJc w:val="left"/>
      <w:pPr>
        <w:ind w:left="0" w:firstLine="0"/>
      </w:pPr>
      <w:rPr>
        <w:rFonts w:hint="default" w:ascii="Times New Roman" w:hAnsi="Times New Roman" w:eastAsia="宋体"/>
        <w:b/>
        <w:i w:val="0"/>
        <w:sz w:val="30"/>
      </w:rPr>
    </w:lvl>
    <w:lvl w:ilvl="3" w:tentative="0">
      <w:start w:val="1"/>
      <w:numFmt w:val="decimal"/>
      <w:suff w:val="space"/>
      <w:lvlText w:val="%1.%2.%3.%4"/>
      <w:lvlJc w:val="left"/>
      <w:pPr>
        <w:ind w:left="0" w:firstLine="0"/>
      </w:pPr>
      <w:rPr>
        <w:rFonts w:hint="default" w:ascii="Times New Roman" w:hAnsi="Times New Roman" w:eastAsia="宋体"/>
        <w:b/>
        <w:i w:val="0"/>
        <w:sz w:val="28"/>
      </w:rPr>
    </w:lvl>
    <w:lvl w:ilvl="4" w:tentative="0">
      <w:start w:val="1"/>
      <w:numFmt w:val="decimal"/>
      <w:suff w:val="space"/>
      <w:lvlText w:val="%1.%2.%3.%4.%5"/>
      <w:lvlJc w:val="left"/>
      <w:pPr>
        <w:ind w:left="0" w:firstLine="0"/>
      </w:pPr>
      <w:rPr>
        <w:rFonts w:hint="default" w:ascii="Times New Roman" w:hAnsi="Times New Roman" w:eastAsia="宋体"/>
        <w:b/>
        <w:i w:val="0"/>
        <w:sz w:val="24"/>
      </w:rPr>
    </w:lvl>
    <w:lvl w:ilvl="5" w:tentative="0">
      <w:start w:val="1"/>
      <w:numFmt w:val="decimal"/>
      <w:suff w:val="space"/>
      <w:lvlText w:val="%1.%2.%3.%4.%5.%6"/>
      <w:lvlJc w:val="left"/>
      <w:pPr>
        <w:ind w:left="0" w:firstLine="0"/>
      </w:pPr>
      <w:rPr>
        <w:rFonts w:hint="default" w:ascii="Times New Roman" w:hAnsi="Times New Roman" w:eastAsia="宋体"/>
        <w:b/>
        <w:i w:val="0"/>
        <w:sz w:val="24"/>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7">
    <w:nsid w:val="76451777"/>
    <w:multiLevelType w:val="multilevel"/>
    <w:tmpl w:val="7645177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7A207A3E"/>
    <w:multiLevelType w:val="singleLevel"/>
    <w:tmpl w:val="7A207A3E"/>
    <w:lvl w:ilvl="0" w:tentative="0">
      <w:start w:val="1"/>
      <w:numFmt w:val="chineseCounting"/>
      <w:suff w:val="nothing"/>
      <w:lvlText w:val="%1、"/>
      <w:lvlJc w:val="left"/>
      <w:rPr>
        <w:rFonts w:hint="eastAsia"/>
      </w:rPr>
    </w:lvl>
  </w:abstractNum>
  <w:abstractNum w:abstractNumId="19">
    <w:nsid w:val="7F64696D"/>
    <w:multiLevelType w:val="multilevel"/>
    <w:tmpl w:val="7F64696D"/>
    <w:lvl w:ilvl="0" w:tentative="0">
      <w:start w:val="1"/>
      <w:numFmt w:val="decimal"/>
      <w:pStyle w:val="80"/>
      <w:suff w:val="space"/>
      <w:lvlText w:val="表%1"/>
      <w:lvlJc w:val="center"/>
      <w:pPr>
        <w:ind w:left="0" w:firstLine="0"/>
      </w:pPr>
      <w:rPr>
        <w:rFonts w:hint="eastAsia" w:ascii="仿宋" w:hAnsi="仿宋" w:eastAsia="仿宋"/>
        <w:b w:val="0"/>
        <w:i w:val="0"/>
        <w:sz w:val="21"/>
        <w:szCs w:val="18"/>
        <w:lang w:val="en-US"/>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6"/>
  </w:num>
  <w:num w:numId="2">
    <w:abstractNumId w:val="19"/>
  </w:num>
  <w:num w:numId="3">
    <w:abstractNumId w:val="0"/>
  </w:num>
  <w:num w:numId="4">
    <w:abstractNumId w:val="3"/>
  </w:num>
  <w:num w:numId="5">
    <w:abstractNumId w:val="10"/>
  </w:num>
  <w:num w:numId="6">
    <w:abstractNumId w:val="1"/>
  </w:num>
  <w:num w:numId="7">
    <w:abstractNumId w:val="8"/>
  </w:num>
  <w:num w:numId="8">
    <w:abstractNumId w:val="2"/>
  </w:num>
  <w:num w:numId="9">
    <w:abstractNumId w:val="6"/>
  </w:num>
  <w:num w:numId="10">
    <w:abstractNumId w:val="5"/>
  </w:num>
  <w:num w:numId="11">
    <w:abstractNumId w:val="4"/>
  </w:num>
  <w:num w:numId="12">
    <w:abstractNumId w:val="7"/>
  </w:num>
  <w:num w:numId="13">
    <w:abstractNumId w:val="9"/>
  </w:num>
  <w:num w:numId="14">
    <w:abstractNumId w:val="11"/>
  </w:num>
  <w:num w:numId="15">
    <w:abstractNumId w:val="12"/>
  </w:num>
  <w:num w:numId="16">
    <w:abstractNumId w:val="14"/>
  </w:num>
  <w:num w:numId="17">
    <w:abstractNumId w:val="17"/>
  </w:num>
  <w:num w:numId="18">
    <w:abstractNumId w:val="15"/>
  </w:num>
  <w:num w:numId="19">
    <w:abstractNumId w:val="13"/>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B51BD"/>
    <w:rsid w:val="025F0B06"/>
    <w:rsid w:val="098F5D0A"/>
    <w:rsid w:val="0C8A3501"/>
    <w:rsid w:val="0C960998"/>
    <w:rsid w:val="0CD73364"/>
    <w:rsid w:val="0E86214D"/>
    <w:rsid w:val="0EF32D57"/>
    <w:rsid w:val="0F606FE0"/>
    <w:rsid w:val="10866B0F"/>
    <w:rsid w:val="11D2255A"/>
    <w:rsid w:val="12623CD0"/>
    <w:rsid w:val="16AD7C3A"/>
    <w:rsid w:val="16E65167"/>
    <w:rsid w:val="19E06B57"/>
    <w:rsid w:val="1B500E05"/>
    <w:rsid w:val="1CF158C4"/>
    <w:rsid w:val="1E9B1AE1"/>
    <w:rsid w:val="1FFE961A"/>
    <w:rsid w:val="20127F8B"/>
    <w:rsid w:val="23046E34"/>
    <w:rsid w:val="26B6680A"/>
    <w:rsid w:val="26FE0730"/>
    <w:rsid w:val="272E0923"/>
    <w:rsid w:val="27835D3C"/>
    <w:rsid w:val="27B455DE"/>
    <w:rsid w:val="27BCDCFC"/>
    <w:rsid w:val="2AC03B69"/>
    <w:rsid w:val="2E65232E"/>
    <w:rsid w:val="2EBFD3AE"/>
    <w:rsid w:val="2EE03859"/>
    <w:rsid w:val="30313232"/>
    <w:rsid w:val="33314E12"/>
    <w:rsid w:val="3446294B"/>
    <w:rsid w:val="36CF0638"/>
    <w:rsid w:val="3A7B6D86"/>
    <w:rsid w:val="3BDC004C"/>
    <w:rsid w:val="3C063D0E"/>
    <w:rsid w:val="3FAB5431"/>
    <w:rsid w:val="3FBD3AE8"/>
    <w:rsid w:val="40610140"/>
    <w:rsid w:val="40703903"/>
    <w:rsid w:val="42935686"/>
    <w:rsid w:val="43102F62"/>
    <w:rsid w:val="43FC4468"/>
    <w:rsid w:val="45813911"/>
    <w:rsid w:val="46596FDB"/>
    <w:rsid w:val="49B74350"/>
    <w:rsid w:val="4BA460A8"/>
    <w:rsid w:val="4CA65DF1"/>
    <w:rsid w:val="4E8F2139"/>
    <w:rsid w:val="51DF2696"/>
    <w:rsid w:val="563C445C"/>
    <w:rsid w:val="57177058"/>
    <w:rsid w:val="57B679F5"/>
    <w:rsid w:val="5A15315B"/>
    <w:rsid w:val="5F5EEAE0"/>
    <w:rsid w:val="5FEFA4CC"/>
    <w:rsid w:val="61B3060B"/>
    <w:rsid w:val="67317098"/>
    <w:rsid w:val="68442DFB"/>
    <w:rsid w:val="691A337C"/>
    <w:rsid w:val="6999360F"/>
    <w:rsid w:val="69CC6EE7"/>
    <w:rsid w:val="6BCB0150"/>
    <w:rsid w:val="6DAF4399"/>
    <w:rsid w:val="6E880E8E"/>
    <w:rsid w:val="6FFD6066"/>
    <w:rsid w:val="70396D8A"/>
    <w:rsid w:val="703B4AE4"/>
    <w:rsid w:val="747A2106"/>
    <w:rsid w:val="7501454E"/>
    <w:rsid w:val="759FB340"/>
    <w:rsid w:val="76224CCF"/>
    <w:rsid w:val="77BA3B06"/>
    <w:rsid w:val="7BDD0EE3"/>
    <w:rsid w:val="7D96BEAE"/>
    <w:rsid w:val="7E45BE34"/>
    <w:rsid w:val="7E7F8F3C"/>
    <w:rsid w:val="7F479E37"/>
    <w:rsid w:val="7F7FD51C"/>
    <w:rsid w:val="9FF7D779"/>
    <w:rsid w:val="A7CF4F6A"/>
    <w:rsid w:val="AFCF2542"/>
    <w:rsid w:val="B73E4D28"/>
    <w:rsid w:val="BBEFBABB"/>
    <w:rsid w:val="BF7A4F22"/>
    <w:rsid w:val="C2FD4775"/>
    <w:rsid w:val="CEF7A313"/>
    <w:rsid w:val="D4860795"/>
    <w:rsid w:val="DFAEC743"/>
    <w:rsid w:val="E63418A6"/>
    <w:rsid w:val="E76D90BE"/>
    <w:rsid w:val="ECFBA155"/>
    <w:rsid w:val="EF312796"/>
    <w:rsid w:val="F7562500"/>
    <w:rsid w:val="F7990830"/>
    <w:rsid w:val="FBBF26F8"/>
    <w:rsid w:val="FF717D91"/>
    <w:rsid w:val="FF7DE11A"/>
    <w:rsid w:val="FFBDAA03"/>
    <w:rsid w:val="FFDCC024"/>
    <w:rsid w:val="FFE51EB5"/>
    <w:rsid w:val="FFEA7227"/>
    <w:rsid w:val="FFFBFD38"/>
    <w:rsid w:val="FFFE6475"/>
    <w:rsid w:val="FFFFD241"/>
    <w:rsid w:val="FFFFEE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39"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8"/>
    <w:qFormat/>
    <w:uiPriority w:val="0"/>
    <w:pPr>
      <w:keepNext/>
      <w:jc w:val="center"/>
      <w:outlineLvl w:val="0"/>
    </w:pPr>
    <w:rPr>
      <w:rFonts w:ascii="KaiTi_GB2312" w:eastAsia="KaiTi_GB2312"/>
      <w:b/>
      <w:bCs/>
      <w:kern w:val="0"/>
      <w:sz w:val="20"/>
      <w:szCs w:val="20"/>
    </w:rPr>
  </w:style>
  <w:style w:type="paragraph" w:styleId="3">
    <w:name w:val="heading 2"/>
    <w:basedOn w:val="1"/>
    <w:next w:val="1"/>
    <w:link w:val="84"/>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qFormat/>
    <w:uiPriority w:val="9"/>
    <w:pPr>
      <w:keepNext/>
      <w:keepLines/>
      <w:numPr>
        <w:ilvl w:val="2"/>
        <w:numId w:val="1"/>
      </w:numPr>
      <w:spacing w:before="120" w:after="120"/>
      <w:outlineLvl w:val="2"/>
    </w:pPr>
    <w:rPr>
      <w:b/>
      <w:bCs/>
      <w:sz w:val="30"/>
      <w:szCs w:val="32"/>
    </w:rPr>
  </w:style>
  <w:style w:type="paragraph" w:styleId="5">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character" w:default="1" w:styleId="31">
    <w:name w:val="Default Paragraph Font"/>
    <w:unhideWhenUsed/>
    <w:qFormat/>
    <w:uiPriority w:val="1"/>
  </w:style>
  <w:style w:type="table" w:default="1" w:styleId="29">
    <w:name w:val="Normal Table"/>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adjustRightInd w:val="0"/>
      <w:spacing w:line="312" w:lineRule="atLeast"/>
      <w:ind w:firstLine="420"/>
      <w:textAlignment w:val="baseline"/>
    </w:pPr>
    <w:rPr>
      <w:kern w:val="0"/>
      <w:szCs w:val="20"/>
    </w:rPr>
  </w:style>
  <w:style w:type="paragraph" w:styleId="7">
    <w:name w:val="annotation text"/>
    <w:basedOn w:val="1"/>
    <w:link w:val="87"/>
    <w:qFormat/>
    <w:uiPriority w:val="0"/>
    <w:pPr>
      <w:jc w:val="left"/>
    </w:pPr>
  </w:style>
  <w:style w:type="paragraph" w:styleId="8">
    <w:name w:val="Body Text"/>
    <w:basedOn w:val="1"/>
    <w:qFormat/>
    <w:uiPriority w:val="0"/>
    <w:pPr>
      <w:spacing w:after="120"/>
    </w:pPr>
  </w:style>
  <w:style w:type="paragraph" w:styleId="9">
    <w:name w:val="Body Text Indent"/>
    <w:basedOn w:val="1"/>
    <w:qFormat/>
    <w:uiPriority w:val="0"/>
    <w:pPr>
      <w:ind w:left="480" w:hanging="480" w:hangingChars="200"/>
    </w:pPr>
    <w:rPr>
      <w:sz w:val="24"/>
    </w:rPr>
  </w:style>
  <w:style w:type="paragraph" w:styleId="10">
    <w:name w:val="Block Text"/>
    <w:basedOn w:val="1"/>
    <w:qFormat/>
    <w:uiPriority w:val="99"/>
    <w:pPr>
      <w:spacing w:after="120"/>
      <w:ind w:left="1440" w:leftChars="700" w:right="1440" w:rightChars="700"/>
    </w:pPr>
  </w:style>
  <w:style w:type="paragraph" w:styleId="11">
    <w:name w:val="toc 3"/>
    <w:basedOn w:val="1"/>
    <w:next w:val="1"/>
    <w:qFormat/>
    <w:uiPriority w:val="0"/>
    <w:pPr>
      <w:ind w:left="840" w:leftChars="400"/>
    </w:pPr>
  </w:style>
  <w:style w:type="paragraph" w:styleId="12">
    <w:name w:val="Plain Text"/>
    <w:basedOn w:val="1"/>
    <w:qFormat/>
    <w:uiPriority w:val="0"/>
    <w:pPr>
      <w:widowControl/>
      <w:overflowPunct w:val="0"/>
      <w:autoSpaceDE w:val="0"/>
      <w:autoSpaceDN w:val="0"/>
      <w:adjustRightInd w:val="0"/>
      <w:jc w:val="left"/>
      <w:textAlignment w:val="baseline"/>
    </w:pPr>
    <w:rPr>
      <w:rFonts w:ascii="宋体" w:hAnsi="Courier New"/>
      <w:kern w:val="0"/>
      <w:szCs w:val="21"/>
    </w:rPr>
  </w:style>
  <w:style w:type="paragraph" w:styleId="13">
    <w:name w:val="Date"/>
    <w:basedOn w:val="1"/>
    <w:next w:val="1"/>
    <w:qFormat/>
    <w:uiPriority w:val="99"/>
    <w:pPr>
      <w:ind w:left="100" w:leftChars="2500"/>
    </w:pPr>
  </w:style>
  <w:style w:type="paragraph" w:styleId="14">
    <w:name w:val="Body Text Indent 2"/>
    <w:basedOn w:val="1"/>
    <w:qFormat/>
    <w:uiPriority w:val="0"/>
    <w:pPr>
      <w:widowControl/>
      <w:spacing w:line="480" w:lineRule="atLeast"/>
      <w:ind w:firstLine="480"/>
    </w:pPr>
    <w:rPr>
      <w:rFonts w:ascii="宋体"/>
      <w:kern w:val="0"/>
      <w:sz w:val="24"/>
      <w:szCs w:val="20"/>
    </w:rPr>
  </w:style>
  <w:style w:type="paragraph" w:styleId="15">
    <w:name w:val="Balloon Text"/>
    <w:basedOn w:val="1"/>
    <w:semiHidden/>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pPr>
      <w:tabs>
        <w:tab w:val="right" w:leader="dot" w:pos="9628"/>
      </w:tabs>
      <w:spacing w:line="480" w:lineRule="auto"/>
    </w:pPr>
    <w:rPr>
      <w:rFonts w:ascii="Arial" w:hAnsi="Arial" w:eastAsia="新宋体" w:cs="Arial"/>
      <w:bCs/>
      <w:sz w:val="24"/>
    </w:rPr>
  </w:style>
  <w:style w:type="paragraph" w:styleId="19">
    <w:name w:val="toc 4"/>
    <w:basedOn w:val="1"/>
    <w:next w:val="1"/>
    <w:qFormat/>
    <w:uiPriority w:val="39"/>
    <w:pPr>
      <w:ind w:left="840"/>
      <w:jc w:val="left"/>
    </w:pPr>
    <w:rPr>
      <w:rFonts w:cs="Calibri"/>
      <w:sz w:val="18"/>
      <w:szCs w:val="18"/>
    </w:rPr>
  </w:style>
  <w:style w:type="paragraph" w:styleId="20">
    <w:name w:val="toc 6"/>
    <w:basedOn w:val="1"/>
    <w:next w:val="1"/>
    <w:qFormat/>
    <w:uiPriority w:val="0"/>
    <w:pPr>
      <w:autoSpaceDE w:val="0"/>
      <w:autoSpaceDN w:val="0"/>
      <w:adjustRightInd w:val="0"/>
      <w:ind w:left="2100" w:leftChars="1000"/>
      <w:jc w:val="left"/>
    </w:pPr>
    <w:rPr>
      <w:kern w:val="0"/>
      <w:sz w:val="20"/>
      <w:szCs w:val="20"/>
    </w:rPr>
  </w:style>
  <w:style w:type="paragraph" w:styleId="21">
    <w:name w:val="Body Text Indent 3"/>
    <w:basedOn w:val="1"/>
    <w:qFormat/>
    <w:uiPriority w:val="0"/>
    <w:pPr>
      <w:spacing w:line="500" w:lineRule="exact"/>
      <w:ind w:left="511" w:hanging="511" w:hangingChars="213"/>
    </w:pPr>
    <w:rPr>
      <w:sz w:val="24"/>
    </w:rPr>
  </w:style>
  <w:style w:type="paragraph" w:styleId="22">
    <w:name w:val="toc 2"/>
    <w:basedOn w:val="1"/>
    <w:next w:val="1"/>
    <w:qFormat/>
    <w:uiPriority w:val="0"/>
    <w:pPr>
      <w:ind w:left="420" w:leftChars="200"/>
    </w:pPr>
  </w:style>
  <w:style w:type="paragraph" w:styleId="2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5">
    <w:name w:val="Title"/>
    <w:basedOn w:val="1"/>
    <w:next w:val="1"/>
    <w:qFormat/>
    <w:uiPriority w:val="10"/>
    <w:pPr>
      <w:spacing w:before="240" w:after="60"/>
      <w:jc w:val="center"/>
      <w:outlineLvl w:val="0"/>
    </w:pPr>
    <w:rPr>
      <w:rFonts w:ascii="Arial" w:hAnsi="Arial"/>
      <w:b/>
      <w:bCs/>
      <w:sz w:val="32"/>
      <w:szCs w:val="32"/>
      <w:lang w:val="zh-CN"/>
    </w:rPr>
  </w:style>
  <w:style w:type="paragraph" w:styleId="26">
    <w:name w:val="annotation subject"/>
    <w:basedOn w:val="7"/>
    <w:next w:val="7"/>
    <w:link w:val="88"/>
    <w:qFormat/>
    <w:uiPriority w:val="0"/>
    <w:rPr>
      <w:b/>
      <w:bCs/>
    </w:rPr>
  </w:style>
  <w:style w:type="paragraph" w:styleId="27">
    <w:name w:val="Body Text First Indent"/>
    <w:basedOn w:val="8"/>
    <w:next w:val="1"/>
    <w:qFormat/>
    <w:uiPriority w:val="0"/>
    <w:pPr>
      <w:ind w:firstLine="420" w:firstLineChars="100"/>
    </w:pPr>
  </w:style>
  <w:style w:type="paragraph" w:styleId="28">
    <w:name w:val="Body Text First Indent 2"/>
    <w:basedOn w:val="9"/>
    <w:qFormat/>
    <w:uiPriority w:val="0"/>
    <w:pPr>
      <w:ind w:firstLine="420" w:firstLineChars="200"/>
    </w:p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0"/>
    <w:rPr>
      <w:b/>
    </w:rPr>
  </w:style>
  <w:style w:type="character" w:styleId="33">
    <w:name w:val="page number"/>
    <w:qFormat/>
    <w:uiPriority w:val="0"/>
  </w:style>
  <w:style w:type="character" w:styleId="34">
    <w:name w:val="Hyperlink"/>
    <w:qFormat/>
    <w:uiPriority w:val="0"/>
    <w:rPr>
      <w:color w:val="000000"/>
      <w:sz w:val="20"/>
      <w:szCs w:val="20"/>
      <w:u w:val="none"/>
    </w:rPr>
  </w:style>
  <w:style w:type="character" w:styleId="35">
    <w:name w:val="annotation reference"/>
    <w:qFormat/>
    <w:uiPriority w:val="0"/>
    <w:rPr>
      <w:sz w:val="21"/>
      <w:szCs w:val="21"/>
    </w:rPr>
  </w:style>
  <w:style w:type="paragraph" w:customStyle="1" w:styleId="36">
    <w:name w:val="TOC 标题4"/>
    <w:next w:val="1"/>
    <w:qFormat/>
    <w:uiPriority w:val="0"/>
    <w:pPr>
      <w:wordWrap w:val="0"/>
    </w:pPr>
    <w:rPr>
      <w:rFonts w:ascii="Times New Roman" w:hAnsi="Times New Roman" w:eastAsia="宋体" w:cs="Times New Roman"/>
      <w:sz w:val="32"/>
      <w:lang w:val="en-US" w:eastAsia="zh-CN" w:bidi="ar-SA"/>
    </w:rPr>
  </w:style>
  <w:style w:type="paragraph" w:customStyle="1" w:styleId="37">
    <w:name w:val="正文正"/>
    <w:basedOn w:val="1"/>
    <w:qFormat/>
    <w:uiPriority w:val="0"/>
    <w:pPr>
      <w:spacing w:line="560" w:lineRule="exact"/>
      <w:ind w:firstLine="561"/>
    </w:pPr>
    <w:rPr>
      <w:rFonts w:eastAsia="FangSong_GB2312"/>
      <w:sz w:val="28"/>
    </w:rPr>
  </w:style>
  <w:style w:type="character" w:customStyle="1" w:styleId="38">
    <w:name w:val="标题 1 字符"/>
    <w:link w:val="2"/>
    <w:qFormat/>
    <w:uiPriority w:val="0"/>
    <w:rPr>
      <w:rFonts w:ascii="KaiTi_GB2312" w:eastAsia="KaiTi_GB2312"/>
      <w:b/>
      <w:bCs/>
    </w:rPr>
  </w:style>
  <w:style w:type="character" w:customStyle="1" w:styleId="39">
    <w:name w:val="标题 2 Char"/>
    <w:qFormat/>
    <w:uiPriority w:val="0"/>
    <w:rPr>
      <w:rFonts w:ascii="Arial" w:hAnsi="Arial" w:eastAsia="黑体"/>
      <w:b/>
      <w:bCs/>
      <w:sz w:val="32"/>
      <w:szCs w:val="32"/>
    </w:rPr>
  </w:style>
  <w:style w:type="paragraph" w:customStyle="1" w:styleId="40">
    <w:name w:val="表格文字"/>
    <w:next w:val="8"/>
    <w:qFormat/>
    <w:uiPriority w:val="0"/>
    <w:pPr>
      <w:overflowPunct w:val="0"/>
      <w:autoSpaceDE w:val="0"/>
      <w:autoSpaceDN w:val="0"/>
      <w:adjustRightInd w:val="0"/>
      <w:textAlignment w:val="baseline"/>
    </w:pPr>
    <w:rPr>
      <w:rFonts w:ascii="宋体" w:hAnsi="Courier New" w:eastAsia="宋体" w:cs="Times New Roman"/>
      <w:b/>
      <w:sz w:val="21"/>
      <w:szCs w:val="24"/>
      <w:lang w:val="zh-CN" w:eastAsia="zh-CN" w:bidi="ar-SA"/>
    </w:rPr>
  </w:style>
  <w:style w:type="paragraph" w:customStyle="1" w:styleId="41">
    <w:name w:val="Quote"/>
    <w:next w:val="1"/>
    <w:qFormat/>
    <w:uiPriority w:val="99"/>
    <w:pPr>
      <w:widowControl w:val="0"/>
      <w:jc w:val="both"/>
    </w:pPr>
    <w:rPr>
      <w:rFonts w:ascii="Calibri" w:hAnsi="Calibri" w:eastAsia="宋体" w:cs="Calibri"/>
      <w:i/>
      <w:iCs/>
      <w:color w:val="000000"/>
      <w:kern w:val="2"/>
      <w:sz w:val="22"/>
      <w:szCs w:val="22"/>
      <w:lang w:val="en-US" w:eastAsia="zh-CN" w:bidi="ar-SA"/>
    </w:rPr>
  </w:style>
  <w:style w:type="character" w:customStyle="1" w:styleId="42">
    <w:name w:val="font61"/>
    <w:qFormat/>
    <w:uiPriority w:val="0"/>
    <w:rPr>
      <w:rFonts w:hint="eastAsia" w:ascii="宋体" w:hAnsi="宋体" w:eastAsia="宋体" w:cs="宋体"/>
      <w:b/>
      <w:color w:val="000000"/>
      <w:sz w:val="21"/>
      <w:szCs w:val="21"/>
      <w:u w:val="none"/>
    </w:rPr>
  </w:style>
  <w:style w:type="character" w:customStyle="1" w:styleId="43">
    <w:name w:val="font41"/>
    <w:basedOn w:val="31"/>
    <w:qFormat/>
    <w:uiPriority w:val="0"/>
    <w:rPr>
      <w:rFonts w:hint="default" w:ascii="Times New Roman" w:hAnsi="Times New Roman" w:cs="Times New Roman"/>
      <w:color w:val="000000"/>
      <w:sz w:val="21"/>
      <w:szCs w:val="21"/>
      <w:u w:val="none"/>
    </w:rPr>
  </w:style>
  <w:style w:type="character" w:customStyle="1" w:styleId="44">
    <w:name w:val="font11"/>
    <w:qFormat/>
    <w:uiPriority w:val="0"/>
    <w:rPr>
      <w:rFonts w:hint="default" w:ascii="Times New Roman" w:hAnsi="Times New Roman" w:cs="Times New Roman"/>
      <w:b/>
      <w:color w:val="000000"/>
      <w:sz w:val="21"/>
      <w:szCs w:val="21"/>
      <w:u w:val="none"/>
    </w:rPr>
  </w:style>
  <w:style w:type="character" w:customStyle="1" w:styleId="45">
    <w:name w:val="font01"/>
    <w:basedOn w:val="31"/>
    <w:qFormat/>
    <w:uiPriority w:val="0"/>
    <w:rPr>
      <w:rFonts w:hint="default" w:ascii="Times New Roman" w:hAnsi="Times New Roman" w:cs="Times New Roman"/>
      <w:color w:val="000000"/>
      <w:sz w:val="21"/>
      <w:szCs w:val="21"/>
      <w:u w:val="none"/>
    </w:rPr>
  </w:style>
  <w:style w:type="character" w:customStyle="1" w:styleId="46">
    <w:name w:val="font51"/>
    <w:qFormat/>
    <w:uiPriority w:val="0"/>
    <w:rPr>
      <w:rFonts w:hint="eastAsia" w:ascii="宋体" w:hAnsi="宋体" w:eastAsia="宋体" w:cs="宋体"/>
      <w:color w:val="000000"/>
      <w:sz w:val="21"/>
      <w:szCs w:val="21"/>
      <w:u w:val="none"/>
    </w:rPr>
  </w:style>
  <w:style w:type="character" w:customStyle="1" w:styleId="47">
    <w:name w:val="font31"/>
    <w:qFormat/>
    <w:uiPriority w:val="0"/>
    <w:rPr>
      <w:rFonts w:hint="default" w:ascii="Times New Roman" w:hAnsi="Times New Roman" w:cs="Times New Roman"/>
      <w:b/>
      <w:color w:val="000000"/>
      <w:sz w:val="21"/>
      <w:szCs w:val="21"/>
      <w:u w:val="none"/>
    </w:rPr>
  </w:style>
  <w:style w:type="character" w:customStyle="1" w:styleId="48">
    <w:name w:val="font21"/>
    <w:qFormat/>
    <w:uiPriority w:val="0"/>
    <w:rPr>
      <w:rFonts w:hint="eastAsia" w:ascii="宋体" w:hAnsi="宋体" w:eastAsia="宋体" w:cs="宋体"/>
      <w:color w:val="000000"/>
      <w:sz w:val="21"/>
      <w:szCs w:val="21"/>
      <w:u w:val="none"/>
    </w:rPr>
  </w:style>
  <w:style w:type="paragraph" w:customStyle="1" w:styleId="49">
    <w:name w:val="列出段落1"/>
    <w:basedOn w:val="1"/>
    <w:qFormat/>
    <w:uiPriority w:val="0"/>
    <w:pPr>
      <w:ind w:firstLine="420" w:firstLineChars="200"/>
    </w:pPr>
    <w:rPr>
      <w:szCs w:val="20"/>
    </w:rPr>
  </w:style>
  <w:style w:type="paragraph" w:customStyle="1" w:styleId="50">
    <w:name w:val="NERCIS-正文"/>
    <w:basedOn w:val="1"/>
    <w:qFormat/>
    <w:uiPriority w:val="0"/>
    <w:pPr>
      <w:spacing w:line="360" w:lineRule="auto"/>
      <w:ind w:firstLine="480" w:firstLineChars="200"/>
    </w:pPr>
    <w:rPr>
      <w:rFonts w:ascii="宋体" w:hAnsi="宋体" w:cs="宋体"/>
      <w:szCs w:val="20"/>
    </w:rPr>
  </w:style>
  <w:style w:type="paragraph" w:customStyle="1" w:styleId="51">
    <w:name w:val="ces正文"/>
    <w:basedOn w:val="1"/>
    <w:qFormat/>
    <w:uiPriority w:val="99"/>
    <w:pPr>
      <w:spacing w:line="360" w:lineRule="auto"/>
      <w:ind w:firstLine="480"/>
    </w:pPr>
    <w:rPr>
      <w:rFonts w:ascii="宋体" w:hAnsi="宋体" w:cs="宋体"/>
    </w:rPr>
  </w:style>
  <w:style w:type="paragraph" w:customStyle="1" w:styleId="5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4">
    <w:name w:val="B"/>
    <w:basedOn w:val="55"/>
    <w:qFormat/>
    <w:uiPriority w:val="0"/>
    <w:pPr>
      <w:tabs>
        <w:tab w:val="center" w:pos="4706"/>
        <w:tab w:val="right" w:pos="9044"/>
      </w:tabs>
    </w:pPr>
    <w:rPr>
      <w:rFonts w:ascii="E-F1" w:eastAsia="宋体"/>
    </w:rPr>
  </w:style>
  <w:style w:type="paragraph" w:customStyle="1" w:styleId="55">
    <w:name w:val="表头"/>
    <w:basedOn w:val="1"/>
    <w:qFormat/>
    <w:uiPriority w:val="0"/>
    <w:pPr>
      <w:topLinePunct/>
      <w:spacing w:before="160" w:after="60" w:line="312" w:lineRule="exact"/>
      <w:jc w:val="center"/>
    </w:pPr>
    <w:rPr>
      <w:rFonts w:ascii="EU-F1" w:eastAsia="黑体"/>
      <w:szCs w:val="21"/>
    </w:rPr>
  </w:style>
  <w:style w:type="paragraph" w:customStyle="1" w:styleId="56">
    <w:name w:val="BodyText1I2"/>
    <w:basedOn w:val="57"/>
    <w:qFormat/>
    <w:uiPriority w:val="0"/>
    <w:pPr>
      <w:ind w:firstLine="420" w:firstLineChars="200"/>
    </w:pPr>
  </w:style>
  <w:style w:type="paragraph" w:customStyle="1" w:styleId="57">
    <w:name w:val="BodyTextIndent"/>
    <w:basedOn w:val="1"/>
    <w:qFormat/>
    <w:uiPriority w:val="0"/>
    <w:pPr>
      <w:spacing w:after="120"/>
      <w:ind w:left="420" w:leftChars="200"/>
      <w:textAlignment w:val="baseline"/>
    </w:pPr>
    <w:rPr>
      <w:color w:val="000000"/>
    </w:rPr>
  </w:style>
  <w:style w:type="paragraph" w:customStyle="1" w:styleId="58">
    <w:name w:val="列表段落1"/>
    <w:basedOn w:val="1"/>
    <w:qFormat/>
    <w:uiPriority w:val="0"/>
    <w:pPr>
      <w:ind w:firstLine="420" w:firstLineChars="200"/>
    </w:pPr>
    <w:rPr>
      <w:rFonts w:ascii="Calibri" w:hAnsi="Calibri"/>
    </w:rPr>
  </w:style>
  <w:style w:type="paragraph" w:customStyle="1" w:styleId="59">
    <w:name w:val="p0"/>
    <w:basedOn w:val="1"/>
    <w:qFormat/>
    <w:uiPriority w:val="0"/>
    <w:pPr>
      <w:widowControl/>
    </w:pPr>
    <w:rPr>
      <w:rFonts w:ascii="Calibri" w:hAnsi="Calibri" w:cs="Calibri"/>
      <w:kern w:val="0"/>
      <w:szCs w:val="21"/>
    </w:rPr>
  </w:style>
  <w:style w:type="paragraph" w:customStyle="1" w:styleId="60">
    <w:name w:val="正文表标题"/>
    <w:next w:val="52"/>
    <w:qFormat/>
    <w:uiPriority w:val="0"/>
    <w:pPr>
      <w:tabs>
        <w:tab w:val="left" w:pos="425"/>
      </w:tabs>
      <w:ind w:left="425" w:hanging="425"/>
      <w:jc w:val="center"/>
    </w:pPr>
    <w:rPr>
      <w:rFonts w:ascii="黑体" w:hAnsi="Times New Roman" w:eastAsia="黑体" w:cs="Times New Roman"/>
      <w:sz w:val="21"/>
      <w:lang w:val="en-US" w:eastAsia="zh-CN" w:bidi="ar-SA"/>
    </w:rPr>
  </w:style>
  <w:style w:type="paragraph" w:customStyle="1" w:styleId="61">
    <w:name w:val="列出段落3"/>
    <w:basedOn w:val="1"/>
    <w:qFormat/>
    <w:uiPriority w:val="99"/>
    <w:rPr>
      <w:rFonts w:cs="Calibri"/>
      <w:sz w:val="28"/>
      <w:szCs w:val="28"/>
    </w:rPr>
  </w:style>
  <w:style w:type="paragraph" w:customStyle="1" w:styleId="62">
    <w:name w:val="表格内字体字号"/>
    <w:basedOn w:val="1"/>
    <w:qFormat/>
    <w:uiPriority w:val="0"/>
    <w:pPr>
      <w:topLinePunct/>
      <w:snapToGrid w:val="0"/>
      <w:spacing w:before="60" w:after="60"/>
      <w:ind w:left="30" w:leftChars="30" w:right="30" w:rightChars="30"/>
      <w:jc w:val="center"/>
    </w:pPr>
    <w:rPr>
      <w:sz w:val="18"/>
      <w:szCs w:val="18"/>
    </w:rPr>
  </w:style>
  <w:style w:type="paragraph" w:customStyle="1" w:styleId="63">
    <w:name w:val="[Normal]"/>
    <w:qFormat/>
    <w:uiPriority w:val="99"/>
    <w:rPr>
      <w:rFonts w:ascii="宋体" w:hAnsi="宋体" w:eastAsia="宋体" w:cs="宋体"/>
      <w:sz w:val="24"/>
      <w:szCs w:val="24"/>
      <w:lang w:val="zh-CN" w:eastAsia="zh-CN" w:bidi="ar-SA"/>
    </w:rPr>
  </w:style>
  <w:style w:type="paragraph" w:customStyle="1" w:styleId="64">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65">
    <w:name w:val="正文1"/>
    <w:basedOn w:val="1"/>
    <w:qFormat/>
    <w:uiPriority w:val="0"/>
    <w:pPr>
      <w:adjustRightInd w:val="0"/>
      <w:spacing w:line="400" w:lineRule="atLeast"/>
      <w:ind w:firstLine="1134"/>
      <w:textAlignment w:val="baseline"/>
    </w:pPr>
    <w:rPr>
      <w:rFonts w:ascii="宋体"/>
      <w:szCs w:val="20"/>
    </w:rPr>
  </w:style>
  <w:style w:type="paragraph" w:customStyle="1" w:styleId="66">
    <w:name w:val="纯文本2"/>
    <w:basedOn w:val="67"/>
    <w:qFormat/>
    <w:uiPriority w:val="0"/>
    <w:pPr>
      <w:widowControl/>
      <w:jc w:val="left"/>
    </w:pPr>
    <w:rPr>
      <w:rFonts w:ascii="宋体" w:hAnsi="Courier New"/>
    </w:rPr>
  </w:style>
  <w:style w:type="paragraph" w:customStyle="1" w:styleId="67">
    <w:name w:val="正文5"/>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68">
    <w:name w:val="列出段落2"/>
    <w:basedOn w:val="1"/>
    <w:qFormat/>
    <w:uiPriority w:val="34"/>
    <w:pPr>
      <w:ind w:firstLine="420" w:firstLineChars="200"/>
    </w:pPr>
  </w:style>
  <w:style w:type="paragraph" w:customStyle="1" w:styleId="69">
    <w:name w:val="样式"/>
    <w:basedOn w:val="1"/>
    <w:qFormat/>
    <w:uiPriority w:val="0"/>
    <w:pPr>
      <w:autoSpaceDE w:val="0"/>
      <w:autoSpaceDN w:val="0"/>
      <w:adjustRightInd w:val="0"/>
      <w:snapToGrid w:val="0"/>
      <w:spacing w:before="120" w:after="120" w:line="360" w:lineRule="auto"/>
      <w:jc w:val="left"/>
    </w:pPr>
    <w:rPr>
      <w:rFonts w:ascii="宋体"/>
      <w:kern w:val="0"/>
      <w:sz w:val="24"/>
      <w:szCs w:val="20"/>
    </w:rPr>
  </w:style>
  <w:style w:type="paragraph" w:customStyle="1" w:styleId="70">
    <w:name w:val="样式1"/>
    <w:basedOn w:val="1"/>
    <w:qFormat/>
    <w:uiPriority w:val="0"/>
    <w:pPr>
      <w:spacing w:line="360" w:lineRule="exact"/>
      <w:ind w:firstLine="200" w:firstLineChars="200"/>
    </w:pPr>
    <w:rPr>
      <w:rFonts w:ascii="Arial" w:hAnsi="Arial"/>
      <w:sz w:val="24"/>
      <w:szCs w:val="20"/>
    </w:rPr>
  </w:style>
  <w:style w:type="paragraph" w:customStyle="1" w:styleId="71">
    <w:name w:val="表格"/>
    <w:basedOn w:val="1"/>
    <w:qFormat/>
    <w:uiPriority w:val="0"/>
    <w:pPr>
      <w:spacing w:beforeLines="50" w:afterLines="50"/>
    </w:pPr>
    <w:rPr>
      <w:rFonts w:ascii="Calibri" w:hAnsi="Calibri" w:cs="宋体"/>
      <w:color w:val="000000"/>
      <w:kern w:val="0"/>
      <w:sz w:val="20"/>
      <w:szCs w:val="20"/>
    </w:rPr>
  </w:style>
  <w:style w:type="paragraph" w:customStyle="1" w:styleId="72">
    <w:name w:val="Table Text"/>
    <w:basedOn w:val="1"/>
    <w:semiHidden/>
    <w:qFormat/>
    <w:uiPriority w:val="0"/>
    <w:rPr>
      <w:rFonts w:ascii="宋体" w:hAnsi="宋体" w:cs="宋体"/>
      <w:sz w:val="19"/>
      <w:szCs w:val="19"/>
      <w:lang w:eastAsia="en-US"/>
    </w:rPr>
  </w:style>
  <w:style w:type="table" w:customStyle="1" w:styleId="73">
    <w:name w:val="Table Normal"/>
    <w:unhideWhenUsed/>
    <w:qFormat/>
    <w:uiPriority w:val="0"/>
    <w:tblPr>
      <w:tblCellMar>
        <w:top w:w="0" w:type="dxa"/>
        <w:left w:w="0" w:type="dxa"/>
        <w:bottom w:w="0" w:type="dxa"/>
        <w:right w:w="0" w:type="dxa"/>
      </w:tblCellMar>
    </w:tblPr>
  </w:style>
  <w:style w:type="paragraph" w:customStyle="1" w:styleId="74">
    <w:name w:val="Body text|1"/>
    <w:basedOn w:val="1"/>
    <w:qFormat/>
    <w:uiPriority w:val="0"/>
    <w:pPr>
      <w:spacing w:line="403" w:lineRule="auto"/>
    </w:pPr>
    <w:rPr>
      <w:rFonts w:hAnsi="宋体" w:cs="宋体"/>
      <w:sz w:val="20"/>
      <w:szCs w:val="20"/>
      <w:lang w:val="zh-TW" w:eastAsia="zh-TW" w:bidi="zh-TW"/>
    </w:rPr>
  </w:style>
  <w:style w:type="paragraph" w:customStyle="1" w:styleId="75">
    <w:name w:val="_Style 120"/>
    <w:basedOn w:val="1"/>
    <w:next w:val="68"/>
    <w:qFormat/>
    <w:uiPriority w:val="0"/>
    <w:pPr>
      <w:ind w:firstLine="420" w:firstLineChars="200"/>
    </w:pPr>
    <w:rPr>
      <w:rFonts w:ascii="Calibri" w:hAnsi="Calibri"/>
      <w:szCs w:val="22"/>
    </w:rPr>
  </w:style>
  <w:style w:type="paragraph" w:customStyle="1" w:styleId="76">
    <w:name w:val="List Paragraph"/>
    <w:basedOn w:val="1"/>
    <w:unhideWhenUsed/>
    <w:qFormat/>
    <w:uiPriority w:val="99"/>
    <w:pPr>
      <w:ind w:firstLine="420" w:firstLineChars="200"/>
    </w:pPr>
  </w:style>
  <w:style w:type="paragraph" w:customStyle="1" w:styleId="77">
    <w:name w:val="正文（缩进）"/>
    <w:basedOn w:val="1"/>
    <w:next w:val="1"/>
    <w:qFormat/>
    <w:uiPriority w:val="0"/>
    <w:pPr>
      <w:ind w:firstLine="960"/>
    </w:pPr>
  </w:style>
  <w:style w:type="paragraph" w:customStyle="1" w:styleId="78">
    <w:name w:val="条款样式"/>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kern w:val="2"/>
      <w:sz w:val="21"/>
      <w:szCs w:val="22"/>
      <w:lang w:val="en-US" w:eastAsia="zh-CN" w:bidi="ar-SA"/>
    </w:rPr>
  </w:style>
  <w:style w:type="paragraph" w:customStyle="1" w:styleId="79">
    <w:name w:val="4级标题"/>
    <w:basedOn w:val="78"/>
    <w:next w:val="78"/>
    <w:qFormat/>
    <w:uiPriority w:val="0"/>
    <w:pPr>
      <w:spacing w:line="480" w:lineRule="exact"/>
      <w:ind w:left="767" w:hanging="767" w:hangingChars="364"/>
      <w:outlineLvl w:val="3"/>
    </w:pPr>
    <w:rPr>
      <w:rFonts w:ascii="Times New Roman" w:hAnsi="Times New Roman"/>
      <w:b/>
      <w:kern w:val="0"/>
      <w:sz w:val="20"/>
      <w:szCs w:val="20"/>
    </w:rPr>
  </w:style>
  <w:style w:type="paragraph" w:customStyle="1" w:styleId="80">
    <w:name w:val="正文 表标题"/>
    <w:next w:val="1"/>
    <w:qFormat/>
    <w:uiPriority w:val="0"/>
    <w:pPr>
      <w:keepNext/>
      <w:numPr>
        <w:ilvl w:val="0"/>
        <w:numId w:val="2"/>
      </w:numPr>
      <w:spacing w:before="156" w:beforeLines="50" w:after="156" w:afterLines="50"/>
      <w:jc w:val="center"/>
    </w:pPr>
    <w:rPr>
      <w:rFonts w:ascii="Times New Roman" w:hAnsi="Times New Roman" w:eastAsia="黑体" w:cs="Times New Roman"/>
      <w:kern w:val="2"/>
      <w:sz w:val="24"/>
      <w:szCs w:val="24"/>
      <w:lang w:val="en-GB" w:eastAsia="zh-CN" w:bidi="ar-SA"/>
    </w:rPr>
  </w:style>
  <w:style w:type="paragraph" w:customStyle="1" w:styleId="81">
    <w:name w:val="Table Paragraph"/>
    <w:basedOn w:val="1"/>
    <w:qFormat/>
    <w:uiPriority w:val="1"/>
    <w:pPr>
      <w:jc w:val="left"/>
    </w:pPr>
    <w:rPr>
      <w:rFonts w:ascii="宋体" w:hAnsi="宋体" w:cs="宋体"/>
      <w:kern w:val="0"/>
      <w:sz w:val="22"/>
      <w:szCs w:val="22"/>
      <w:lang w:eastAsia="en-US"/>
    </w:rPr>
  </w:style>
  <w:style w:type="paragraph" w:customStyle="1" w:styleId="82">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83">
    <w:name w:val="样式 标题 1 + 四号 加粗"/>
    <w:basedOn w:val="2"/>
    <w:qFormat/>
    <w:uiPriority w:val="0"/>
  </w:style>
  <w:style w:type="character" w:customStyle="1" w:styleId="84">
    <w:name w:val="标题 2 字符"/>
    <w:link w:val="3"/>
    <w:qFormat/>
    <w:uiPriority w:val="0"/>
    <w:rPr>
      <w:rFonts w:ascii="Arial" w:hAnsi="Arial" w:eastAsia="黑体"/>
      <w:b/>
      <w:bCs/>
      <w:sz w:val="32"/>
      <w:szCs w:val="32"/>
    </w:rPr>
  </w:style>
  <w:style w:type="paragraph" w:customStyle="1" w:styleId="85">
    <w:name w:val="列表段落2"/>
    <w:basedOn w:val="1"/>
    <w:qFormat/>
    <w:uiPriority w:val="99"/>
    <w:pPr>
      <w:ind w:firstLine="420" w:firstLineChars="200"/>
    </w:pPr>
  </w:style>
  <w:style w:type="paragraph" w:customStyle="1" w:styleId="86">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87">
    <w:name w:val="批注文字 字符"/>
    <w:basedOn w:val="31"/>
    <w:link w:val="7"/>
    <w:qFormat/>
    <w:uiPriority w:val="0"/>
    <w:rPr>
      <w:kern w:val="2"/>
      <w:sz w:val="21"/>
      <w:szCs w:val="24"/>
    </w:rPr>
  </w:style>
  <w:style w:type="character" w:customStyle="1" w:styleId="88">
    <w:name w:val="批注主题 字符"/>
    <w:basedOn w:val="87"/>
    <w:link w:val="26"/>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41</Pages>
  <Words>5410</Words>
  <Characters>5876</Characters>
  <Lines>248</Lines>
  <Paragraphs>70</Paragraphs>
  <TotalTime>11</TotalTime>
  <ScaleCrop>false</ScaleCrop>
  <LinksUpToDate>false</LinksUpToDate>
  <CharactersWithSpaces>5992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2019-11-15T22:11:00Z</dcterms:created>
  <dc:creator>73465</dc:creator>
  <cp:lastModifiedBy>JH</cp:lastModifiedBy>
  <cp:lastPrinted>2020-09-18T23:33:00Z</cp:lastPrinted>
  <dcterms:modified xsi:type="dcterms:W3CDTF">2025-10-30T10:55:00Z</dcterms:modified>
  <dc:title>温州市国有企业采购</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F6EDACF408944FCCBBFFE97DE4015B67_13</vt:lpwstr>
  </property>
  <property fmtid="{D5CDD505-2E9C-101B-9397-08002B2CF9AE}" pid="4" name="KSOTemplateDocerSaveRecord">
    <vt:lpwstr>eyJoZGlkIjoiZTI5MjhlM2M0ZjFmN2Y3ZGEyM2M5YjZmOWI1MzQ1NmUiLCJ1c2VySWQiOiIxNTc1MzUyMzE4In0=</vt:lpwstr>
  </property>
</Properties>
</file>